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0" w:after="80"/>
        <w:jc w:val="center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56"/>
        </w:rPr>
        <w:t>尊出行</w:t>
      </w:r>
    </w:p>
    <w:p>
      <w:pPr>
        <w:spacing w:after="80"/>
        <w:jc w:val="center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78716C"/>
          <w:sz w:val="28"/>
        </w:rPr>
        <w:t>高端出行解决方案</w:t>
      </w:r>
    </w:p>
    <w:p>
      <w:pPr>
        <w:jc w:val="center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2"/>
        </w:rPr>
        <w:t>华为  江淮  和行科技</w:t>
      </w:r>
    </w:p>
    <w:p>
      <w:pPr>
        <w:rPr>
          <w:rFonts w:hint="eastAsia" w:ascii="Microsoft YaHei Regular" w:hAnsi="Microsoft YaHei Regular" w:eastAsia="Microsoft YaHei Regular" w:cs="Microsoft YaHei Regular"/>
        </w:rPr>
      </w:pPr>
      <w:bookmarkStart w:id="0" w:name="_GoBack"/>
      <w:bookmarkEnd w:id="0"/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二、项目背景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尊界是华为和江淮联手打造的高端汽车品牌，为提升车主全周期服务体验，购车即附赠年度出行权益，同时品牌也有不少合作企业客户有高频公商务用车需求。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但目前尚未形成统一的服务平台，车主权益无法便捷高效落地，企业公商务高端用车缺少专属支撑与统一管控，运营缺少全局统筹，整体服务分散、标准不统一。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所以和行科技搭建尊出行系统，把车主、企业、司机、运营四方衔接起来，让权益用车、公商务用车都能线上化、标准化落地，把品牌承诺变成稳定可复用的出行服务。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三、用户人群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企业公商务用户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企业高管、行政人员、会务组织者。用车场景覆盖日常会议到大型峰会接待，核心需求是准时、体面、走企业结算。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尊界车主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购车时附赠年度免费用车权益。打开就能约，权益自动抵扣，历史记录可查。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四、产品定位与目标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尊出行是尊界品牌的服务延伸，通过四端协同，把高端出行做成一套标准化、可交付的服务体系。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服务体验：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公商务出行和车主权益用车，从预约到行程结束，体验保持统一水准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运营效率：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  <w:lang w:val="en-US" w:eastAsia="zh-CN"/>
        </w:rPr>
        <w:t>线上化调度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，车辆与司机资源统一调配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  <w:b w:val="0"/>
          <w:bCs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品牌价值：</w:t>
      </w:r>
      <w:r>
        <w:rPr>
          <w:rFonts w:hint="eastAsia" w:ascii="Microsoft YaHei Regular" w:hAnsi="Microsoft YaHei Regular" w:eastAsia="Microsoft YaHei Regular" w:cs="Microsoft YaHei Regular"/>
          <w:b w:val="0"/>
          <w:bCs/>
          <w:color w:val="1A1A2E"/>
          <w:sz w:val="21"/>
        </w:rPr>
        <w:t>将高端出行服务打造为尊界核心竞争力，强化品牌专属价值与用户口碑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五、系统架构总览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四个端，各有分工：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rPr>
          <w:jc w:val="center"/>
        </w:trPr>
        <w:tc>
          <w:tcPr>
            <w:tcW w:w="3024" w:type="dxa"/>
            <w:shd w:val="clear" w:color="auto" w:fill="1A1A2E"/>
          </w:tcPr>
          <w:p>
            <w:pPr>
              <w:jc w:val="center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FFFFFF"/>
                <w:sz w:val="19"/>
              </w:rPr>
              <w:t>端</w:t>
            </w:r>
          </w:p>
        </w:tc>
        <w:tc>
          <w:tcPr>
            <w:tcW w:w="3024" w:type="dxa"/>
            <w:shd w:val="clear" w:color="auto" w:fill="1A1A2E"/>
          </w:tcPr>
          <w:p>
            <w:pPr>
              <w:jc w:val="center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FFFFFF"/>
                <w:sz w:val="19"/>
              </w:rPr>
              <w:t>使用者</w:t>
            </w:r>
          </w:p>
        </w:tc>
        <w:tc>
          <w:tcPr>
            <w:tcW w:w="3024" w:type="dxa"/>
            <w:shd w:val="clear" w:color="auto" w:fill="1A1A2E"/>
          </w:tcPr>
          <w:p>
            <w:pPr>
              <w:jc w:val="center"/>
              <w:rPr>
                <w:rFonts w:hint="default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Bold" w:hAnsi="Microsoft YaHei Bold" w:eastAsia="Microsoft YaHei Bold" w:cs="Microsoft YaHei Bold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服务内容</w:t>
            </w:r>
          </w:p>
        </w:tc>
      </w:tr>
      <w:tr>
        <w:trPr>
          <w:jc w:val="center"/>
        </w:trPr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1A1A2E"/>
                <w:sz w:val="19"/>
              </w:rPr>
              <w:t>乘客端 APP</w:t>
            </w:r>
          </w:p>
        </w:tc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公商务用户 · 尊界车主</w:t>
            </w:r>
          </w:p>
        </w:tc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预约出行、查看行程、权益查询与核销</w:t>
            </w:r>
          </w:p>
        </w:tc>
      </w:tr>
      <w:tr>
        <w:trPr>
          <w:jc w:val="center"/>
        </w:trPr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1A1A2E"/>
                <w:sz w:val="19"/>
              </w:rPr>
              <w:t>司机端 APP</w:t>
            </w:r>
          </w:p>
        </w:tc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出行司机</w:t>
            </w:r>
          </w:p>
        </w:tc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接收派单、行程执行、收入结算</w:t>
            </w:r>
          </w:p>
        </w:tc>
      </w:tr>
      <w:tr>
        <w:trPr>
          <w:jc w:val="center"/>
        </w:trPr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1A1A2E"/>
                <w:sz w:val="19"/>
              </w:rPr>
              <w:t>企业管理后台</w:t>
            </w:r>
          </w:p>
        </w:tc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企业管理员</w:t>
            </w:r>
          </w:p>
        </w:tc>
        <w:tc>
          <w:tcPr>
            <w:tcW w:w="3024" w:type="dxa"/>
            <w:shd w:val="clear" w:color="auto" w:fill="F5F4F2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员工管理、用车管理、费用结算</w:t>
            </w:r>
          </w:p>
        </w:tc>
      </w:tr>
      <w:tr>
        <w:trPr>
          <w:jc w:val="center"/>
        </w:trPr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color w:val="1A1A2E"/>
                <w:sz w:val="19"/>
              </w:rPr>
              <w:t>尊出行运营管理后台</w:t>
            </w:r>
          </w:p>
        </w:tc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运营团队</w:t>
            </w:r>
          </w:p>
        </w:tc>
        <w:tc>
          <w:tcPr>
            <w:tcW w:w="3024" w:type="dxa"/>
          </w:tcPr>
          <w:p>
            <w:pPr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color w:val="1A1A2E"/>
                <w:sz w:val="19"/>
              </w:rPr>
              <w:t>全局调度、车辆司机管理、权益配置、数据报表</w:t>
            </w:r>
          </w:p>
        </w:tc>
      </w:tr>
    </w:tbl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六、设计规范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尊出行全平台遵循鸿蒙智行设计语言，与华为鸿蒙生态保持视觉与交互一致。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视觉层面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色彩：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尊界品牌色为基准，深色主调搭配金色点缀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字体：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HarmonyOS Sans，多端统一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图标：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鸿蒙设计规范图标库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栅格：</w:t>
      </w: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8px 栅格系统，圆角统一 8–12px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交互层面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页面层级不超过三级，核心操作三步以内完成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每次操作给出明确状态反馈，覆盖加载、成功、失败三种状态</w:t>
      </w:r>
    </w:p>
    <w:p>
      <w:pPr>
        <w:pStyle w:val="16"/>
        <w:spacing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支持大字体模式与屏幕朗读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多端统一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四个端在色彩、字体、图标、组件层面保持一致，用户跨端使用不产生割裂感。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七、乘客端 APP · 公商务出行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三种用车方式，覆盖公商务常见场景。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预约出行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会议出行、酒店接送、商务拜访等，支持提前预约和多日行程。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机场接送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接送机服务，航班信息实时同步，延误自动等待；接机提供举牌服务，送机自动推算出发时间。</w:t>
      </w:r>
    </w:p>
    <w:p>
      <w:pPr>
        <w:spacing w:before="160" w:after="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21"/>
        </w:rPr>
        <w:t>包车出行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适用于长时间或长途用车，如跨城出差、多站点拜访、全天商务陪同。同一位司机同一辆车全程服务。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八、乘客端 APP · 车主权益用车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年度免费用车权益，打开小程序即可查看剩余次数。预约时权益自动抵扣，历史使用记录可查询。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九、司机端 APP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系统统一派单，司机无需抢单。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订单实时推送，一键导航前往接驾。司乘通话通过虚拟号码，双方手机号互不可见。途中遇到突发情况可一键上报运营后台。收入按月汇总，每笔明细可查。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十、企业管理后台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集员工管理、用车管理、费用结算于一体。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企业额度实时可见，员工用车选择企业支付后自动扣减额度，每笔消费可追溯。月底自动生成账单，支持导出，线下对账打款。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十一、尊出行运营管理后台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运营团队使用的全局管控后台。</w:t>
      </w:r>
    </w:p>
    <w:p>
      <w:pPr>
        <w:spacing w:after="8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1A1A2E"/>
          <w:sz w:val="21"/>
        </w:rPr>
        <w:t>订单、车辆、司机、车主权益统一管理。系统自动派单，调度员可按需手动调整。各场景计费参数后台灵活配置，核心运营数据实时呈现。</w:t>
      </w:r>
    </w:p>
    <w:p>
      <w:pPr>
        <w:spacing w:before="640" w:after="20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color w:val="D4A853"/>
          <w:sz w:val="24"/>
        </w:rPr>
        <w:t xml:space="preserve">━ </w:t>
      </w:r>
      <w:r>
        <w:rPr>
          <w:rFonts w:hint="eastAsia" w:ascii="Microsoft YaHei Regular" w:hAnsi="Microsoft YaHei Regular" w:eastAsia="Microsoft YaHei Regular" w:cs="Microsoft YaHei Regular"/>
          <w:b/>
          <w:color w:val="1A1A2E"/>
          <w:sz w:val="32"/>
        </w:rPr>
        <w:t>十二、总结</w:t>
      </w:r>
    </w:p>
    <w:p>
      <w:pPr>
        <w:spacing w:after="80"/>
        <w:rPr>
          <w:rFonts w:hint="eastAsia" w:ascii="Microsoft YaHei Bold" w:hAnsi="Microsoft YaHei Bold" w:eastAsia="Microsoft YaHei Bold" w:cs="Microsoft YaHei Bold"/>
          <w:b/>
          <w:bCs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1A1A2E"/>
          <w:sz w:val="21"/>
        </w:rPr>
        <w:t>感谢观看！</w:t>
      </w:r>
    </w:p>
    <w:p>
      <w:pPr>
        <w:spacing w:before="24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  <w:b w:val="0"/>
          <w:bCs/>
          <w:color w:val="000000" w:themeColor="text1"/>
          <w:sz w:val="18"/>
          <w:szCs w:val="15"/>
          <w14:textFill>
            <w14:solidFill>
              <w14:schemeClr w14:val="tx1"/>
            </w14:solidFill>
          </w14:textFill>
        </w:rPr>
        <w:t>尊出行，以专业服务兑现高端，让每一次出行都安心可靠、体面从容。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Regular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Microsoft YaHei Bold">
    <w:panose1 w:val="020B0703020204020201"/>
    <w:charset w:val="86"/>
    <w:family w:val="auto"/>
    <w:pitch w:val="default"/>
    <w:sig w:usb0="80000287" w:usb1="0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BEBEB09"/>
    <w:rsid w:val="BF7D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color w:val="1A1A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60" w:line="312" w:lineRule="auto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0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20" w:after="80" w:line="312" w:lineRule="auto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胡振翔</cp:lastModifiedBy>
  <dcterms:modified xsi:type="dcterms:W3CDTF">2026-05-28T10:43:05Z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14A893BB806360A7B2AB176A410A9B6A_42</vt:lpwstr>
  </property>
</Properties>
</file>