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商业价值评估</w:t>
      </w:r>
    </w:p>
    <w:p>
      <w:pPr>
        <w:pStyle w:val="2"/>
        <w:jc w:val="center"/>
      </w:pPr>
      <w:r>
        <w:rPr>
          <w:rFonts w:hint="eastAsia"/>
          <w:b/>
          <w:bCs/>
        </w:rPr>
        <w:t>内部业务（赋能增收类）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6197"/>
      </w:tblGrid>
      <w:tr>
        <w:trPr>
          <w:tblHeader/>
        </w:trPr>
        <w:tc>
          <w:tcPr>
            <w:shd w:val="clear" w:color="auto" w:fill="DBE3F4" w:themeFill="accent1" w:themeFillTint="32"/>
          </w:tcPr>
          <w:p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填写项</w:t>
            </w:r>
          </w:p>
        </w:tc>
        <w:tc>
          <w:tcPr>
            <w:tcW w:w="6197" w:type="dxa"/>
          </w:tcPr>
          <w:p>
            <w:pPr>
              <w:pStyle w:val="5"/>
            </w:pPr>
            <w:r>
              <w:rPr>
                <w:rFonts w:hint="eastAsia"/>
              </w:rPr>
              <w:t>内容</w:t>
            </w:r>
          </w:p>
        </w:tc>
      </w:tr>
      <w:tr>
        <w:tc>
          <w:tcPr>
            <w:shd w:val="clear" w:color="auto" w:fill="DBE3F4" w:themeFill="accent1" w:themeFillTint="32"/>
          </w:tcPr>
          <w:p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影响的外部业务线</w:t>
            </w:r>
          </w:p>
        </w:tc>
        <w:tc>
          <w:tcPr>
            <w:tcW w:w="6197" w:type="dxa"/>
          </w:tcPr>
          <w:p>
            <w:pPr>
              <w:pStyle w:val="5"/>
            </w:pPr>
          </w:p>
        </w:tc>
      </w:tr>
      <w:tr>
        <w:trPr>
          <w:trHeight w:val="567" w:hRule="atLeast"/>
        </w:trPr>
        <w:tc>
          <w:tcPr>
            <w:shd w:val="clear" w:color="auto" w:fill="DBE3F4" w:themeFill="accent1" w:themeFillTint="32"/>
          </w:tcPr>
          <w:p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当前业务基线</w:t>
            </w:r>
          </w:p>
        </w:tc>
        <w:tc>
          <w:tcPr>
            <w:tcW w:w="6197" w:type="dxa"/>
          </w:tcPr>
          <w:p>
            <w:pPr>
              <w:pStyle w:val="5"/>
            </w:pPr>
            <w:r>
              <w:rPr>
                <w:rFonts w:hint="eastAsia"/>
              </w:rPr>
              <w:t>月均线索__条</w:t>
            </w:r>
            <w:r>
              <w:t xml:space="preserve"> / </w:t>
            </w:r>
            <w:r>
              <w:rPr>
                <w:rFonts w:hint="eastAsia"/>
              </w:rPr>
              <w:t>成交率__%</w:t>
            </w:r>
            <w:r>
              <w:t xml:space="preserve"> / </w:t>
            </w:r>
            <w:r>
              <w:rPr>
                <w:rFonts w:hint="eastAsia"/>
              </w:rPr>
              <w:t>月均收入__万元</w:t>
            </w:r>
          </w:p>
        </w:tc>
      </w:tr>
      <w:tr>
        <w:trPr>
          <w:trHeight w:val="593" w:hRule="atLeast"/>
        </w:trPr>
        <w:tc>
          <w:tcPr>
            <w:shd w:val="clear" w:color="auto" w:fill="DBE3F4" w:themeFill="accent1" w:themeFillTint="32"/>
          </w:tcPr>
          <w:p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预期提升幅度</w:t>
            </w:r>
          </w:p>
        </w:tc>
        <w:tc>
          <w:tcPr>
            <w:tcW w:w="6197" w:type="dxa"/>
          </w:tcPr>
          <w:p>
            <w:pPr>
              <w:pStyle w:val="5"/>
            </w:pPr>
            <w:r>
              <w:rPr>
                <w:rFonts w:hint="eastAsia"/>
              </w:rPr>
              <w:t>线索量提升__%</w:t>
            </w:r>
            <w:r>
              <w:t xml:space="preserve"> / </w:t>
            </w:r>
            <w:r>
              <w:rPr>
                <w:rFonts w:hint="eastAsia"/>
              </w:rPr>
              <w:t>成交率提升__%</w:t>
            </w:r>
          </w:p>
        </w:tc>
      </w:tr>
      <w:tr>
        <w:trPr>
          <w:trHeight w:val="527" w:hRule="atLeast"/>
        </w:trPr>
        <w:tc>
          <w:tcPr>
            <w:shd w:val="clear" w:color="auto" w:fill="DBE3F4" w:themeFill="accent1" w:themeFillTint="32"/>
          </w:tcPr>
          <w:p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新增收入估算</w:t>
            </w:r>
          </w:p>
        </w:tc>
        <w:tc>
          <w:tcPr>
            <w:tcW w:w="6197" w:type="dxa"/>
          </w:tcPr>
          <w:p>
            <w:pPr>
              <w:pStyle w:val="5"/>
            </w:pPr>
            <w:r>
              <w:rPr>
                <w:rFonts w:hint="eastAsia"/>
              </w:rPr>
              <w:t>__万元/年</w:t>
            </w:r>
          </w:p>
        </w:tc>
      </w:tr>
      <w:tr>
        <w:tc>
          <w:tcPr>
            <w:shd w:val="clear" w:color="auto" w:fill="DBE3F4" w:themeFill="accent1" w:themeFillTint="32"/>
          </w:tcPr>
          <w:p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归因验证方式</w:t>
            </w:r>
          </w:p>
        </w:tc>
        <w:tc>
          <w:tcPr>
            <w:tcW w:w="6197" w:type="dxa"/>
          </w:tcPr>
          <w:p>
            <w:pPr>
              <w:pStyle w:val="5"/>
            </w:pPr>
          </w:p>
        </w:tc>
      </w:tr>
    </w:tbl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思源黑体 CN">
    <w:panose1 w:val="020B0600000000000000"/>
    <w:charset w:val="86"/>
    <w:family w:val="auto"/>
    <w:pitch w:val="default"/>
    <w:sig w:usb0="2000000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B4B1F"/>
    <w:rsid w:val="7A7D2465"/>
    <w:rsid w:val="FDFB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customStyle="1" w:styleId="5">
    <w:name w:val="Compact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2026-05-28T14:31:00Z</dcterms:created>
  <dc:creator>胡振翔</dc:creator>
  <cp:lastModifiedBy>胡振翔</cp:lastModifiedBy>
  <dcterms:modified xsi:type="dcterms:W3CDTF">2026-05-28T14:56:14Z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CFD940BB02E37A3448E1176AC4D5DBEA_41</vt:lpwstr>
  </property>
</Properties>
</file>