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jc w:val="center"/>
        <w:rPr>
          <w:rFonts w:hint="eastAsia" w:ascii="微软雅黑" w:hAnsi="微软雅黑" w:eastAsia="微软雅黑" w:cs="微软雅黑"/>
        </w:rPr>
      </w:pPr>
      <w:bookmarkStart w:id="5" w:name="_GoBack"/>
      <w:bookmarkEnd w:id="5"/>
      <w:bookmarkStart w:id="0" w:name="第四章-立项申请表"/>
      <w:bookmarkStart w:id="1" w:name="软件项目立项申请表标准版"/>
      <w:bookmarkStart w:id="2" w:name="软件项目立项管理制度"/>
      <w:r>
        <w:rPr>
          <w:rFonts w:hint="eastAsia" w:ascii="微软雅黑" w:hAnsi="微软雅黑" w:eastAsia="微软雅黑" w:cs="微软雅黑"/>
        </w:rPr>
        <w:t>《软件项目立项申请表》标准版</w:t>
      </w:r>
    </w:p>
    <w:tbl>
      <w:tblPr>
        <w:tblStyle w:val="42"/>
        <w:tblW w:w="9778" w:type="dxa"/>
        <w:tblInd w:w="-23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7614"/>
      </w:tblGrid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项目名称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尊出行租车平台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业务线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内部</w:t>
            </w:r>
            <w:r>
              <w:rPr>
                <w:rFonts w:hint="eastAsia" w:ascii="Microsoft YaHei Regular" w:hAnsi="Microsoft YaHei Regular" w:eastAsia="Microsoft YaHei Regular" w:cs="Microsoft YaHei Regular"/>
              </w:rPr>
              <w:t xml:space="preserve">业务 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申请人/负责人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胡振翔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申请日期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2026-05-28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项目级别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</w:rPr>
              <w:t xml:space="preserve"> B类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一、项目背景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</w:rPr>
              <w:t>为支撑华为与江淮联合打造的尊界高端出行品牌落地，承建</w:t>
            </w:r>
            <w:r>
              <w:rPr>
                <w:rFonts w:hint="eastAsia" w:ascii="Microsoft YaHei Regular" w:hAnsi="Microsoft YaHei Regular" w:eastAsia="Microsoft YaHei Regular" w:cs="Microsoft YaHei Regular"/>
                <w:lang w:eastAsia="zh-CN"/>
              </w:rPr>
              <w:t>“</w:t>
            </w:r>
            <w:r>
              <w:rPr>
                <w:rFonts w:hint="eastAsia" w:ascii="Microsoft YaHei Regular" w:hAnsi="Microsoft YaHei Regular" w:eastAsia="Microsoft YaHei Regular" w:cs="Microsoft YaHei Regular"/>
              </w:rPr>
              <w:t>尊出行</w:t>
            </w:r>
            <w:r>
              <w:rPr>
                <w:rFonts w:hint="eastAsia" w:ascii="Microsoft YaHei Regular" w:hAnsi="Microsoft YaHei Regular" w:eastAsia="Microsoft YaHei Regular" w:cs="Microsoft YaHei Regular"/>
                <w:lang w:eastAsia="zh-CN"/>
              </w:rPr>
              <w:t>”</w:t>
            </w:r>
            <w:r>
              <w:rPr>
                <w:rFonts w:hint="eastAsia" w:ascii="Microsoft YaHei Regular" w:hAnsi="Microsoft YaHei Regular" w:eastAsia="Microsoft YaHei Regular" w:cs="Microsoft YaHei Regular"/>
              </w:rPr>
              <w:t>专属出行系统，构建面向高端企业客户的一体化出行服务解决方案</w:t>
            </w:r>
          </w:p>
        </w:tc>
      </w:tr>
      <w:tr>
        <w:trPr>
          <w:trHeight w:val="503" w:hRule="atLeast"/>
        </w:trP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二、项目目标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highlight w:val="none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highlight w:val="none"/>
                <w:shd w:val="clear"/>
                <w:lang w:val="en-US" w:eastAsia="zh-CN"/>
              </w:rPr>
              <w:t>上线运营12个月内完成≥1000单有效订单，预计收入金额200万元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三、商业价值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</w:p>
        </w:tc>
      </w:tr>
      <w:tr>
        <w:tc>
          <w:tcPr>
            <w:tcW w:w="2164" w:type="dxa"/>
            <w:shd w:val="clear" w:color="auto" w:fill="DCEAF7" w:themeFill="text2" w:themeFillTint="19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Bold" w:hAnsi="Microsoft YaHei Bold" w:eastAsia="Microsoft YaHei Bold" w:cs="Microsoft YaHei Bold"/>
                <w:b/>
                <w:bCs/>
              </w:rPr>
              <w:t>▷ 内部业务（</w:t>
            </w:r>
            <w:r>
              <w:rPr>
                <w:rFonts w:hint="eastAsia" w:ascii="Microsoft YaHei Bold" w:hAnsi="Microsoft YaHei Bold" w:eastAsia="Microsoft YaHei Bold" w:cs="Microsoft YaHei Bold"/>
                <w:b/>
                <w:bCs/>
                <w:lang w:val="en-US" w:eastAsia="zh-CN"/>
              </w:rPr>
              <w:t>支撑类</w:t>
            </w:r>
            <w:r>
              <w:rPr>
                <w:rFonts w:hint="eastAsia" w:ascii="Microsoft YaHei Bold" w:hAnsi="Microsoft YaHei Bold" w:eastAsia="Microsoft YaHei Bold" w:cs="Microsoft YaHei Bold"/>
                <w:b/>
                <w:bCs/>
              </w:rPr>
              <w:t>）</w:t>
            </w:r>
          </w:p>
        </w:tc>
        <w:tc>
          <w:tcPr>
            <w:tcW w:w="7614" w:type="dxa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strike w:val="0"/>
                <w:dstrike w:val="0"/>
                <w:color w:val="000000" w:themeColor="text1"/>
                <w:shd w:val="clear"/>
                <w14:textFill>
                  <w14:solidFill>
                    <w14:schemeClr w14:val="tx1"/>
                  </w14:solidFill>
                </w14:textFill>
              </w:rPr>
              <w:t>支撑业务规模：_</w:t>
            </w:r>
            <w:r>
              <w:rPr>
                <w:rFonts w:hint="eastAsia" w:ascii="Microsoft YaHei Regular" w:hAnsi="Microsoft YaHei Regular" w:eastAsia="Microsoft YaHei Regular" w:cs="Microsoft YaHei Regular"/>
                <w:strike w:val="0"/>
                <w:dstrike w:val="0"/>
                <w:color w:val="000000" w:themeColor="text1"/>
                <w:shd w:val="clear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1000/2000000/1000</w:t>
            </w:r>
            <w:r>
              <w:rPr>
                <w:rFonts w:hint="eastAsia" w:ascii="Microsoft YaHei Regular" w:hAnsi="Microsoft YaHei Regular" w:eastAsia="Microsoft YaHei Regular" w:cs="Microsoft YaHei Regular"/>
                <w:strike w:val="0"/>
                <w:dstrike w:val="0"/>
                <w:color w:val="000000" w:themeColor="text1"/>
                <w:shd w:val="clear"/>
                <w14:textFill>
                  <w14:solidFill>
                    <w14:schemeClr w14:val="tx1"/>
                  </w14:solidFill>
                </w14:textFill>
              </w:rPr>
              <w:t>_（单量/金额/用户数）；替代方案及成本：_</w:t>
            </w:r>
            <w:r>
              <w:rPr>
                <w:rFonts w:hint="eastAsia" w:ascii="Microsoft YaHei Regular" w:hAnsi="Microsoft YaHei Regular" w:eastAsia="Microsoft YaHei Regular" w:cs="Microsoft YaHei Regular"/>
                <w:strike w:val="0"/>
                <w:dstrike w:val="0"/>
                <w:color w:val="000000" w:themeColor="text1"/>
                <w:shd w:val="clear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无替代方案</w:t>
            </w:r>
            <w:r>
              <w:rPr>
                <w:rFonts w:hint="eastAsia" w:ascii="Microsoft YaHei Regular" w:hAnsi="Microsoft YaHei Regular" w:eastAsia="Microsoft YaHei Regular" w:cs="Microsoft YaHei Regular"/>
                <w:strike w:val="0"/>
                <w:dstrike w:val="0"/>
                <w:color w:val="000000" w:themeColor="text1"/>
                <w:shd w:val="clear"/>
                <w14:textFill>
                  <w14:solidFill>
                    <w14:schemeClr w14:val="tx1"/>
                  </w14:solidFill>
                </w14:textFill>
              </w:rPr>
              <w:t>___；外采市场价参考：__</w:t>
            </w:r>
            <w:r>
              <w:rPr>
                <w:rFonts w:hint="eastAsia" w:ascii="Microsoft YaHei Regular" w:hAnsi="Microsoft YaHei Regular" w:eastAsia="Microsoft YaHei Regular" w:cs="Microsoft YaHei Regular"/>
                <w:strike w:val="0"/>
                <w:dstrike w:val="0"/>
                <w:color w:val="000000" w:themeColor="text1"/>
                <w:shd w:val="clear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55</w:t>
            </w:r>
            <w:r>
              <w:rPr>
                <w:rFonts w:hint="eastAsia" w:ascii="Microsoft YaHei Regular" w:hAnsi="Microsoft YaHei Regular" w:eastAsia="Microsoft YaHei Regular" w:cs="Microsoft YaHei Regular"/>
                <w:strike w:val="0"/>
                <w:dstrike w:val="0"/>
                <w:color w:val="000000" w:themeColor="text1"/>
                <w:shd w:val="clear"/>
                <w14:textFill>
                  <w14:solidFill>
                    <w14:schemeClr w14:val="tx1"/>
                  </w14:solidFill>
                </w14:textFill>
              </w:rPr>
              <w:t>__万元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四、客户/需求方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巡网运营中心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五、主要功能范围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1. 乘客端：用户登录注册、车辆预约、行程实时跟踪、隐私号通讯、在线支付、企业支付、电子发票申请；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2. 司机端：订单接单、行程导航、账单查询、乘客联系；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3. 运营端：订单调度监控、车辆与司机管理、计费规则配置、数据统计报表；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4. 企业端：企业信息管理、员工权限管理、用车审批流程、对公账单开票结算；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六、技术方案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乘客/司机端：微信小程序 + iOS/Android/鸿蒙APP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管理后台：Vue/React + Java，MySQL + Redis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部署：华为云部署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第三方服务：高德地图、微信/支付宝支付、开票、航班信息API等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七、开发量估算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300</w:t>
            </w:r>
            <w:r>
              <w:rPr>
                <w:rFonts w:hint="eastAsia" w:ascii="Microsoft YaHei Regular" w:hAnsi="Microsoft YaHei Regular" w:eastAsia="Microsoft YaHei Regular" w:cs="Microsoft YaHei Regular"/>
              </w:rPr>
              <w:t>人天（含需求、开发、测试、上线）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八、计划周期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正式启动</w:t>
            </w:r>
            <w:r>
              <w:rPr>
                <w:rFonts w:hint="eastAsia" w:ascii="Microsoft YaHei Regular" w:hAnsi="Microsoft YaHei Regular" w:eastAsia="Microsoft YaHei Regular" w:cs="Microsoft YaHei Regular"/>
              </w:rPr>
              <w:t>：</w:t>
            </w: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2026-05-26，部署</w:t>
            </w:r>
            <w:r>
              <w:rPr>
                <w:rFonts w:hint="eastAsia" w:ascii="Microsoft YaHei Regular" w:hAnsi="Microsoft YaHei Regular" w:eastAsia="Microsoft YaHei Regular" w:cs="Microsoft YaHei Regular"/>
              </w:rPr>
              <w:t>上线：</w:t>
            </w: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2026-09-30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1.0版本计划2026-08-05上线，1.1版本计划2026-09-30上线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九、主要风险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 w:val="0"/>
                <w:bCs w:val="0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 w:val="0"/>
                <w:bCs w:val="0"/>
                <w:lang w:val="en-US" w:eastAsia="zh-CN"/>
              </w:rPr>
              <w:t>1.需求变更风险：因前期业务运营细节打磨不足，可能导致项目开发过程中出现需求不明确或频繁变更，影响开发进度与交付质量；</w:t>
            </w:r>
          </w:p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 w:val="0"/>
                <w:bCs w:val="0"/>
                <w:lang w:val="en-US" w:eastAsia="zh-CN"/>
              </w:rPr>
              <w:t>2.APP上架与合规风险：各大应用商店对用户隐私保护、权限申请等合规要求日趋严格，可能导致APP在上架审核过程中经历多轮驳回，延长上架周期，影响项目整体上线时间。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十、成功标准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项目上线后各端连续稳定运行1个月，无重大故障，可完整覆盖华为车主权益用车核心场景，同时成功支撑巡网尊出行业务线开展。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IT产研部评审意见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default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同意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评审意见说明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default" w:ascii="Microsoft YaHei Regular" w:hAnsi="Microsoft YaHei Regular" w:eastAsia="Microsoft YaHei Regular" w:cs="Microsoft YaHei Regular"/>
                <w:lang w:val="en-US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技术方案可行,同意立项</w:t>
            </w:r>
          </w:p>
        </w:tc>
      </w:tr>
      <w:tr>
        <w:tc>
          <w:tcPr>
            <w:tcW w:w="2164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审批人/日期</w:t>
            </w:r>
          </w:p>
        </w:tc>
        <w:tc>
          <w:tcPr>
            <w:tcW w:w="7614" w:type="dxa"/>
          </w:tcPr>
          <w:p>
            <w:pPr>
              <w:pStyle w:val="25"/>
              <w:rPr>
                <w:rFonts w:hint="default" w:ascii="Microsoft YaHei Regular" w:hAnsi="Microsoft YaHei Regular" w:eastAsia="Microsoft YaHei Regular" w:cs="Microsoft YaHei Regular"/>
                <w:lang w:val="en-US" w:eastAsia="zh-CN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张卫  2026-05-29</w:t>
            </w:r>
          </w:p>
        </w:tc>
      </w:tr>
      <w:bookmarkEnd w:id="0"/>
      <w:bookmarkEnd w:id="1"/>
    </w:tbl>
    <w:p>
      <w:pPr>
        <w:pStyle w:val="3"/>
        <w:rPr>
          <w:b/>
          <w:bCs/>
        </w:rPr>
      </w:pPr>
      <w:bookmarkStart w:id="3" w:name="附件"/>
      <w:bookmarkStart w:id="4" w:name="附件6生态业务roi测算与综合评分表"/>
    </w:p>
    <w:p>
      <w:pPr>
        <w:pStyle w:val="3"/>
      </w:pPr>
      <w:r>
        <w:rPr>
          <w:b/>
          <w:bCs/>
        </w:rPr>
        <w:t xml:space="preserve">— </w:t>
      </w:r>
      <w:r>
        <w:rPr>
          <w:rFonts w:hint="eastAsia"/>
          <w:b/>
          <w:bCs/>
        </w:rPr>
        <w:t>商业价值填写区（仅填所属业务线）—</w:t>
      </w:r>
    </w:p>
    <w:p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▷ 内部业务（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支撑</w:t>
      </w:r>
      <w:r>
        <w:rPr>
          <w:rFonts w:hint="eastAsia" w:ascii="微软雅黑" w:hAnsi="微软雅黑" w:eastAsia="微软雅黑" w:cs="微软雅黑"/>
          <w:b/>
          <w:bCs/>
        </w:rPr>
        <w:t>类）</w:t>
      </w:r>
    </w:p>
    <w:tbl>
      <w:tblPr>
        <w:tblStyle w:val="42"/>
        <w:tblW w:w="9795" w:type="dxa"/>
        <w:tblInd w:w="-22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7438"/>
      </w:tblGrid>
      <w:tr>
        <w:trPr>
          <w:tblHeader/>
        </w:trPr>
        <w:tc>
          <w:tcPr>
            <w:tcW w:w="2357" w:type="dxa"/>
            <w:shd w:val="clear" w:color="auto" w:fill="DCEAF7" w:themeFill="text2" w:themeFillTint="19"/>
          </w:tcPr>
          <w:p>
            <w:pPr>
              <w:pStyle w:val="25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</w:rPr>
              <w:t>填写项</w:t>
            </w:r>
          </w:p>
        </w:tc>
        <w:tc>
          <w:tcPr>
            <w:tcW w:w="7438" w:type="dxa"/>
          </w:tcPr>
          <w:p>
            <w:pPr>
              <w:pStyle w:val="25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u w:val="none"/>
                <w:lang w:val="en-US" w:eastAsia="zh-CN"/>
              </w:rPr>
              <w:t>尊出行出行服务平台</w:t>
            </w:r>
          </w:p>
        </w:tc>
      </w:tr>
      <w:tr>
        <w:tc>
          <w:tcPr>
            <w:tcW w:w="2357" w:type="dxa"/>
            <w:shd w:val="clear" w:color="auto" w:fill="DCEAF7" w:themeFill="text2" w:themeFillTint="19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支撑的业务场景</w:t>
            </w:r>
          </w:p>
        </w:tc>
        <w:tc>
          <w:tcPr>
            <w:tcW w:w="7438" w:type="dxa"/>
            <w:shd w:val="clear" w:color="auto" w:fill="auto"/>
            <w:vAlign w:val="top"/>
          </w:tcPr>
          <w:p>
            <w:pPr>
              <w:pStyle w:val="25"/>
              <w:rPr>
                <w:rFonts w:hint="default" w:ascii="Microsoft YaHei Regular" w:hAnsi="Microsoft YaHei Regular" w:eastAsia="Microsoft YaHei Regular" w:cs="Microsoft YaHei Regular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sz w:val="24"/>
                <w:szCs w:val="24"/>
                <w:lang w:val="en-US" w:eastAsia="zh-CN" w:bidi="ar-SA"/>
              </w:rPr>
              <w:t>尊界车主下单/一线城市客户/华为、江淮上下游供应商</w:t>
            </w:r>
          </w:p>
        </w:tc>
      </w:tr>
      <w:tr>
        <w:tc>
          <w:tcPr>
            <w:tcW w:w="2357" w:type="dxa"/>
            <w:shd w:val="clear" w:color="auto" w:fill="DCEAF7" w:themeFill="text2" w:themeFillTint="19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不做的业务损失估算</w:t>
            </w:r>
          </w:p>
        </w:tc>
        <w:tc>
          <w:tcPr>
            <w:tcW w:w="7438" w:type="dxa"/>
            <w:shd w:val="clear" w:color="auto" w:fill="auto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</w:rPr>
              <w:t>业务无法开展</w:t>
            </w:r>
          </w:p>
        </w:tc>
      </w:tr>
      <w:tr>
        <w:tc>
          <w:tcPr>
            <w:tcW w:w="2357" w:type="dxa"/>
            <w:shd w:val="clear" w:color="auto" w:fill="DCEAF7" w:themeFill="text2" w:themeFillTint="19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支撑业务规模</w:t>
            </w:r>
          </w:p>
        </w:tc>
        <w:tc>
          <w:tcPr>
            <w:tcW w:w="7438" w:type="dxa"/>
            <w:shd w:val="clear" w:color="auto" w:fill="auto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</w:rPr>
              <w:t>_</w:t>
            </w:r>
            <w:r>
              <w:rPr>
                <w:rFonts w:hint="eastAsia" w:ascii="Microsoft YaHei Regular" w:hAnsi="Microsoft YaHei Regular" w:eastAsia="Microsoft YaHei Regular" w:cs="Microsoft YaHei Regular"/>
                <w:lang w:val="en-US" w:eastAsia="zh-CN"/>
              </w:rPr>
              <w:t>1</w:t>
            </w:r>
            <w:r>
              <w:rPr>
                <w:rFonts w:hint="eastAsia" w:ascii="Microsoft YaHei Regular" w:hAnsi="Microsoft YaHei Regular" w:eastAsia="Microsoft YaHei Regular" w:cs="Microsoft YaHei Regular"/>
                <w:shd w:val="clear"/>
                <w:lang w:val="en-US" w:eastAsia="zh-CN"/>
              </w:rPr>
              <w:t>000/2000000/1000</w:t>
            </w:r>
            <w:r>
              <w:rPr>
                <w:rFonts w:hint="eastAsia" w:ascii="Microsoft YaHei Regular" w:hAnsi="Microsoft YaHei Regular" w:eastAsia="Microsoft YaHei Regular" w:cs="Microsoft YaHei Regular"/>
                <w:shd w:val="clear"/>
              </w:rPr>
              <w:t>_</w:t>
            </w:r>
            <w:r>
              <w:rPr>
                <w:rFonts w:hint="eastAsia" w:ascii="Microsoft YaHei Regular" w:hAnsi="Microsoft YaHei Regular" w:eastAsia="Microsoft YaHei Regular" w:cs="Microsoft YaHei Regular"/>
              </w:rPr>
              <w:t>_（单量/合同额/用户数）</w:t>
            </w:r>
          </w:p>
        </w:tc>
      </w:tr>
      <w:tr>
        <w:tc>
          <w:tcPr>
            <w:tcW w:w="2357" w:type="dxa"/>
            <w:shd w:val="clear" w:color="auto" w:fill="DCEAF7" w:themeFill="text2" w:themeFillTint="19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人工替代方案及成本</w:t>
            </w:r>
          </w:p>
        </w:tc>
        <w:tc>
          <w:tcPr>
            <w:tcW w:w="7438" w:type="dxa"/>
            <w:shd w:val="clear" w:color="auto" w:fill="auto"/>
            <w:vAlign w:val="top"/>
          </w:tcPr>
          <w:p>
            <w:pPr>
              <w:pStyle w:val="25"/>
              <w:rPr>
                <w:rFonts w:hint="default" w:ascii="Microsoft YaHei Regular" w:hAnsi="Microsoft YaHei Regular" w:eastAsia="Microsoft YaHei Regular" w:cs="Microsoft YaHei Regular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highlight w:val="none"/>
                <w:shd w:val="clear"/>
                <w:lang w:val="en-US" w:eastAsia="zh-CN"/>
              </w:rPr>
              <w:t>无替代方案</w:t>
            </w:r>
          </w:p>
        </w:tc>
      </w:tr>
      <w:tr>
        <w:tc>
          <w:tcPr>
            <w:tcW w:w="2357" w:type="dxa"/>
            <w:shd w:val="clear" w:color="auto" w:fill="DCEAF7" w:themeFill="text2" w:themeFillTint="19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b/>
                <w:bCs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b/>
                <w:bCs/>
              </w:rPr>
              <w:t>外采同类系统市场价参考</w:t>
            </w:r>
          </w:p>
        </w:tc>
        <w:tc>
          <w:tcPr>
            <w:tcW w:w="7438" w:type="dxa"/>
            <w:shd w:val="clear" w:color="auto" w:fill="auto"/>
            <w:vAlign w:val="top"/>
          </w:tcPr>
          <w:p>
            <w:pPr>
              <w:pStyle w:val="25"/>
              <w:rPr>
                <w:rFonts w:hint="eastAsia" w:ascii="Microsoft YaHei Regular" w:hAnsi="Microsoft YaHei Regular" w:eastAsia="Microsoft YaHei Regular" w:cs="Microsoft YaHei Regular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Microsoft YaHei Regular" w:hAnsi="Microsoft YaHei Regular" w:eastAsia="Microsoft YaHei Regular" w:cs="Microsoft YaHei Regular"/>
                <w:highlight w:val="none"/>
              </w:rPr>
              <w:t>_</w:t>
            </w:r>
            <w:r>
              <w:rPr>
                <w:rFonts w:hint="eastAsia" w:ascii="Microsoft YaHei Regular" w:hAnsi="Microsoft YaHei Regular" w:eastAsia="Microsoft YaHei Regular" w:cs="Microsoft YaHei Regular"/>
                <w:highlight w:val="none"/>
                <w:lang w:val="en-US" w:eastAsia="zh-CN"/>
              </w:rPr>
              <w:t>55</w:t>
            </w:r>
            <w:r>
              <w:rPr>
                <w:rFonts w:hint="eastAsia" w:ascii="Microsoft YaHei Regular" w:hAnsi="Microsoft YaHei Regular" w:eastAsia="Microsoft YaHei Regular" w:cs="Microsoft YaHei Regular"/>
                <w:highlight w:val="none"/>
              </w:rPr>
              <w:t>_万元</w:t>
            </w:r>
          </w:p>
        </w:tc>
      </w:tr>
    </w:tbl>
    <w:p>
      <w:pPr>
        <w:rPr>
          <w:rFonts w:hint="eastAsia" w:ascii="微软雅黑" w:hAnsi="微软雅黑" w:eastAsia="微软雅黑" w:cs="微软雅黑"/>
        </w:rPr>
      </w:pPr>
    </w:p>
    <w:bookmarkEnd w:id="2"/>
    <w:bookmarkEnd w:id="3"/>
    <w:bookmarkEnd w:id="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Microsoft YaHei Regular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Microsoft YaHei Bold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思源黑体 CN">
    <w:panose1 w:val="020B0600000000000000"/>
    <w:charset w:val="86"/>
    <w:family w:val="auto"/>
    <w:pitch w:val="default"/>
    <w:sig w:usb0="20000003" w:usb1="2ADF3C10" w:usb2="00000016" w:usb3="00000000" w:csb0="600601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E7BFB"/>
    <w:rsid w:val="01AC1E8A"/>
    <w:rsid w:val="01C622CD"/>
    <w:rsid w:val="02543863"/>
    <w:rsid w:val="025E090D"/>
    <w:rsid w:val="026E232D"/>
    <w:rsid w:val="0276077E"/>
    <w:rsid w:val="03093A1C"/>
    <w:rsid w:val="0390342D"/>
    <w:rsid w:val="03BC38C8"/>
    <w:rsid w:val="048F6F0B"/>
    <w:rsid w:val="05B60F26"/>
    <w:rsid w:val="05BB2C82"/>
    <w:rsid w:val="05D33F93"/>
    <w:rsid w:val="066E3867"/>
    <w:rsid w:val="06C42C12"/>
    <w:rsid w:val="086A075A"/>
    <w:rsid w:val="086C1F7C"/>
    <w:rsid w:val="08716511"/>
    <w:rsid w:val="090B328C"/>
    <w:rsid w:val="09687F36"/>
    <w:rsid w:val="09C45CB0"/>
    <w:rsid w:val="0AA0673D"/>
    <w:rsid w:val="0C7640EB"/>
    <w:rsid w:val="0CC72B28"/>
    <w:rsid w:val="0CCE574D"/>
    <w:rsid w:val="0E4953F6"/>
    <w:rsid w:val="0E64499F"/>
    <w:rsid w:val="0F820DD6"/>
    <w:rsid w:val="106E39B0"/>
    <w:rsid w:val="108828DE"/>
    <w:rsid w:val="115711AE"/>
    <w:rsid w:val="119A042A"/>
    <w:rsid w:val="11E94DF8"/>
    <w:rsid w:val="129060A0"/>
    <w:rsid w:val="14450D0A"/>
    <w:rsid w:val="165C4031"/>
    <w:rsid w:val="1688461B"/>
    <w:rsid w:val="17192DE6"/>
    <w:rsid w:val="18A4558C"/>
    <w:rsid w:val="19250A5C"/>
    <w:rsid w:val="1B44220A"/>
    <w:rsid w:val="1B4C1BB6"/>
    <w:rsid w:val="1BE13F0E"/>
    <w:rsid w:val="1BFF25BB"/>
    <w:rsid w:val="1C320147"/>
    <w:rsid w:val="1CEB6EAD"/>
    <w:rsid w:val="1CF95B7F"/>
    <w:rsid w:val="1D7B271B"/>
    <w:rsid w:val="1DEB4579"/>
    <w:rsid w:val="1EE72BDD"/>
    <w:rsid w:val="201A057D"/>
    <w:rsid w:val="2061584F"/>
    <w:rsid w:val="20CB4078"/>
    <w:rsid w:val="22D37906"/>
    <w:rsid w:val="230810C2"/>
    <w:rsid w:val="232B46FE"/>
    <w:rsid w:val="23906786"/>
    <w:rsid w:val="23937DB6"/>
    <w:rsid w:val="23E04B60"/>
    <w:rsid w:val="25B80EA9"/>
    <w:rsid w:val="27717EE0"/>
    <w:rsid w:val="279B62F9"/>
    <w:rsid w:val="2B0113A5"/>
    <w:rsid w:val="2B9500CA"/>
    <w:rsid w:val="2BAF28FC"/>
    <w:rsid w:val="2BB54768"/>
    <w:rsid w:val="2C4F27CA"/>
    <w:rsid w:val="2CDE0749"/>
    <w:rsid w:val="2CFF6FD0"/>
    <w:rsid w:val="2D33736D"/>
    <w:rsid w:val="2D5BBD26"/>
    <w:rsid w:val="2D600092"/>
    <w:rsid w:val="2DF971B5"/>
    <w:rsid w:val="2EC92BD7"/>
    <w:rsid w:val="2FA944B4"/>
    <w:rsid w:val="2FDB42A5"/>
    <w:rsid w:val="308D7B76"/>
    <w:rsid w:val="32933F66"/>
    <w:rsid w:val="32ED5589"/>
    <w:rsid w:val="3302587C"/>
    <w:rsid w:val="33955033"/>
    <w:rsid w:val="339938E4"/>
    <w:rsid w:val="3429382C"/>
    <w:rsid w:val="35ACE453"/>
    <w:rsid w:val="367F0E2E"/>
    <w:rsid w:val="367F124E"/>
    <w:rsid w:val="36BD3335"/>
    <w:rsid w:val="36BF62AA"/>
    <w:rsid w:val="3794291F"/>
    <w:rsid w:val="397143D6"/>
    <w:rsid w:val="39BF1043"/>
    <w:rsid w:val="3AD4138A"/>
    <w:rsid w:val="3C0F3A09"/>
    <w:rsid w:val="3CB66486"/>
    <w:rsid w:val="3E2D557A"/>
    <w:rsid w:val="3E7A1BEB"/>
    <w:rsid w:val="3ED04E41"/>
    <w:rsid w:val="407A2AF8"/>
    <w:rsid w:val="40F449DF"/>
    <w:rsid w:val="418C62BF"/>
    <w:rsid w:val="437E5660"/>
    <w:rsid w:val="43916E9E"/>
    <w:rsid w:val="445A4A93"/>
    <w:rsid w:val="45F37DE3"/>
    <w:rsid w:val="463408DC"/>
    <w:rsid w:val="46E91CA5"/>
    <w:rsid w:val="46E9F6D9"/>
    <w:rsid w:val="48004AF1"/>
    <w:rsid w:val="49122B39"/>
    <w:rsid w:val="49270808"/>
    <w:rsid w:val="4A43498A"/>
    <w:rsid w:val="4C0026C5"/>
    <w:rsid w:val="4C891933"/>
    <w:rsid w:val="4CE735DD"/>
    <w:rsid w:val="4D781E90"/>
    <w:rsid w:val="4E4B253C"/>
    <w:rsid w:val="4F4A24CF"/>
    <w:rsid w:val="4FF66F15"/>
    <w:rsid w:val="50CA13AF"/>
    <w:rsid w:val="50E17E52"/>
    <w:rsid w:val="52375D49"/>
    <w:rsid w:val="53D944ED"/>
    <w:rsid w:val="557E6F67"/>
    <w:rsid w:val="56393B24"/>
    <w:rsid w:val="57253C2E"/>
    <w:rsid w:val="576A293C"/>
    <w:rsid w:val="57A0430D"/>
    <w:rsid w:val="57B83C25"/>
    <w:rsid w:val="57FECD6F"/>
    <w:rsid w:val="58997DA8"/>
    <w:rsid w:val="58BF3546"/>
    <w:rsid w:val="5915220E"/>
    <w:rsid w:val="5A5D6041"/>
    <w:rsid w:val="5BBC0AE0"/>
    <w:rsid w:val="5BDFE308"/>
    <w:rsid w:val="5C272195"/>
    <w:rsid w:val="5C323DE8"/>
    <w:rsid w:val="5CEF79FB"/>
    <w:rsid w:val="5D416990"/>
    <w:rsid w:val="5DAE76B1"/>
    <w:rsid w:val="5EBBBF82"/>
    <w:rsid w:val="5F3DB396"/>
    <w:rsid w:val="5FBF1AE6"/>
    <w:rsid w:val="5FEF458D"/>
    <w:rsid w:val="5FFF2D61"/>
    <w:rsid w:val="640D63C3"/>
    <w:rsid w:val="64377011"/>
    <w:rsid w:val="645B760C"/>
    <w:rsid w:val="64826B0F"/>
    <w:rsid w:val="64850E0B"/>
    <w:rsid w:val="64924494"/>
    <w:rsid w:val="65E5247E"/>
    <w:rsid w:val="6673048D"/>
    <w:rsid w:val="66A749CA"/>
    <w:rsid w:val="6A8B2F68"/>
    <w:rsid w:val="6ADD536E"/>
    <w:rsid w:val="6CBE212F"/>
    <w:rsid w:val="6D611A24"/>
    <w:rsid w:val="6EFF4BA0"/>
    <w:rsid w:val="6FB01C93"/>
    <w:rsid w:val="708115C4"/>
    <w:rsid w:val="718660C7"/>
    <w:rsid w:val="72E876C2"/>
    <w:rsid w:val="72FBADB7"/>
    <w:rsid w:val="73A104DE"/>
    <w:rsid w:val="73A674F1"/>
    <w:rsid w:val="749E3D19"/>
    <w:rsid w:val="75744A9D"/>
    <w:rsid w:val="762D483D"/>
    <w:rsid w:val="766AD23F"/>
    <w:rsid w:val="779A1676"/>
    <w:rsid w:val="77FF5694"/>
    <w:rsid w:val="799F6815"/>
    <w:rsid w:val="79BE2293"/>
    <w:rsid w:val="79CABF02"/>
    <w:rsid w:val="7B067014"/>
    <w:rsid w:val="7BB34CE4"/>
    <w:rsid w:val="7C7F5A7B"/>
    <w:rsid w:val="7C8769A8"/>
    <w:rsid w:val="7CB26C1C"/>
    <w:rsid w:val="7CBA7B71"/>
    <w:rsid w:val="7D290EDC"/>
    <w:rsid w:val="7D7F47C2"/>
    <w:rsid w:val="7DB6EE14"/>
    <w:rsid w:val="7DDF37E9"/>
    <w:rsid w:val="7F37523E"/>
    <w:rsid w:val="7F3F75BF"/>
    <w:rsid w:val="7F821A44"/>
    <w:rsid w:val="7FA7F426"/>
    <w:rsid w:val="7FCFB0C1"/>
    <w:rsid w:val="7FF21877"/>
    <w:rsid w:val="7FFFBA0E"/>
    <w:rsid w:val="97DFFA25"/>
    <w:rsid w:val="9FEFB613"/>
    <w:rsid w:val="BCF8FF43"/>
    <w:rsid w:val="BFF9678A"/>
    <w:rsid w:val="CE696062"/>
    <w:rsid w:val="DBCBDA66"/>
    <w:rsid w:val="DFFF7FCE"/>
    <w:rsid w:val="EFCD2B55"/>
    <w:rsid w:val="F6AAB5E9"/>
    <w:rsid w:val="F93FDD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qFormat/>
    <w:uiPriority w:val="0"/>
    <w:rPr>
      <w:sz w:val="24"/>
    </w:rPr>
  </w:style>
  <w:style w:type="character" w:styleId="21">
    <w:name w:val="Hyperlink"/>
    <w:basedOn w:val="22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20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20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20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7 Char"/>
    <w:basedOn w:val="20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8 Char"/>
    <w:basedOn w:val="20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Heading 9 Char"/>
    <w:basedOn w:val="20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1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uiPriority w:val="0"/>
  </w:style>
  <w:style w:type="paragraph" w:customStyle="1" w:styleId="45">
    <w:name w:val="Table Caption"/>
    <w:basedOn w:val="12"/>
    <w:uiPriority w:val="0"/>
    <w:pPr>
      <w:keepNext/>
    </w:pPr>
  </w:style>
  <w:style w:type="paragraph" w:customStyle="1" w:styleId="46">
    <w:name w:val="Image Caption"/>
    <w:basedOn w:val="12"/>
    <w:qFormat/>
    <w:uiPriority w:val="0"/>
  </w:style>
  <w:style w:type="paragraph" w:customStyle="1" w:styleId="47">
    <w:name w:val="Figure"/>
    <w:basedOn w:val="1"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22"/>
    <w:link w:val="50"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22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qFormat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qFormat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qFormat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2026-05-16T13:55:00Z</dcterms:created>
  <dc:creator>胡振翔</dc:creator>
  <cp:lastModifiedBy>胡振翔</cp:lastModifiedBy>
  <dcterms:modified xsi:type="dcterms:W3CDTF">2026-05-29T16:41:03Z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B2A2BECB7ED935BC1F51196A91D3F6DD_43</vt:lpwstr>
  </property>
</Properties>
</file>