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Songti SC Regular" w:hAnsi="Songti SC Regular" w:eastAsia="Songti SC Regular" w:cs="Songti SC Regular"/>
          <w:b/>
          <w:color w:val="000000" w:themeColor="text1"/>
          <w:sz w:val="44"/>
          <w14:textFill>
            <w14:solidFill>
              <w14:schemeClr w14:val="tx1"/>
            </w14:solidFill>
          </w14:textFill>
        </w:rPr>
      </w:pPr>
    </w:p>
    <w:p>
      <w:pPr>
        <w:jc w:val="center"/>
        <w:rPr>
          <w:rFonts w:hint="eastAsia" w:ascii="Songti SC Regular" w:hAnsi="Songti SC Regular" w:eastAsia="Songti SC Regular" w:cs="Songti SC Regular"/>
          <w:b/>
          <w:color w:val="000000" w:themeColor="text1"/>
          <w:sz w:val="44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color w:val="000000" w:themeColor="text1"/>
          <w:sz w:val="44"/>
          <w14:textFill>
            <w14:solidFill>
              <w14:schemeClr w14:val="tx1"/>
            </w14:solidFill>
          </w14:textFill>
        </w:rPr>
        <w:t>尊出行 · 初步方案说明</w:t>
      </w:r>
    </w:p>
    <w:p>
      <w:pPr>
        <w:jc w:val="center"/>
        <w:rPr>
          <w:rFonts w:hint="eastAsia" w:ascii="Songti SC Regular" w:hAnsi="Songti SC Regular" w:eastAsia="Songti SC Regular" w:cs="Songti SC Regular"/>
          <w:b/>
          <w:color w:val="000000" w:themeColor="text1"/>
          <w:sz w:val="44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Bdr>
          <w:bottom w:val="single" w:color="D4A853" w:sz="6" w:space="4"/>
        </w:pBd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一、项目概述</w:t>
      </w:r>
    </w:p>
    <w:p>
      <w:pP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  <w:t>尊出行是面向尊界品牌的高端出行服务平台，产品形态为微信小程序 + APP（iOS/Android/鸿蒙）+ PC Web 后台，四端协同覆盖出行全链路。</w:t>
      </w:r>
    </w:p>
    <w:p>
      <w:pPr>
        <w:pBdr>
          <w:bottom w:val="single" w:color="D4A853" w:sz="6" w:space="4"/>
        </w:pBd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二、系统架构</w:t>
      </w:r>
    </w:p>
    <w:p>
      <w:pP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乘客端</w:t>
      </w:r>
    </w:p>
    <w:p>
      <w:pPr>
        <w:pStyle w:val="16"/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color w:val="000000" w:themeColor="text1"/>
          <w14:textFill>
            <w14:solidFill>
              <w14:schemeClr w14:val="tx1"/>
            </w14:solidFill>
          </w14:textFill>
        </w:rPr>
        <w:t>产品形态：</w:t>
      </w:r>
      <w: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  <w:t>微信小程序 + iOS/Android/鸿蒙 APP</w:t>
      </w:r>
    </w:p>
    <w:p>
      <w:pPr>
        <w:pStyle w:val="16"/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color w:val="000000" w:themeColor="text1"/>
          <w14:textFill>
            <w14:solidFill>
              <w14:schemeClr w14:val="tx1"/>
            </w14:solidFill>
          </w14:textFill>
        </w:rPr>
        <w:t>企业员工：</w:t>
      </w:r>
      <w: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  <w:t>公商务出行（预约用车 / 机场用车 / 包车出行）</w:t>
      </w:r>
    </w:p>
    <w:p>
      <w:pPr>
        <w:pStyle w:val="16"/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color w:val="000000" w:themeColor="text1"/>
          <w14:textFill>
            <w14:solidFill>
              <w14:schemeClr w14:val="tx1"/>
            </w14:solidFill>
          </w14:textFill>
        </w:rPr>
        <w:t>尊界车主：</w:t>
      </w:r>
      <w: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  <w:t>权益用车</w:t>
      </w:r>
    </w:p>
    <w:p>
      <w:pP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司机端</w:t>
      </w:r>
    </w:p>
    <w:p>
      <w:pPr>
        <w:pStyle w:val="16"/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color w:val="000000" w:themeColor="text1"/>
          <w14:textFill>
            <w14:solidFill>
              <w14:schemeClr w14:val="tx1"/>
            </w14:solidFill>
          </w14:textFill>
        </w:rPr>
        <w:t>产品形态：</w:t>
      </w:r>
      <w: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  <w:t>微信小程序 + iOS/Android/鸿蒙 APP</w:t>
      </w:r>
    </w:p>
    <w:p>
      <w:pPr>
        <w:pStyle w:val="16"/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color w:val="000000" w:themeColor="text1"/>
          <w14:textFill>
            <w14:solidFill>
              <w14:schemeClr w14:val="tx1"/>
            </w14:solidFill>
          </w14:textFill>
        </w:rPr>
        <w:t>司机使用：</w:t>
      </w:r>
      <w: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  <w:t>接单 / 行程执行 / 送取车 / 收入报表 / 环检拍照</w:t>
      </w:r>
    </w:p>
    <w:p>
      <w:pP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企业端</w:t>
      </w:r>
    </w:p>
    <w:p>
      <w:pPr>
        <w:pStyle w:val="16"/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color w:val="000000" w:themeColor="text1"/>
          <w14:textFill>
            <w14:solidFill>
              <w14:schemeClr w14:val="tx1"/>
            </w14:solidFill>
          </w14:textFill>
        </w:rPr>
        <w:t>产品形态：</w:t>
      </w:r>
      <w: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  <w:t>PC Web 后台</w:t>
      </w:r>
    </w:p>
    <w:p>
      <w:pPr>
        <w:pStyle w:val="16"/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color w:val="000000" w:themeColor="text1"/>
          <w14:textFill>
            <w14:solidFill>
              <w14:schemeClr w14:val="tx1"/>
            </w14:solidFill>
          </w14:textFill>
        </w:rPr>
        <w:t>企业管理员使用：</w:t>
      </w:r>
      <w: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  <w:t>员工管理 / 额度查看 / 订单查看 / 月度账单</w:t>
      </w:r>
    </w:p>
    <w:p>
      <w:pP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尊界运营端</w:t>
      </w:r>
    </w:p>
    <w:p>
      <w:pPr>
        <w:pStyle w:val="16"/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color w:val="000000" w:themeColor="text1"/>
          <w14:textFill>
            <w14:solidFill>
              <w14:schemeClr w14:val="tx1"/>
            </w14:solidFill>
          </w14:textFill>
        </w:rPr>
        <w:t>产品形态：</w:t>
      </w:r>
      <w: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  <w:t>PC Web 后台</w:t>
      </w:r>
    </w:p>
    <w:p>
      <w:pPr>
        <w:pStyle w:val="16"/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color w:val="000000" w:themeColor="text1"/>
          <w14:textFill>
            <w14:solidFill>
              <w14:schemeClr w14:val="tx1"/>
            </w14:solidFill>
          </w14:textFill>
        </w:rPr>
        <w:t>尊界运营方使用：</w:t>
      </w:r>
      <w: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  <w:t>全平台管控，含企业管理、调度、车辆/司机、车主权益、财务等</w:t>
      </w:r>
    </w:p>
    <w:p>
      <w:pPr>
        <w:pStyle w:val="16"/>
        <w:numPr>
          <w:numId w:val="0"/>
        </w:numPr>
        <w:spacing w:after="120" w:line="360" w:lineRule="auto"/>
        <w:contextualSpacing/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7"/>
        </w:numPr>
        <w:pBdr>
          <w:bottom w:val="single" w:color="D4A853" w:sz="6" w:space="4"/>
        </w:pBdr>
        <w:rPr>
          <w:rFonts w:hint="eastAsia" w:ascii="Songti SC Regular" w:hAnsi="Songti SC Regular" w:eastAsia="Songti SC Regular" w:cs="Songti SC Regular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业务流程</w:t>
      </w:r>
    </w:p>
    <w:p>
      <w:pPr>
        <w:pBdr>
          <w:bottom w:val="single" w:color="D4A853" w:sz="6" w:space="4"/>
        </w:pBdr>
        <w:rPr>
          <w:rFonts w:hint="default" w:eastAsia="SimSu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SimSu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整体业务流程</w:t>
      </w:r>
    </w:p>
    <w:p>
      <w:pPr>
        <w:pBdr>
          <w:bottom w:val="single" w:color="D4A853" w:sz="6" w:space="4"/>
        </w:pBdr>
        <w:rPr>
          <w:rFonts w:hint="eastAsia" w:ascii="Songti SC Regular" w:hAnsi="Songti SC Regular" w:eastAsia="Songti SC Regular" w:cs="Songti SC Regular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964555" cy="1153160"/>
            <wp:effectExtent l="0" t="0" r="4445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4555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Bdr>
          <w:bottom w:val="single" w:color="D4A853" w:sz="6" w:space="4"/>
        </w:pBdr>
        <w:rPr>
          <w:rFonts w:hint="default" w:ascii="Songti SC Regular" w:hAnsi="Songti SC Regular" w:eastAsia="Songti SC Regular" w:cs="Songti SC Regular"/>
          <w:b w:val="0"/>
          <w:bCs/>
          <w:color w:val="000000" w:themeColor="text1"/>
          <w:sz w:val="22"/>
          <w:szCs w:val="1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 w:val="0"/>
          <w:bCs/>
          <w:color w:val="000000" w:themeColor="text1"/>
          <w:sz w:val="22"/>
          <w:szCs w:val="18"/>
          <w:lang w:val="en-US" w:eastAsia="zh-CN"/>
          <w14:textFill>
            <w14:solidFill>
              <w14:schemeClr w14:val="tx1"/>
            </w14:solidFill>
          </w14:textFill>
        </w:rPr>
        <w:t>预约用车流程                                           包车出行流程</w:t>
      </w:r>
    </w:p>
    <w:p>
      <w:pPr>
        <w:pBdr>
          <w:bottom w:val="single" w:color="D4A853" w:sz="6" w:space="4"/>
        </w:pBd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718310" cy="5611495"/>
            <wp:effectExtent l="0" t="0" r="889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8310" cy="561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6665" cy="5612765"/>
            <wp:effectExtent l="0" t="0" r="1333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6665" cy="561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Bdr>
          <w:bottom w:val="single" w:color="D4A853" w:sz="6" w:space="4"/>
        </w:pBdr>
        <w:rPr>
          <w:rFonts w:hint="default" w:eastAsia="SimSu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eastAsia="SimSun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机场用车流程                                                                 车主权益用车流程</w:t>
      </w:r>
    </w:p>
    <w:p>
      <w:pPr>
        <w:pBdr>
          <w:bottom w:val="single" w:color="D4A853" w:sz="6" w:space="4"/>
        </w:pBd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955290" cy="6899910"/>
            <wp:effectExtent l="0" t="0" r="1651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5290" cy="689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50160" cy="6957695"/>
            <wp:effectExtent l="0" t="0" r="1524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0160" cy="695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Bdr>
          <w:bottom w:val="single" w:color="D4A853" w:sz="6" w:space="4"/>
        </w:pBd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Bdr>
          <w:bottom w:val="single" w:color="D4A853" w:sz="6" w:space="4"/>
        </w:pBd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pBdr>
          <w:bottom w:val="single" w:color="D4A853" w:sz="6" w:space="4"/>
        </w:pBd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pBdr>
          <w:bottom w:val="single" w:color="D4A853" w:sz="6" w:space="4"/>
        </w:pBd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四、各端功能说明</w:t>
      </w:r>
    </w:p>
    <w:p>
      <w:pP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4.1 乘客端</w:t>
      </w:r>
    </w:p>
    <w:p>
      <w:pPr>
        <w:pStyle w:val="16"/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  <w:t>微信/手机号登录，支持地图选址（手动输入/地图选点/常用地址）</w:t>
      </w:r>
    </w:p>
    <w:p>
      <w:pPr>
        <w:pStyle w:val="16"/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  <w:t>四种出行场景：预约用车、机场用车（航班号搜索对接航班 API）、包车出行（4h/8h 套餐，可选配司机）、权益用车（权益次数自动抵扣）</w:t>
      </w:r>
    </w:p>
    <w:p>
      <w:pPr>
        <w:pStyle w:val="16"/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  <w:t>三种支付入口：个人微信/支付宝支付、企业额度支付、权益抵扣</w:t>
      </w:r>
    </w:p>
    <w:p>
      <w:pPr>
        <w:pStyle w:val="16"/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  <w:t>支持帮他人叫车（填写乘车人姓名+手机号），企业员工自动关联企业身份</w:t>
      </w:r>
    </w:p>
    <w:p>
      <w:pPr>
        <w:pStyle w:val="16"/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  <w:t>订单状态实时追踪，行程完成后评价并申请电子发票</w:t>
      </w:r>
    </w:p>
    <w:p>
      <w:pP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4.2 司机端</w:t>
      </w:r>
    </w:p>
    <w:p>
      <w:pPr>
        <w:pStyle w:val="16"/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  <w:t>实名认证（身份证+驾驶证+人脸核验），出车前环检拍照（自动加水印）</w:t>
      </w:r>
    </w:p>
    <w:p>
      <w:pPr>
        <w:pStyle w:val="16"/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  <w:t>接收派单通知，一键导航，行程状态上报（到达确认/开始行程/完成）</w:t>
      </w:r>
    </w:p>
    <w:p>
      <w:pPr>
        <w:pStyle w:val="16"/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  <w:t>送取车任务：包车不配司机场景下送车至约定地点、到期取回，验车拍照留底</w:t>
      </w:r>
    </w:p>
    <w:p>
      <w:pPr>
        <w:pStyle w:val="16"/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  <w:t>虚拟号码通话保护司乘隐私</w:t>
      </w:r>
    </w:p>
    <w:p>
      <w:pPr>
        <w:pStyle w:val="16"/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  <w:t>收入按月汇总，明细可查</w:t>
      </w:r>
    </w:p>
    <w:p>
      <w:pP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4.3 企业后台</w:t>
      </w:r>
    </w:p>
    <w:p>
      <w:pPr>
        <w:pStyle w:val="16"/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  <w:t>员工管理：手机号添加/删除，可勾选管理员权限</w:t>
      </w:r>
    </w:p>
    <w:p>
      <w:pPr>
        <w:pStyle w:val="16"/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  <w:t>额度看板：总额度、已用额度、剩余额度实时展示</w:t>
      </w:r>
    </w:p>
    <w:p>
      <w:pPr>
        <w:pStyle w:val="16"/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  <w:t>订单查询：支持按时间/员工/场景筛选</w:t>
      </w:r>
    </w:p>
    <w:p>
      <w:pPr>
        <w:pStyle w:val="16"/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  <w:t>月度账单：总览 + 导出，支持线下对账结算</w:t>
      </w:r>
    </w:p>
    <w:p>
      <w:pP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4.4 尊界运营后台</w:t>
      </w:r>
    </w:p>
    <w:p>
      <w:pPr>
        <w:pStyle w:val="16"/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color w:val="000000" w:themeColor="text1"/>
          <w14:textFill>
            <w14:solidFill>
              <w14:schemeClr w14:val="tx1"/>
            </w14:solidFill>
          </w14:textFill>
        </w:rPr>
        <w:t>权限管理：</w:t>
      </w:r>
      <w: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  <w:t>角色分级（超级管理员/运营/财务/客服），操作日志记录</w:t>
      </w:r>
    </w:p>
    <w:p>
      <w:pPr>
        <w:pStyle w:val="16"/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color w:val="000000" w:themeColor="text1"/>
          <w14:textFill>
            <w14:solidFill>
              <w14:schemeClr w14:val="tx1"/>
            </w14:solidFill>
          </w14:textFill>
        </w:rPr>
        <w:t>运营区域：</w:t>
      </w:r>
      <w: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  <w:t>地图多边形围栏绘制，出发地不在区域内不可下单</w:t>
      </w:r>
    </w:p>
    <w:p>
      <w:pPr>
        <w:pStyle w:val="16"/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color w:val="000000" w:themeColor="text1"/>
          <w14:textFill>
            <w14:solidFill>
              <w14:schemeClr w14:val="tx1"/>
            </w14:solidFill>
          </w14:textFill>
        </w:rPr>
        <w:t>企业管理：</w:t>
      </w:r>
      <w: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  <w:t>入驻审核（小程序申请+后台直接添加）、额度设置与调整、状态管理</w:t>
      </w:r>
    </w:p>
    <w:p>
      <w:pPr>
        <w:pStyle w:val="16"/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color w:val="000000" w:themeColor="text1"/>
          <w14:textFill>
            <w14:solidFill>
              <w14:schemeClr w14:val="tx1"/>
            </w14:solidFill>
          </w14:textFill>
        </w:rPr>
        <w:t>调度管理：</w:t>
      </w:r>
      <w: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  <w:t>系统自动派单 + 手动改派，车辆/司机多对多绑定 + 按小时排班</w:t>
      </w:r>
    </w:p>
    <w:p>
      <w:pPr>
        <w:pStyle w:val="16"/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color w:val="000000" w:themeColor="text1"/>
          <w14:textFill>
            <w14:solidFill>
              <w14:schemeClr w14:val="tx1"/>
            </w14:solidFill>
          </w14:textFill>
        </w:rPr>
        <w:t>订单管理：</w:t>
      </w:r>
      <w: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  <w:t>全维度查询、状态修改、异常标记、送取车任务关联</w:t>
      </w:r>
    </w:p>
    <w:p>
      <w:pPr>
        <w:pStyle w:val="16"/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color w:val="000000" w:themeColor="text1"/>
          <w14:textFill>
            <w14:solidFill>
              <w14:schemeClr w14:val="tx1"/>
            </w14:solidFill>
          </w14:textFill>
        </w:rPr>
        <w:t>车主权益：</w:t>
      </w:r>
      <w: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  <w:t>车主信息维护（支持批量导入）、年度权益次数配置、使用明细统计</w:t>
      </w:r>
    </w:p>
    <w:p>
      <w:pPr>
        <w:pStyle w:val="16"/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color w:val="000000" w:themeColor="text1"/>
          <w14:textFill>
            <w14:solidFill>
              <w14:schemeClr w14:val="tx1"/>
            </w14:solidFill>
          </w14:textFill>
        </w:rPr>
        <w:t>财务管理：</w:t>
      </w:r>
      <w: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  <w:t>企业账单生成与对账结算、退款管理、司机账单（按抽成比例自动计算）</w:t>
      </w:r>
    </w:p>
    <w:p>
      <w:pPr>
        <w:pStyle w:val="16"/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color w:val="000000" w:themeColor="text1"/>
          <w14:textFill>
            <w14:solidFill>
              <w14:schemeClr w14:val="tx1"/>
            </w14:solidFill>
          </w14:textFill>
        </w:rPr>
        <w:t>定价配置：</w:t>
      </w:r>
      <w: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  <w:t>各场景计费参数、司机抽成比例、违约金规则可灵活配置</w:t>
      </w:r>
    </w:p>
    <w:p>
      <w:pPr>
        <w:pStyle w:val="16"/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color w:val="000000" w:themeColor="text1"/>
          <w14:textFill>
            <w14:solidFill>
              <w14:schemeClr w14:val="tx1"/>
            </w14:solidFill>
          </w14:textFill>
        </w:rPr>
        <w:t>数据报表：</w:t>
      </w:r>
      <w: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  <w:t>核心运营数据统计，Excel 导出</w:t>
      </w:r>
    </w:p>
    <w:p>
      <w:pPr>
        <w:pBdr>
          <w:bottom w:val="single" w:color="D4A853" w:sz="6" w:space="4"/>
        </w:pBd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五、技术选型</w:t>
      </w:r>
    </w:p>
    <w:p>
      <w:pP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5.1 客户端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>
        <w:tc>
          <w:tcPr>
            <w:tcW w:w="4703" w:type="dxa"/>
          </w:tcPr>
          <w:p>
            <w:pPr>
              <w:rPr>
                <w:rFonts w:hint="eastAsia" w:ascii="Songti SC Regular" w:hAnsi="Songti SC Regular" w:eastAsia="Songti SC Regular" w:cs="Songti SC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ngti SC Regular" w:hAnsi="Songti SC Regular" w:eastAsia="Songti SC Regular" w:cs="Songti SC Regular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端</w:t>
            </w:r>
          </w:p>
        </w:tc>
        <w:tc>
          <w:tcPr>
            <w:tcW w:w="4703" w:type="dxa"/>
          </w:tcPr>
          <w:p>
            <w:pPr>
              <w:rPr>
                <w:rFonts w:hint="eastAsia" w:ascii="Songti SC Regular" w:hAnsi="Songti SC Regular" w:eastAsia="Songti SC Regular" w:cs="Songti SC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ngti SC Regular" w:hAnsi="Songti SC Regular" w:eastAsia="Songti SC Regular" w:cs="Songti SC Regular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技术方案</w:t>
            </w:r>
          </w:p>
        </w:tc>
      </w:tr>
      <w:tr>
        <w:tc>
          <w:tcPr>
            <w:tcW w:w="4703" w:type="dxa"/>
          </w:tcPr>
          <w:p>
            <w:pPr>
              <w:rPr>
                <w:rFonts w:hint="eastAsia" w:ascii="Songti SC Regular" w:hAnsi="Songti SC Regular" w:eastAsia="Songti SC Regular" w:cs="Songti SC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ngti SC Regular" w:hAnsi="Songti SC Regular" w:eastAsia="Songti SC Regular" w:cs="Songti SC Regular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乘客端</w:t>
            </w:r>
          </w:p>
        </w:tc>
        <w:tc>
          <w:tcPr>
            <w:tcW w:w="4703" w:type="dxa"/>
          </w:tcPr>
          <w:p>
            <w:pPr>
              <w:rPr>
                <w:rFonts w:hint="eastAsia" w:ascii="Songti SC Regular" w:hAnsi="Songti SC Regular" w:eastAsia="Songti SC Regular" w:cs="Songti SC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ngti SC Regular" w:hAnsi="Songti SC Regular" w:eastAsia="Songti SC Regular" w:cs="Songti SC Regular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微信小程序 + iOS APP + Android APP + 鸿蒙 APP</w:t>
            </w:r>
          </w:p>
        </w:tc>
      </w:tr>
      <w:tr>
        <w:tc>
          <w:tcPr>
            <w:tcW w:w="4703" w:type="dxa"/>
          </w:tcPr>
          <w:p>
            <w:pPr>
              <w:rPr>
                <w:rFonts w:hint="eastAsia" w:ascii="Songti SC Regular" w:hAnsi="Songti SC Regular" w:eastAsia="Songti SC Regular" w:cs="Songti SC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ngti SC Regular" w:hAnsi="Songti SC Regular" w:eastAsia="Songti SC Regular" w:cs="Songti SC Regular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司机端</w:t>
            </w:r>
          </w:p>
        </w:tc>
        <w:tc>
          <w:tcPr>
            <w:tcW w:w="4703" w:type="dxa"/>
          </w:tcPr>
          <w:p>
            <w:pPr>
              <w:rPr>
                <w:rFonts w:hint="eastAsia" w:ascii="Songti SC Regular" w:hAnsi="Songti SC Regular" w:eastAsia="Songti SC Regular" w:cs="Songti SC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ngti SC Regular" w:hAnsi="Songti SC Regular" w:eastAsia="Songti SC Regular" w:cs="Songti SC Regular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微信小程序 + iOS APP + Android APP + 鸿蒙 APP</w:t>
            </w:r>
          </w:p>
        </w:tc>
      </w:tr>
    </w:tbl>
    <w:p>
      <w:pP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5.2 管理后台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>
        <w:tc>
          <w:tcPr>
            <w:tcW w:w="4703" w:type="dxa"/>
          </w:tcPr>
          <w:p>
            <w:pPr>
              <w:rPr>
                <w:rFonts w:hint="eastAsia" w:ascii="Songti SC Regular" w:hAnsi="Songti SC Regular" w:eastAsia="Songti SC Regular" w:cs="Songti SC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ngti SC Regular" w:hAnsi="Songti SC Regular" w:eastAsia="Songti SC Regular" w:cs="Songti SC Regular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层级</w:t>
            </w:r>
          </w:p>
        </w:tc>
        <w:tc>
          <w:tcPr>
            <w:tcW w:w="4703" w:type="dxa"/>
          </w:tcPr>
          <w:p>
            <w:pPr>
              <w:rPr>
                <w:rFonts w:hint="eastAsia" w:ascii="Songti SC Regular" w:hAnsi="Songti SC Regular" w:eastAsia="Songti SC Regular" w:cs="Songti SC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ngti SC Regular" w:hAnsi="Songti SC Regular" w:eastAsia="Songti SC Regular" w:cs="Songti SC Regular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</w:t>
            </w:r>
          </w:p>
        </w:tc>
      </w:tr>
      <w:tr>
        <w:tc>
          <w:tcPr>
            <w:tcW w:w="4703" w:type="dxa"/>
          </w:tcPr>
          <w:p>
            <w:pPr>
              <w:rPr>
                <w:rFonts w:hint="eastAsia" w:ascii="Songti SC Regular" w:hAnsi="Songti SC Regular" w:eastAsia="Songti SC Regular" w:cs="Songti SC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ngti SC Regular" w:hAnsi="Songti SC Regular" w:eastAsia="Songti SC Regular" w:cs="Songti SC Regular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前端框架</w:t>
            </w:r>
          </w:p>
        </w:tc>
        <w:tc>
          <w:tcPr>
            <w:tcW w:w="4703" w:type="dxa"/>
          </w:tcPr>
          <w:p>
            <w:pPr>
              <w:rPr>
                <w:rFonts w:hint="eastAsia" w:ascii="Songti SC Regular" w:hAnsi="Songti SC Regular" w:eastAsia="Songti SC Regular" w:cs="Songti SC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ngti SC Regular" w:hAnsi="Songti SC Regular" w:eastAsia="Songti SC Regular" w:cs="Songti SC Regular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Vue 3 / React + TypeScript</w:t>
            </w:r>
          </w:p>
        </w:tc>
      </w:tr>
      <w:tr>
        <w:tc>
          <w:tcPr>
            <w:tcW w:w="4703" w:type="dxa"/>
          </w:tcPr>
          <w:p>
            <w:pPr>
              <w:rPr>
                <w:rFonts w:hint="eastAsia" w:ascii="Songti SC Regular" w:hAnsi="Songti SC Regular" w:eastAsia="Songti SC Regular" w:cs="Songti SC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ngti SC Regular" w:hAnsi="Songti SC Regular" w:eastAsia="Songti SC Regular" w:cs="Songti SC Regular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后端框架</w:t>
            </w:r>
          </w:p>
        </w:tc>
        <w:tc>
          <w:tcPr>
            <w:tcW w:w="4703" w:type="dxa"/>
          </w:tcPr>
          <w:p>
            <w:pPr>
              <w:rPr>
                <w:rFonts w:hint="eastAsia" w:ascii="Songti SC Regular" w:hAnsi="Songti SC Regular" w:eastAsia="Songti SC Regular" w:cs="Songti SC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ngti SC Regular" w:hAnsi="Songti SC Regular" w:eastAsia="Songti SC Regular" w:cs="Songti SC Regular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Java（Spring Boot）</w:t>
            </w:r>
          </w:p>
        </w:tc>
      </w:tr>
      <w:tr>
        <w:tc>
          <w:tcPr>
            <w:tcW w:w="4703" w:type="dxa"/>
          </w:tcPr>
          <w:p>
            <w:pPr>
              <w:rPr>
                <w:rFonts w:hint="eastAsia" w:ascii="Songti SC Regular" w:hAnsi="Songti SC Regular" w:eastAsia="Songti SC Regular" w:cs="Songti SC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ngti SC Regular" w:hAnsi="Songti SC Regular" w:eastAsia="Songti SC Regular" w:cs="Songti SC Regular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数据库</w:t>
            </w:r>
          </w:p>
        </w:tc>
        <w:tc>
          <w:tcPr>
            <w:tcW w:w="4703" w:type="dxa"/>
          </w:tcPr>
          <w:p>
            <w:pPr>
              <w:rPr>
                <w:rFonts w:hint="eastAsia" w:ascii="Songti SC Regular" w:hAnsi="Songti SC Regular" w:eastAsia="Songti SC Regular" w:cs="Songti SC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ngti SC Regular" w:hAnsi="Songti SC Regular" w:eastAsia="Songti SC Regular" w:cs="Songti SC Regular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MySQL</w:t>
            </w:r>
          </w:p>
        </w:tc>
      </w:tr>
      <w:tr>
        <w:tc>
          <w:tcPr>
            <w:tcW w:w="4703" w:type="dxa"/>
          </w:tcPr>
          <w:p>
            <w:pPr>
              <w:rPr>
                <w:rFonts w:hint="eastAsia" w:ascii="Songti SC Regular" w:hAnsi="Songti SC Regular" w:eastAsia="Songti SC Regular" w:cs="Songti SC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ngti SC Regular" w:hAnsi="Songti SC Regular" w:eastAsia="Songti SC Regular" w:cs="Songti SC Regular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缓存</w:t>
            </w:r>
          </w:p>
        </w:tc>
        <w:tc>
          <w:tcPr>
            <w:tcW w:w="4703" w:type="dxa"/>
          </w:tcPr>
          <w:p>
            <w:pPr>
              <w:rPr>
                <w:rFonts w:hint="eastAsia" w:ascii="Songti SC Regular" w:hAnsi="Songti SC Regular" w:eastAsia="Songti SC Regular" w:cs="Songti SC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ngti SC Regular" w:hAnsi="Songti SC Regular" w:eastAsia="Songti SC Regular" w:cs="Songti SC Regular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Redis</w:t>
            </w:r>
          </w:p>
        </w:tc>
      </w:tr>
    </w:tbl>
    <w:p>
      <w:pP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5.3 基础设施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>
        <w:tc>
          <w:tcPr>
            <w:tcW w:w="4703" w:type="dxa"/>
          </w:tcPr>
          <w:p>
            <w:pPr>
              <w:rPr>
                <w:rFonts w:hint="eastAsia" w:ascii="Songti SC Regular" w:hAnsi="Songti SC Regular" w:eastAsia="Songti SC Regular" w:cs="Songti SC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ngti SC Regular" w:hAnsi="Songti SC Regular" w:eastAsia="Songti SC Regular" w:cs="Songti SC Regular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4703" w:type="dxa"/>
          </w:tcPr>
          <w:p>
            <w:pPr>
              <w:rPr>
                <w:rFonts w:hint="eastAsia" w:ascii="Songti SC Regular" w:hAnsi="Songti SC Regular" w:eastAsia="Songti SC Regular" w:cs="Songti SC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ngti SC Regular" w:hAnsi="Songti SC Regular" w:eastAsia="Songti SC Regular" w:cs="Songti SC Regular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方案</w:t>
            </w:r>
          </w:p>
        </w:tc>
      </w:tr>
      <w:tr>
        <w:tc>
          <w:tcPr>
            <w:tcW w:w="4703" w:type="dxa"/>
          </w:tcPr>
          <w:p>
            <w:pPr>
              <w:rPr>
                <w:rFonts w:hint="eastAsia" w:ascii="Songti SC Regular" w:hAnsi="Songti SC Regular" w:eastAsia="Songti SC Regular" w:cs="Songti SC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ngti SC Regular" w:hAnsi="Songti SC Regular" w:eastAsia="Songti SC Regular" w:cs="Songti SC Regular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部署环境</w:t>
            </w:r>
          </w:p>
        </w:tc>
        <w:tc>
          <w:tcPr>
            <w:tcW w:w="4703" w:type="dxa"/>
          </w:tcPr>
          <w:p>
            <w:pPr>
              <w:rPr>
                <w:rFonts w:hint="eastAsia" w:ascii="Songti SC Regular" w:hAnsi="Songti SC Regular" w:eastAsia="Songti SC Regular" w:cs="Songti SC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ngti SC Regular" w:hAnsi="Songti SC Regular" w:eastAsia="Songti SC Regular" w:cs="Songti SC Regular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华为云</w:t>
            </w:r>
          </w:p>
        </w:tc>
      </w:tr>
      <w:tr>
        <w:tc>
          <w:tcPr>
            <w:tcW w:w="4703" w:type="dxa"/>
          </w:tcPr>
          <w:p>
            <w:pPr>
              <w:rPr>
                <w:rFonts w:hint="eastAsia" w:ascii="Songti SC Regular" w:hAnsi="Songti SC Regular" w:eastAsia="Songti SC Regular" w:cs="Songti SC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ngti SC Regular" w:hAnsi="Songti SC Regular" w:eastAsia="Songti SC Regular" w:cs="Songti SC Regular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容器化</w:t>
            </w:r>
          </w:p>
        </w:tc>
        <w:tc>
          <w:tcPr>
            <w:tcW w:w="4703" w:type="dxa"/>
          </w:tcPr>
          <w:p>
            <w:pPr>
              <w:rPr>
                <w:rFonts w:hint="eastAsia" w:ascii="Songti SC Regular" w:hAnsi="Songti SC Regular" w:eastAsia="Songti SC Regular" w:cs="Songti SC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ngti SC Regular" w:hAnsi="Songti SC Regular" w:eastAsia="Songti SC Regular" w:cs="Songti SC Regular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Docker</w:t>
            </w:r>
          </w:p>
        </w:tc>
      </w:tr>
      <w:tr>
        <w:tc>
          <w:tcPr>
            <w:tcW w:w="4703" w:type="dxa"/>
          </w:tcPr>
          <w:p>
            <w:pPr>
              <w:rPr>
                <w:rFonts w:hint="eastAsia" w:ascii="Songti SC Regular" w:hAnsi="Songti SC Regular" w:eastAsia="Songti SC Regular" w:cs="Songti SC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ngti SC Regular" w:hAnsi="Songti SC Regular" w:eastAsia="Songti SC Regular" w:cs="Songti SC Regular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CI/CD</w:t>
            </w:r>
          </w:p>
        </w:tc>
        <w:tc>
          <w:tcPr>
            <w:tcW w:w="4703" w:type="dxa"/>
          </w:tcPr>
          <w:p>
            <w:pPr>
              <w:rPr>
                <w:rFonts w:hint="eastAsia" w:ascii="Songti SC Regular" w:hAnsi="Songti SC Regular" w:eastAsia="Songti SC Regular" w:cs="Songti SC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ngti SC Regular" w:hAnsi="Songti SC Regular" w:eastAsia="Songti SC Regular" w:cs="Songti SC Regular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华为云 DevOps</w:t>
            </w:r>
          </w:p>
        </w:tc>
      </w:tr>
    </w:tbl>
    <w:p>
      <w:pP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Songti SC Regular" w:hAnsi="Songti SC Regular" w:eastAsia="Songti SC Regular" w:cs="Songti SC Regular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5.4 第三方服务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>
        <w:tc>
          <w:tcPr>
            <w:tcW w:w="4703" w:type="dxa"/>
          </w:tcPr>
          <w:p>
            <w:pPr>
              <w:rPr>
                <w:rFonts w:hint="eastAsia" w:ascii="Songti SC Regular" w:hAnsi="Songti SC Regular" w:eastAsia="Songti SC Regular" w:cs="Songti SC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ngti SC Regular" w:hAnsi="Songti SC Regular" w:eastAsia="Songti SC Regular" w:cs="Songti SC Regular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服务</w:t>
            </w:r>
          </w:p>
        </w:tc>
        <w:tc>
          <w:tcPr>
            <w:tcW w:w="4703" w:type="dxa"/>
          </w:tcPr>
          <w:p>
            <w:pPr>
              <w:rPr>
                <w:rFonts w:hint="eastAsia" w:ascii="Songti SC Regular" w:hAnsi="Songti SC Regular" w:eastAsia="Songti SC Regular" w:cs="Songti SC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ngti SC Regular" w:hAnsi="Songti SC Regular" w:eastAsia="Songti SC Regular" w:cs="Songti SC Regular"/>
                <w:b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用途</w:t>
            </w:r>
          </w:p>
        </w:tc>
      </w:tr>
      <w:tr>
        <w:tc>
          <w:tcPr>
            <w:tcW w:w="4703" w:type="dxa"/>
          </w:tcPr>
          <w:p>
            <w:pPr>
              <w:rPr>
                <w:rFonts w:hint="eastAsia" w:ascii="Songti SC Regular" w:hAnsi="Songti SC Regular" w:eastAsia="Songti SC Regular" w:cs="Songti SC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ngti SC Regular" w:hAnsi="Songti SC Regular" w:eastAsia="Songti SC Regular" w:cs="Songti SC Regular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高德地图</w:t>
            </w:r>
          </w:p>
        </w:tc>
        <w:tc>
          <w:tcPr>
            <w:tcW w:w="4703" w:type="dxa"/>
          </w:tcPr>
          <w:p>
            <w:pPr>
              <w:rPr>
                <w:rFonts w:hint="eastAsia" w:ascii="Songti SC Regular" w:hAnsi="Songti SC Regular" w:eastAsia="Songti SC Regular" w:cs="Songti SC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ngti SC Regular" w:hAnsi="Songti SC Regular" w:eastAsia="Songti SC Regular" w:cs="Songti SC Regular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地址选址、路线导航、围栏绘制、距离计算</w:t>
            </w:r>
          </w:p>
        </w:tc>
      </w:tr>
      <w:tr>
        <w:tc>
          <w:tcPr>
            <w:tcW w:w="4703" w:type="dxa"/>
          </w:tcPr>
          <w:p>
            <w:pPr>
              <w:rPr>
                <w:rFonts w:hint="eastAsia" w:ascii="Songti SC Regular" w:hAnsi="Songti SC Regular" w:eastAsia="Songti SC Regular" w:cs="Songti SC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ngti SC Regular" w:hAnsi="Songti SC Regular" w:eastAsia="Songti SC Regular" w:cs="Songti SC Regular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微信支付 / 支付宝</w:t>
            </w:r>
          </w:p>
        </w:tc>
        <w:tc>
          <w:tcPr>
            <w:tcW w:w="4703" w:type="dxa"/>
          </w:tcPr>
          <w:p>
            <w:pPr>
              <w:rPr>
                <w:rFonts w:hint="eastAsia" w:ascii="Songti SC Regular" w:hAnsi="Songti SC Regular" w:eastAsia="Songti SC Regular" w:cs="Songti SC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ngti SC Regular" w:hAnsi="Songti SC Regular" w:eastAsia="Songti SC Regular" w:cs="Songti SC Regular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个人支付</w:t>
            </w:r>
          </w:p>
        </w:tc>
      </w:tr>
      <w:tr>
        <w:tc>
          <w:tcPr>
            <w:tcW w:w="4703" w:type="dxa"/>
          </w:tcPr>
          <w:p>
            <w:pPr>
              <w:rPr>
                <w:rFonts w:hint="eastAsia" w:ascii="Songti SC Regular" w:hAnsi="Songti SC Regular" w:eastAsia="Songti SC Regular" w:cs="Songti SC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ngti SC Regular" w:hAnsi="Songti SC Regular" w:eastAsia="Songti SC Regular" w:cs="Songti SC Regular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航班信息 API</w:t>
            </w:r>
          </w:p>
        </w:tc>
        <w:tc>
          <w:tcPr>
            <w:tcW w:w="4703" w:type="dxa"/>
          </w:tcPr>
          <w:p>
            <w:pPr>
              <w:rPr>
                <w:rFonts w:hint="eastAsia" w:ascii="Songti SC Regular" w:hAnsi="Songti SC Regular" w:eastAsia="Songti SC Regular" w:cs="Songti SC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ngti SC Regular" w:hAnsi="Songti SC Regular" w:eastAsia="Songti SC Regular" w:cs="Songti SC Regular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机场用车航班号查询、航班状态同步</w:t>
            </w:r>
          </w:p>
        </w:tc>
      </w:tr>
      <w:tr>
        <w:tc>
          <w:tcPr>
            <w:tcW w:w="4703" w:type="dxa"/>
          </w:tcPr>
          <w:p>
            <w:pPr>
              <w:rPr>
                <w:rFonts w:hint="eastAsia" w:ascii="Songti SC Regular" w:hAnsi="Songti SC Regular" w:eastAsia="Songti SC Regular" w:cs="Songti SC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ngti SC Regular" w:hAnsi="Songti SC Regular" w:eastAsia="Songti SC Regular" w:cs="Songti SC Regular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开票服务</w:t>
            </w:r>
          </w:p>
        </w:tc>
        <w:tc>
          <w:tcPr>
            <w:tcW w:w="4703" w:type="dxa"/>
          </w:tcPr>
          <w:p>
            <w:pPr>
              <w:rPr>
                <w:rFonts w:hint="eastAsia" w:ascii="Songti SC Regular" w:hAnsi="Songti SC Regular" w:eastAsia="Songti SC Regular" w:cs="Songti SC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ngti SC Regular" w:hAnsi="Songti SC Regular" w:eastAsia="Songti SC Regular" w:cs="Songti SC Regular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电子发票申请、开具、作废</w:t>
            </w:r>
          </w:p>
        </w:tc>
      </w:tr>
      <w:tr>
        <w:tc>
          <w:tcPr>
            <w:tcW w:w="4703" w:type="dxa"/>
          </w:tcPr>
          <w:p>
            <w:pPr>
              <w:rPr>
                <w:rFonts w:hint="eastAsia" w:ascii="Songti SC Regular" w:hAnsi="Songti SC Regular" w:eastAsia="Songti SC Regular" w:cs="Songti SC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ngti SC Regular" w:hAnsi="Songti SC Regular" w:eastAsia="Songti SC Regular" w:cs="Songti SC Regular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微信订阅消息</w:t>
            </w:r>
          </w:p>
        </w:tc>
        <w:tc>
          <w:tcPr>
            <w:tcW w:w="4703" w:type="dxa"/>
          </w:tcPr>
          <w:p>
            <w:pPr>
              <w:rPr>
                <w:rFonts w:hint="eastAsia" w:ascii="Songti SC Regular" w:hAnsi="Songti SC Regular" w:eastAsia="Songti SC Regular" w:cs="Songti SC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ngti SC Regular" w:hAnsi="Songti SC Regular" w:eastAsia="Songti SC Regular" w:cs="Songti SC Regular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订单状态推送、系统通知</w:t>
            </w:r>
          </w:p>
        </w:tc>
      </w:tr>
      <w:tr>
        <w:tc>
          <w:tcPr>
            <w:tcW w:w="4703" w:type="dxa"/>
          </w:tcPr>
          <w:p>
            <w:pPr>
              <w:rPr>
                <w:rFonts w:hint="eastAsia" w:ascii="Songti SC Regular" w:hAnsi="Songti SC Regular" w:eastAsia="Songti SC Regular" w:cs="Songti SC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ngti SC Regular" w:hAnsi="Songti SC Regular" w:eastAsia="Songti SC Regular" w:cs="Songti SC Regular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短信/语音服务</w:t>
            </w:r>
          </w:p>
        </w:tc>
        <w:tc>
          <w:tcPr>
            <w:tcW w:w="4703" w:type="dxa"/>
          </w:tcPr>
          <w:p>
            <w:pPr>
              <w:rPr>
                <w:rFonts w:hint="eastAsia" w:ascii="Songti SC Regular" w:hAnsi="Songti SC Regular" w:eastAsia="Songti SC Regular" w:cs="Songti SC Regular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Songti SC Regular" w:hAnsi="Songti SC Regular" w:eastAsia="Songti SC Regular" w:cs="Songti SC Regular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验证码、虚拟号码</w:t>
            </w:r>
          </w:p>
        </w:tc>
      </w:tr>
    </w:tbl>
    <w:p>
      <w:pP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</w:p>
    <w:p>
      <w:pPr>
        <w:rPr>
          <w:rFonts w:hint="eastAsia" w:ascii="Songti SC Regular" w:hAnsi="Songti SC Regular" w:eastAsia="Songti SC Regular" w:cs="Songti SC Regular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500000000000000"/>
    <w:charset w:val="80"/>
    <w:family w:val="auto"/>
    <w:pitch w:val="default"/>
    <w:sig w:usb0="E00002FF" w:usb1="7AE7FFFF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3F79AF"/>
    <w:multiLevelType w:val="singleLevel"/>
    <w:tmpl w:val="FB3F79AF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7FD4A4E"/>
    <w:rsid w:val="896233BC"/>
    <w:rsid w:val="AADF1CA9"/>
    <w:rsid w:val="F9BFD2C5"/>
    <w:rsid w:val="FBF3F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Microsoft YaHei" w:hAnsi="Microsoft YaHe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Office_6.2.1.8344_F1E327BC-269C-435d-A152-05C5408002CA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胡振翔</cp:lastModifiedBy>
  <dcterms:modified xsi:type="dcterms:W3CDTF">2026-05-28T15:49:58Z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2052-6.2.1.8344</vt:lpwstr>
  </property>
  <property fmtid="{D5CDD505-2E9C-101B-9397-08002B2CF9AE}" pid="3" name="ICV">
    <vt:lpwstr>F5BC9B272635A88C90F3176ADECF4F46_42</vt:lpwstr>
  </property>
</Properties>
</file>