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3864"/>
          <w:sz w:val="44"/>
          <w:szCs w:val="44"/>
        </w:rPr>
        <w:t xml:space="preserve">Análise de Churn de Clientes</w:t>
      </w:r>
    </w:p>
    <w:p>
      <w:pPr>
        <w:spacing w:after="100"/>
      </w:pPr>
      <w:r>
        <w:rPr>
          <w:i/>
          <w:iCs/>
          <w:color w:val="2E7D6B"/>
          <w:sz w:val="24"/>
          <w:szCs w:val="24"/>
        </w:rPr>
        <w:t xml:space="preserve">Telecomunicações — Identificação de Fatores de Cancelamento e Plano de Retenção</w:t>
      </w:r>
    </w:p>
    <w:p>
      <w:pPr>
        <w:pBdr>
          <w:bottom w:val="single" w:color="2E7D6B" w:sz="12" w:space="6"/>
        </w:pBdr>
        <w:spacing w:after="300"/>
      </w:pPr>
      <w:r>
        <w:rPr>
          <w:color w:val="595959"/>
          <w:sz w:val="18"/>
          <w:szCs w:val="18"/>
        </w:rPr>
        <w:t xml:space="preserve">Relatório de Insights de Negócio  |  Agosto de 2026</w:t>
      </w:r>
    </w:p>
    <w:p>
      <w:pPr>
        <w:pBdr>
          <w:left w:val="single" w:color="2E7D6B" w:sz="24" w:space="8"/>
        </w:pBdr>
        <w:shd w:fill="EAF2F0" w:val="clear"/>
        <w:spacing w:after="300" w:before="100"/>
        <w:ind w:left="200"/>
      </w:pPr>
      <w:r>
        <w:rPr>
          <w:i/>
          <w:iCs/>
          <w:color w:val="1F3864"/>
          <w:sz w:val="22"/>
          <w:szCs w:val="22"/>
        </w:rPr>
        <w:t xml:space="preserve">Este projeto analisou 7.043 clientes de uma operadora de telecomunicações e identificou os 5 principais fatores por trás de uma taxa de cancelamento de 26,5% — construindo um modelo preditivo com 84% de assertividade (AUC-ROC) e recomendações práticas capazes de direcionar campanhas de retenção para os segmentos de maior risco.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pct" w:w="25%"/>
            <w:shd w:fill="F2F2F2" w:val="clear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  <w:sz w:val="30"/>
                <w:szCs w:val="30"/>
              </w:rPr>
              <w:t xml:space="preserve">7.043</w:t>
            </w:r>
          </w:p>
          <w:p>
            <w:pPr>
              <w:jc w:val="center"/>
            </w:pPr>
            <w:r>
              <w:rPr>
                <w:color w:val="595959"/>
                <w:sz w:val="17"/>
                <w:szCs w:val="17"/>
              </w:rPr>
              <w:t xml:space="preserve">Clientes analisados</w:t>
            </w:r>
          </w:p>
        </w:tc>
        <w:tc>
          <w:tcPr>
            <w:tcW w:type="pct" w:w="25%"/>
            <w:shd w:fill="F2F2F2" w:val="clear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C0392B"/>
                <w:sz w:val="30"/>
                <w:szCs w:val="30"/>
              </w:rPr>
              <w:t xml:space="preserve">26,5%</w:t>
            </w:r>
          </w:p>
          <w:p>
            <w:pPr>
              <w:jc w:val="center"/>
            </w:pPr>
            <w:r>
              <w:rPr>
                <w:color w:val="595959"/>
                <w:sz w:val="17"/>
                <w:szCs w:val="17"/>
              </w:rPr>
              <w:t xml:space="preserve">Taxa de churn geral</w:t>
            </w:r>
          </w:p>
        </w:tc>
        <w:tc>
          <w:tcPr>
            <w:tcW w:type="pct" w:w="25%"/>
            <w:shd w:fill="F2F2F2" w:val="clear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2E7D6B"/>
                <w:sz w:val="30"/>
                <w:szCs w:val="30"/>
              </w:rPr>
              <w:t xml:space="preserve">0,84</w:t>
            </w:r>
          </w:p>
          <w:p>
            <w:pPr>
              <w:jc w:val="center"/>
            </w:pPr>
            <w:r>
              <w:rPr>
                <w:color w:val="595959"/>
                <w:sz w:val="17"/>
                <w:szCs w:val="17"/>
              </w:rPr>
              <w:t xml:space="preserve">Assertividade do modelo (AUC)</w:t>
            </w:r>
          </w:p>
        </w:tc>
        <w:tc>
          <w:tcPr>
            <w:tcW w:type="pct" w:w="25%"/>
            <w:shd w:fill="F2F2F2" w:val="clear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C0392B"/>
                <w:sz w:val="30"/>
                <w:szCs w:val="30"/>
              </w:rPr>
              <w:t xml:space="preserve">47,4%</w:t>
            </w:r>
          </w:p>
          <w:p>
            <w:pPr>
              <w:jc w:val="center"/>
            </w:pPr>
            <w:r>
              <w:rPr>
                <w:color w:val="595959"/>
                <w:sz w:val="17"/>
                <w:szCs w:val="17"/>
              </w:rPr>
              <w:t xml:space="preserve">Maior taxa de risco em segmento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1F3864"/>
          <w:sz w:val="30"/>
          <w:szCs w:val="30"/>
        </w:rPr>
        <w:t xml:space="preserve">1. Resumo Executivo</w:t>
      </w:r>
    </w:p>
    <w:p>
      <w:pPr>
        <w:spacing w:after="150" w:line="300"/>
      </w:pPr>
      <w:r>
        <w:rPr>
          <w:sz w:val="22"/>
          <w:szCs w:val="22"/>
        </w:rPr>
        <w:t xml:space="preserve">Problema: a operadora perde aproximadamente 1 em cada 4 clientes por ano (taxa de churn de 26,5% sobre uma base de 7.043 clientes), sem um critério objetivo para identificar quem está em risco de cancelar antes que isso aconteça.</w:t>
      </w:r>
    </w:p>
    <w:p>
      <w:pPr>
        <w:spacing w:after="150" w:line="300"/>
      </w:pPr>
      <w:r>
        <w:rPr>
          <w:sz w:val="22"/>
          <w:szCs w:val="22"/>
        </w:rPr>
        <w:t xml:space="preserve">Solução: construção de um pipeline completo de análise de dados — limpeza e tratamento da base, análise exploratória por segmento de cliente, e um modelo de Machine Learning (Regressão Logística e Random Forest) treinado para ranquear os fatores que mais pesam na decisão de cancelamento.</w:t>
      </w:r>
    </w:p>
    <w:p>
      <w:pPr>
        <w:spacing w:after="150" w:line="300"/>
      </w:pPr>
      <w:r>
        <w:rPr>
          <w:sz w:val="22"/>
          <w:szCs w:val="22"/>
        </w:rPr>
        <w:t xml:space="preserve">Resultado: identificação de 5 fatores-chave de churn e 5 segmentos de altíssimo risco (com taxas de cancelamento entre 42% e 47%, bem acima da média geral de 26,5%), além de um modelo preditivo com 84% de capacidade de distinguir clientes propensos a cancelar (AUC-ROC de 0,844). Esses resultados permitem direcionar ações de retenção para quem realmente precisa, em vez de campanhas genéricas para toda a base.</w:t>
      </w:r>
    </w:p>
    <w:p>
      <w:pPr>
        <w:pStyle w:val="Heading1"/>
        <w:spacing w:after="200" w:before="400"/>
      </w:pPr>
      <w:r>
        <w:rPr>
          <w:b/>
          <w:bCs/>
          <w:color w:val="1F3864"/>
          <w:sz w:val="30"/>
          <w:szCs w:val="30"/>
        </w:rPr>
        <w:t xml:space="preserve">2. Principais Fatores de Churn Identificados</w:t>
      </w:r>
    </w:p>
    <w:p>
      <w:pPr>
        <w:spacing w:after="150" w:line="300"/>
      </w:pPr>
      <w:r>
        <w:rPr>
          <w:sz w:val="22"/>
          <w:szCs w:val="22"/>
        </w:rPr>
        <w:t xml:space="preserve">Os fatores abaixo foram confirmados de forma consistente tanto na análise exploratória quanto nos dois modelos preditivos treinados, o que reforça a confiabilidade de cada um deles: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/>
          <w:bCs/>
          <w:sz w:val="22"/>
          <w:szCs w:val="22"/>
        </w:rPr>
        <w:t xml:space="preserve">Tempo de casa (tenure): é o fator isolado mais forte. Clientes novos cancelam muito mais — quem está há menos de 1 ano tem taxa de churn de 47%, contra 9,5% para quem está há mais de 4 anos.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sz w:val="22"/>
          <w:szCs w:val="22"/>
        </w:rPr>
        <w:t xml:space="preserve">Tipo de contrato: clientes em contrato mensal (sem fidelidade) cancelam a uma taxa de 42,7%, contra apenas 2,8% em contratos de 2 anos.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sz w:val="22"/>
          <w:szCs w:val="22"/>
        </w:rPr>
        <w:t xml:space="preserve">Tipo de internet: assinantes de fibra ótica cancelam quase 3x mais (41,9%) que assinantes de DSL (19%) — sinal de possível insatisfação com preço ou qualidade do serviço de fibra.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sz w:val="22"/>
          <w:szCs w:val="22"/>
        </w:rPr>
        <w:t xml:space="preserve">Forma de pagamento: quem paga por cheque eletrônico tem a maior taxa de cancelamento entre todos os métodos (45,3%), bem acima de débito ou cartão automático (15–17%).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sz w:val="22"/>
          <w:szCs w:val="22"/>
        </w:rPr>
        <w:t xml:space="preserve">Valor da cobrança mensal: clientes que cancelam pagam, em mediana, uma mensalidade mais alta do que os que permanecem — sugerindo sensibilidade a preço como gatilho de saída.</w:t>
      </w:r>
    </w:p>
    <w:p>
      <w:pPr>
        <w:spacing w:after="150" w:line="300"/>
      </w:pPr>
      <w:r>
        <w:rPr>
          <w:i/>
          <w:iCs/>
          <w:color w:val="595959"/>
          <w:sz w:val="22"/>
          <w:szCs w:val="22"/>
        </w:rPr>
        <w:t xml:space="preserve">Limitação importante: o modelo identifica correlação e risco, não causa nem certeza individual. Ele acerta 8 em cada 10 previsões no geral, mas ainda erra a previsão para cerca de metade dos clientes que de fato cancelam — por isso deve ser usado como ferramenta de priorização de campanhas, não como decisão automática sobre um cliente específico.</w:t>
      </w:r>
    </w:p>
    <w:p>
      <w:pPr>
        <w:pStyle w:val="Heading1"/>
        <w:spacing w:after="200" w:before="400"/>
      </w:pPr>
      <w:r>
        <w:rPr>
          <w:b/>
          <w:bCs/>
          <w:color w:val="1F3864"/>
          <w:sz w:val="30"/>
          <w:szCs w:val="30"/>
        </w:rPr>
        <w:t xml:space="preserve">3. Segmentos de Clientes de Maior Risco</w:t>
      </w:r>
    </w:p>
    <w:p>
      <w:pPr>
        <w:spacing w:after="150" w:line="300"/>
      </w:pPr>
      <w:r>
        <w:rPr>
          <w:sz w:val="22"/>
          <w:szCs w:val="22"/>
        </w:rPr>
        <w:t xml:space="preserve">A tabela abaixo ordena os segmentos com as taxas de cancelamento mais altas da base — todos bem acima da média geral de 26,5%: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980"/>
        <w:gridCol w:w="1980"/>
      </w:tblGrid>
      <w:tr>
        <w:tc>
          <w:tcPr>
            <w:tcW w:type="pct" w:w="58%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Segmento</w:t>
            </w:r>
          </w:p>
        </w:tc>
        <w:tc>
          <w:tcPr>
            <w:tcW w:type="pct" w:w="21%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Taxa de Churn</w:t>
            </w:r>
          </w:p>
        </w:tc>
        <w:tc>
          <w:tcPr>
            <w:tcW w:type="pct" w:w="21%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Clientes</w:t>
            </w:r>
          </w:p>
        </w:tc>
      </w:tr>
      <w:tr>
        <w:tc>
          <w:tcPr>
            <w:tcW w:type="pct" w:w="58%"/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Tempo de casa: 0-1 ano</w:t>
            </w:r>
          </w:p>
        </w:tc>
        <w:tc>
          <w:tcPr>
            <w:tcW w:type="pct" w:w="21%"/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47.44%</w:t>
            </w:r>
          </w:p>
        </w:tc>
        <w:tc>
          <w:tcPr>
            <w:tcW w:type="pct" w:w="21%"/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2.186</w:t>
            </w:r>
          </w:p>
        </w:tc>
      </w:tr>
      <w:tr>
        <w:tc>
          <w:tcPr>
            <w:tcW w:type="pct" w:w="58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Método de pagamento: cheque eletrônico</w:t>
            </w:r>
          </w:p>
        </w:tc>
        <w:tc>
          <w:tcPr>
            <w:tcW w:type="pct" w:w="21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45.29%</w:t>
            </w:r>
          </w:p>
        </w:tc>
        <w:tc>
          <w:tcPr>
            <w:tcW w:type="pct" w:w="21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2.365</w:t>
            </w:r>
          </w:p>
        </w:tc>
      </w:tr>
      <w:tr>
        <w:tc>
          <w:tcPr>
            <w:tcW w:type="pct" w:w="58%"/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Tipo de contrato: mensal</w:t>
            </w:r>
          </w:p>
        </w:tc>
        <w:tc>
          <w:tcPr>
            <w:tcW w:type="pct" w:w="21%"/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42.71%</w:t>
            </w:r>
          </w:p>
        </w:tc>
        <w:tc>
          <w:tcPr>
            <w:tcW w:type="pct" w:w="21%"/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3.875</w:t>
            </w:r>
          </w:p>
        </w:tc>
      </w:tr>
      <w:tr>
        <w:tc>
          <w:tcPr>
            <w:tcW w:type="pct" w:w="58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Internet: fibra ótica</w:t>
            </w:r>
          </w:p>
        </w:tc>
        <w:tc>
          <w:tcPr>
            <w:tcW w:type="pct" w:w="21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41.89%</w:t>
            </w:r>
          </w:p>
        </w:tc>
        <w:tc>
          <w:tcPr>
            <w:tcW w:type="pct" w:w="21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3.096</w:t>
            </w:r>
          </w:p>
        </w:tc>
      </w:tr>
      <w:tr>
        <w:tc>
          <w:tcPr>
            <w:tcW w:type="pct" w:w="58%"/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Clientes idosos (60+)</w:t>
            </w:r>
          </w:p>
        </w:tc>
        <w:tc>
          <w:tcPr>
            <w:tcW w:type="pct" w:w="21%"/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41.68%</w:t>
            </w:r>
          </w:p>
        </w:tc>
        <w:tc>
          <w:tcPr>
            <w:tcW w:type="pct" w:w="21%"/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1.142</w:t>
            </w:r>
          </w:p>
        </w:tc>
      </w:tr>
    </w:tbl>
    <w:p>
      <w:pPr>
        <w:spacing w:after="100" w:before="200"/>
      </w:pPr>
    </w:p>
    <w:p>
      <w:pPr>
        <w:spacing w:after="150" w:line="300"/>
      </w:pPr>
      <w:r>
        <w:rPr>
          <w:sz w:val="22"/>
          <w:szCs w:val="22"/>
        </w:rPr>
        <w:t xml:space="preserve">Cliente que combina mais de um desses fatores (ex: contrato mensal + menos de 1 ano de casa + fibra ótica) representa o maior risco de cancelamento da base e deve ser prioridade número um em qualquer ação de retenção.</w:t>
      </w:r>
    </w:p>
    <w:p>
      <w:pPr>
        <w:pStyle w:val="Heading1"/>
        <w:spacing w:after="200" w:before="400"/>
      </w:pPr>
      <w:r>
        <w:rPr>
          <w:b/>
          <w:bCs/>
          <w:color w:val="1F3864"/>
          <w:sz w:val="30"/>
          <w:szCs w:val="30"/>
        </w:rPr>
        <w:t xml:space="preserve">4. Recomendações Acionáveis por Área</w:t>
      </w:r>
    </w:p>
    <w:p>
      <w:pPr>
        <w:pStyle w:val="Heading2"/>
        <w:spacing w:after="150" w:before="300"/>
      </w:pPr>
      <w:r>
        <w:rPr>
          <w:b/>
          <w:bCs/>
          <w:color w:val="2E7D6B"/>
          <w:sz w:val="24"/>
          <w:szCs w:val="24"/>
        </w:rPr>
        <w:t xml:space="preserve">Retenção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sz w:val="22"/>
          <w:szCs w:val="22"/>
        </w:rPr>
        <w:t xml:space="preserve">Criar incentivo de migração de contrato mensal para anual (ex: desconto progressivo nos primeiros 3 meses do novo contrato) — o maior salto de retenção do dataset acontece exatamente na troca de mensal para anual (de 42,7% para 11,3% de churn).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sz w:val="22"/>
          <w:szCs w:val="22"/>
        </w:rPr>
        <w:t xml:space="preserve">Implementar programa de onboarding ativo nos primeiros 12 meses de contrato, período de maior risco (47,4% de churn) — check-ins proativos de suporte e satisfação nesse período tendem a reduzir a evasão inicial.</w:t>
      </w:r>
    </w:p>
    <w:p>
      <w:pPr>
        <w:pStyle w:val="Heading2"/>
        <w:spacing w:after="150" w:before="300"/>
      </w:pPr>
      <w:r>
        <w:rPr>
          <w:b/>
          <w:bCs/>
          <w:color w:val="2E7D6B"/>
          <w:sz w:val="24"/>
          <w:szCs w:val="24"/>
        </w:rPr>
        <w:t xml:space="preserve">Produto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sz w:val="22"/>
          <w:szCs w:val="22"/>
        </w:rPr>
        <w:t xml:space="preserve">Investigar a causa raiz da insatisfação com o serviço de fibra ótica (preço, estabilidade, atendimento) — é o segundo maior fator de risco identificado e concentra 3.096 clientes.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sz w:val="22"/>
          <w:szCs w:val="22"/>
        </w:rPr>
        <w:t xml:space="preserve">Empacotar serviços de suporte técnico e segurança online (TechSupport, OnlineSecurity) como parte do plano padrão — clientes que já possuem esses serviços cancelam menos, segundo o modelo.</w:t>
      </w:r>
    </w:p>
    <w:p>
      <w:pPr>
        <w:pStyle w:val="Heading2"/>
        <w:spacing w:after="150" w:before="300"/>
      </w:pPr>
      <w:r>
        <w:rPr>
          <w:b/>
          <w:bCs/>
          <w:color w:val="2E7D6B"/>
          <w:sz w:val="24"/>
          <w:szCs w:val="24"/>
        </w:rPr>
        <w:t xml:space="preserve">Atendimento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sz w:val="22"/>
          <w:szCs w:val="22"/>
        </w:rPr>
        <w:t xml:space="preserve">Criar campanha de migração de forma de pagamento, incentivando clientes que pagam por cheque eletrônico a migrarem para débito ou cartão automático — a diferença de churn entre esses grupos é de quase 30 pontos percentuais.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sz w:val="22"/>
          <w:szCs w:val="22"/>
        </w:rPr>
        <w:t xml:space="preserve">Dar atenção diferenciada a clientes idosos (60+), que cancelam a uma taxa 76% maior que os demais (41,7% vs 23,6%) — validar se há barreiras de usabilidade ou comunicação específicas desse público.</w:t>
      </w:r>
    </w:p>
    <w:p>
      <w:pPr>
        <w:pStyle w:val="Heading1"/>
        <w:spacing w:after="200" w:before="400"/>
      </w:pPr>
      <w:r>
        <w:rPr>
          <w:b/>
          <w:bCs/>
          <w:color w:val="1F3864"/>
          <w:sz w:val="30"/>
          <w:szCs w:val="30"/>
        </w:rPr>
        <w:t xml:space="preserve">5. Frase de Elevador</w:t>
      </w:r>
    </w:p>
    <w:p>
      <w:pPr>
        <w:shd w:fill="1F3864" w:val="clear"/>
        <w:spacing w:after="100" w:before="100"/>
        <w:ind w:left="200" w:right="200"/>
      </w:pPr>
      <w:r>
        <w:rPr>
          <w:b/>
          <w:bCs/>
          <w:i/>
          <w:iCs/>
          <w:color w:val="FFFFFF"/>
          <w:sz w:val="24"/>
          <w:szCs w:val="24"/>
        </w:rPr>
        <w:t xml:space="preserve">"Mapeei os motivos por trás do cancelamento de 1 em cada 4 clientes de uma operadora de telecom, usando Python e Machine Learning — e cheguei a um modelo com 84% de assertividade e um plano de retenção acionável, direto do celular e com ferramentas 100% gratuitas."</w:t>
      </w:r>
    </w:p>
    <w:p>
      <w:pPr>
        <w:spacing w:after="150" w:line="300"/>
      </w:pPr>
      <w:r>
        <w:rPr>
          <w:i/>
          <w:iCs/>
          <w:color w:val="595959"/>
          <w:sz w:val="20"/>
          <w:szCs w:val="20"/>
        </w:rPr>
        <w:t xml:space="preserve">Pronta para uso no README do projeto, na descrição do notebook no Kaggle, e como gancho de abertura para o post no LinkedIn agendado.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Análise de Churn — Telco Customer Churn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2026-08-12T11:21:57.376Z</dcterms:created>
  <dcterms:modified xsi:type="dcterms:W3CDTF">2026-08-12T11:21:57.396Z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