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Raleway" w:cs="Raleway" w:eastAsia="Raleway" w:hAnsi="Raleway"/>
          <w:b w:val="1"/>
          <w:color w:val="225a8d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Raleway" w:cs="Raleway" w:eastAsia="Raleway" w:hAnsi="Raleway"/>
          <w:b w:val="1"/>
          <w:color w:val="225a8d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Raleway" w:cs="Raleway" w:eastAsia="Raleway" w:hAnsi="Raleway"/>
          <w:b w:val="1"/>
          <w:color w:val="225a8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Raleway" w:cs="Raleway" w:eastAsia="Raleway" w:hAnsi="Raleway"/>
          <w:b w:val="1"/>
          <w:color w:val="225a8d"/>
          <w:sz w:val="60"/>
          <w:szCs w:val="60"/>
        </w:rPr>
      </w:pPr>
      <w:r w:rsidDel="00000000" w:rsidR="00000000" w:rsidRPr="00000000">
        <w:rPr>
          <w:rFonts w:ascii="Raleway" w:cs="Raleway" w:eastAsia="Raleway" w:hAnsi="Raleway"/>
          <w:b w:val="1"/>
          <w:color w:val="225a8d"/>
          <w:sz w:val="60"/>
          <w:szCs w:val="60"/>
          <w:rtl w:val="0"/>
        </w:rPr>
        <w:t xml:space="preserve">Jornada de Dados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Raleway" w:cs="Raleway" w:eastAsia="Raleway" w:hAnsi="Raleway"/>
          <w:b w:val="1"/>
          <w:color w:val="225a8d"/>
          <w:sz w:val="60"/>
          <w:szCs w:val="60"/>
        </w:rPr>
      </w:pPr>
      <w:r w:rsidDel="00000000" w:rsidR="00000000" w:rsidRPr="00000000">
        <w:rPr>
          <w:rFonts w:ascii="Raleway" w:cs="Raleway" w:eastAsia="Raleway" w:hAnsi="Raleway"/>
          <w:b w:val="1"/>
          <w:color w:val="225a8d"/>
          <w:sz w:val="60"/>
          <w:szCs w:val="60"/>
          <w:rtl w:val="0"/>
        </w:rPr>
        <w:t xml:space="preserve">Checklist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aleway" w:cs="Raleway" w:eastAsia="Raleway" w:hAnsi="Raleway"/>
          <w:b w:val="1"/>
          <w:color w:val="225a8d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360" w:lineRule="auto"/>
        <w:jc w:val="center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360" w:lineRule="auto"/>
        <w:jc w:val="center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360" w:lineRule="auto"/>
        <w:jc w:val="center"/>
        <w:rPr>
          <w:rFonts w:ascii="Raleway" w:cs="Raleway" w:eastAsia="Raleway" w:hAnsi="Raleway"/>
          <w:b w:val="1"/>
          <w:color w:val="225a8d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lyd820hje4i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9w9focvod0s4" w:id="1"/>
      <w:bookmarkEnd w:id="1"/>
      <w:r w:rsidDel="00000000" w:rsidR="00000000" w:rsidRPr="00000000">
        <w:rPr>
          <w:rFonts w:ascii="Raleway" w:cs="Raleway" w:eastAsia="Raleway" w:hAnsi="Raleway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w9focvod0s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6irxbp5kg3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Fontes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17r5m4047j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gerais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vn9mwmgypn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01y8cqqz2f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Modelagem de dados por camada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yd8wddyusq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7cj523dhq8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utoywo8jjf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bd9mxgedvw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Bronze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12sth4zdef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1llks3pono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7wwk4gi3e9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fjx26gc3eo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3yflpgflsx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0v05l67w8r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588729p7d4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w4o3gwji8b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86ftx8iang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Validação e qualidade de dados: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pokcyytjsiv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7e6irxbp5kg3" w:id="3"/>
      <w:bookmarkEnd w:id="3"/>
      <w:r w:rsidDel="00000000" w:rsidR="00000000" w:rsidRPr="00000000">
        <w:rPr>
          <w:rFonts w:ascii="Raleway" w:cs="Raleway" w:eastAsia="Raleway" w:hAnsi="Raleway"/>
          <w:rtl w:val="0"/>
        </w:rPr>
        <w:t xml:space="preserve">Fontes de dados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As seguintes fontes de dados foram descritas na SOW: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POSTGRES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m317r5m4047j" w:id="4"/>
      <w:bookmarkEnd w:id="4"/>
      <w:r w:rsidDel="00000000" w:rsidR="00000000" w:rsidRPr="00000000">
        <w:rPr>
          <w:rFonts w:ascii="Raleway" w:cs="Raleway" w:eastAsia="Raleway" w:hAnsi="Raleway"/>
          <w:rtl w:val="0"/>
        </w:rPr>
        <w:t xml:space="preserve">Informações gerais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As seguintes informações gerais devem ser levantadas para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cada uma das fontes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Volume de dados total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Volume de dados incremental (crescimento)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Quantidade de bancos de dados (se aplicável)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Quantidade de schemas / namespaces (se aplicável)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Quantidade de tabelas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Estruturas das tabelas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Descrição geral da tabela e seu uso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Modelo estrutural por da tabela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line="36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Quantidade de colunas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line="36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Chaves primárias /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identificadoras</w:t>
      </w:r>
      <w:r w:rsidDel="00000000" w:rsidR="00000000" w:rsidRPr="00000000">
        <w:rPr>
          <w:rFonts w:ascii="Raleway" w:cs="Raleway" w:eastAsia="Raleway" w:hAnsi="Raleway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line="36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Campos de datas fortes / sistêmicas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Modelos de relacionamentos da tabela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spacing w:line="36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Descrição geral dos relacionamentos da tabela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spacing w:line="360" w:lineRule="auto"/>
        <w:ind w:left="216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Desenho do MER de principais relacionamentos da tabela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Documentação técnica e de negócio sobre as tabelas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Catálogo / dicionário de dados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Frequência de atualização das bases (diária, hora a hora, etc)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Frequência dos jobs de ingestão para o ambiente de dados e horários (diária, hora a hora, etc)</w:t>
      </w:r>
      <w:r w:rsidDel="00000000" w:rsidR="00000000" w:rsidRPr="00000000">
        <w:rPr>
          <w:rFonts w:ascii="Raleway" w:cs="Raleway" w:eastAsia="Raleway" w:hAnsi="Raleway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cargas incrementais, é obrigatória a presença de chaves primárias / identificadoras. A não existência desses campos implica na necessidade de carga full.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cargas incrementais, é obrigatória a presença de campos de datas fortes / sistêmicas. A não existência desses campos implica na necessidade de carga full.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cargas incrementais, é obrigatória a presença de chaves primárias / identificadoras.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outras fontes como arquivos, planilhas, imagens, adaptar e endereçar todos os itens conforme aplicável.</w:t>
      </w:r>
    </w:p>
    <w:p w:rsidR="00000000" w:rsidDel="00000000" w:rsidP="00000000" w:rsidRDefault="00000000" w:rsidRPr="00000000" w14:paraId="00000043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5evn9mwmgypn" w:id="5"/>
      <w:bookmarkEnd w:id="5"/>
      <w:r w:rsidDel="00000000" w:rsidR="00000000" w:rsidRPr="00000000">
        <w:rPr>
          <w:rFonts w:ascii="Raleway" w:cs="Raleway" w:eastAsia="Raleway" w:hAnsi="Raleway"/>
          <w:rtl w:val="0"/>
        </w:rPr>
        <w:t xml:space="preserve">Acessos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Os seguintes pontos devem ser endereçados: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Ponto focal para liberação de acessos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Formulários de acessos para preenchimento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Acesso às tecnologias: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Acesso de leitura para os bancos e ferramentas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Usuários para workspace, AD, acesso à VPN e ferramentas de comunicação (e-mail, chat, etc), ou quaisquer outros que se apliquem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Acessos de serviços: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 dataflow e cloud composer  devem enxergar todas as bases de dados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 dataflow e cloud composer deve ser capaz de ler e escrever no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qzjk9d3unss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wfr2jnvkhtc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vh01y8cqqz2f" w:id="8"/>
      <w:bookmarkEnd w:id="8"/>
      <w:r w:rsidDel="00000000" w:rsidR="00000000" w:rsidRPr="00000000">
        <w:rPr>
          <w:rFonts w:ascii="Raleway" w:cs="Raleway" w:eastAsia="Raleway" w:hAnsi="Raleway"/>
          <w:rtl w:val="0"/>
        </w:rPr>
        <w:t xml:space="preserve">Modelagem de dados por camada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 Data Lake será modelado em estrutura medalhão utilizando 4 camadas: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rPr>
          <w:rFonts w:ascii="Raleway" w:cs="Raleway" w:eastAsia="Raleway" w:hAnsi="Raleway"/>
        </w:rPr>
      </w:pPr>
      <w:bookmarkStart w:colFirst="0" w:colLast="0" w:name="_agyd8wddyusq" w:id="9"/>
      <w:bookmarkEnd w:id="9"/>
      <w:r w:rsidDel="00000000" w:rsidR="00000000" w:rsidRPr="00000000">
        <w:rPr>
          <w:rFonts w:ascii="Raleway" w:cs="Raleway" w:eastAsia="Raleway" w:hAnsi="Raleway"/>
          <w:rtl w:val="0"/>
        </w:rPr>
        <w:t xml:space="preserve">Raw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Camada de dados incrementais carregados via dataflow. As tabelas dessa camada são 1:1 em relação à fonte. Atualizações na fonte são replicadas nessa camada.</w:t>
      </w:r>
    </w:p>
    <w:p w:rsidR="00000000" w:rsidDel="00000000" w:rsidP="00000000" w:rsidRDefault="00000000" w:rsidRPr="00000000" w14:paraId="00000054">
      <w:pPr>
        <w:pStyle w:val="Heading3"/>
        <w:spacing w:line="360" w:lineRule="auto"/>
        <w:rPr/>
      </w:pPr>
      <w:bookmarkStart w:colFirst="0" w:colLast="0" w:name="_hc7cj523dhq8" w:id="10"/>
      <w:bookmarkEnd w:id="10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Dataset: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raw_&lt;origem&gt;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Tabelas: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&lt;schema&gt;_&lt;tabela&gt;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Exemplo abstrato: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raw_sqlserver.dbo_vendas</w:t>
      </w:r>
    </w:p>
    <w:p w:rsidR="00000000" w:rsidDel="00000000" w:rsidP="00000000" w:rsidRDefault="00000000" w:rsidRPr="00000000" w14:paraId="00000058">
      <w:pPr>
        <w:pStyle w:val="Heading3"/>
        <w:spacing w:line="360" w:lineRule="auto"/>
        <w:rPr>
          <w:rFonts w:ascii="Raleway" w:cs="Raleway" w:eastAsia="Raleway" w:hAnsi="Raleway"/>
        </w:rPr>
      </w:pPr>
      <w:bookmarkStart w:colFirst="0" w:colLast="0" w:name="_qcutoywo8jjf" w:id="11"/>
      <w:bookmarkEnd w:id="11"/>
      <w:r w:rsidDel="00000000" w:rsidR="00000000" w:rsidRPr="00000000">
        <w:rPr>
          <w:rFonts w:ascii="Raleway" w:cs="Raleway" w:eastAsia="Raleway" w:hAnsi="Raleway"/>
          <w:rtl w:val="0"/>
        </w:rPr>
        <w:t xml:space="preserve">Checklist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tabelas devem ter sua integração priorizada ? Escolher tabelas importantes para compor as tabelas da camada Gold que agregarão valor mais rápido.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Tabelas serão particionadas por data de ingestão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campos devem ser utilizados para deduplicação caso haja a necessidade?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Existe alguma preocupação com tipagem de dados (ex: tipos complexos como Blob que precisam ser expandidos / tratados)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Existem colunas com dados decimais? Se sim, informar regras de arredondamento, número de casas decimais, etc.</w:t>
      </w:r>
      <w:r w:rsidDel="00000000" w:rsidR="00000000" w:rsidRPr="00000000">
        <w:rPr>
          <w:rFonts w:ascii="Raleway" w:cs="Raleway" w:eastAsia="Raleway" w:hAnsi="Raleway"/>
          <w:rtl w:val="0"/>
        </w:rPr>
        <w:br w:type="textWrapping"/>
        <w:br w:type="textWrapping"/>
        <w:t xml:space="preserve">Obs: Caso não seja passado essa chipagem, utilizaremos todos os dados da camada RAW como STRING e realizaremos a chipagem na próxima camada.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360" w:lineRule="auto"/>
        <w:rPr>
          <w:rFonts w:ascii="Raleway" w:cs="Raleway" w:eastAsia="Raleway" w:hAnsi="Raleway"/>
        </w:rPr>
      </w:pPr>
      <w:bookmarkStart w:colFirst="0" w:colLast="0" w:name="_xobd9mxgedvw" w:id="12"/>
      <w:bookmarkEnd w:id="12"/>
      <w:r w:rsidDel="00000000" w:rsidR="00000000" w:rsidRPr="00000000">
        <w:rPr>
          <w:rFonts w:ascii="Raleway" w:cs="Raleway" w:eastAsia="Raleway" w:hAnsi="Raleway"/>
          <w:rtl w:val="0"/>
        </w:rPr>
        <w:t xml:space="preserve">Bronze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Camada de dados intermediária carregados via Cloud Composer./ Bigquery. As tabelas dessa camada são 1:1 em relação à fonte, porém passam por processos de tipagem, qualidade básica, e estruturação. Atualizações na RAW são replicadas nessa camada.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7312sth4zdef" w:id="13"/>
      <w:bookmarkEnd w:id="13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Dataset: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bronze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_&lt;origem&gt;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Tabelas: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&lt;schema&gt;_&lt;tabela&gt;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Exemplo abstrato: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bronze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_sqlserver.dbo_vendas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jp1llks3pono" w:id="14"/>
      <w:bookmarkEnd w:id="14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processos básicos de Data Quality são pertinentes? Lembrando que aqui são processos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básicos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, como contagens, null checks, tipagens, etc.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Levantar a necessidade de materializar essa camada baseado em volume e frequência de atualização. No Lakehouse, o ELT com a Bronze em modelo View é recomendado.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Levantar fontes não estruturadas da RAW que precisarão ser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aplainadas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na Bronze. Esse processo custoso pode demandar diferentes formas de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line="360" w:lineRule="auto"/>
        <w:rPr>
          <w:rFonts w:ascii="Raleway" w:cs="Raleway" w:eastAsia="Raleway" w:hAnsi="Raleway"/>
        </w:rPr>
      </w:pPr>
      <w:bookmarkStart w:colFirst="0" w:colLast="0" w:name="_nh7wwk4gi3e9" w:id="15"/>
      <w:bookmarkEnd w:id="15"/>
      <w:r w:rsidDel="00000000" w:rsidR="00000000" w:rsidRPr="00000000">
        <w:rPr>
          <w:rFonts w:ascii="Raleway" w:cs="Raleway" w:eastAsia="Raleway" w:hAnsi="Raleway"/>
          <w:rtl w:val="0"/>
        </w:rPr>
        <w:t xml:space="preserve">Silver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Camada de dados com agregações de negócio em modelo de views materializadas. Os domínios nessa camada são construídos enriquecendo, agregando e relacionando as tabelas na camada Bronze.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5vfjx26gc3eo" w:id="16"/>
      <w:bookmarkEnd w:id="16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Dataset: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silver_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&lt;negócio&gt;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Tabelas: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silver_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&lt;tabela&gt;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Exemplo abstrato: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silver_financeiro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.silver_balanco_geral</w:t>
      </w:r>
    </w:p>
    <w:p w:rsidR="00000000" w:rsidDel="00000000" w:rsidP="00000000" w:rsidRDefault="00000000" w:rsidRPr="00000000" w14:paraId="0000006F">
      <w:pPr>
        <w:pStyle w:val="Heading3"/>
        <w:spacing w:line="360" w:lineRule="auto"/>
        <w:rPr>
          <w:rFonts w:ascii="Raleway" w:cs="Raleway" w:eastAsia="Raleway" w:hAnsi="Raleway"/>
        </w:rPr>
      </w:pPr>
      <w:bookmarkStart w:colFirst="0" w:colLast="0" w:name="_593yflpgflsx" w:id="17"/>
      <w:bookmarkEnd w:id="17"/>
      <w:r w:rsidDel="00000000" w:rsidR="00000000" w:rsidRPr="00000000">
        <w:rPr>
          <w:rFonts w:ascii="Raleway" w:cs="Raleway" w:eastAsia="Raleway" w:hAnsi="Raleway"/>
          <w:rtl w:val="0"/>
        </w:rPr>
        <w:t xml:space="preserve">Checklist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Providenciar os scripts SQL que comporão os domínios da Silver. Quem são os pontos focais responsáveis?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são os campos de data fortes para particionamento de cada tabela?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Descrições para as tabelas geradas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Filtros são realizados em colunas específicas nessas tabelas? Se sim sobre quais colunas (importante para a clusterização da Silver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)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360" w:lineRule="auto"/>
        <w:rPr>
          <w:rFonts w:ascii="Raleway" w:cs="Raleway" w:eastAsia="Raleway" w:hAnsi="Raleway"/>
        </w:rPr>
      </w:pPr>
      <w:bookmarkStart w:colFirst="0" w:colLast="0" w:name="_pc0v05l67w8r" w:id="18"/>
      <w:bookmarkEnd w:id="18"/>
      <w:r w:rsidDel="00000000" w:rsidR="00000000" w:rsidRPr="00000000">
        <w:rPr>
          <w:rFonts w:ascii="Raleway" w:cs="Raleway" w:eastAsia="Raleway" w:hAnsi="Raleway"/>
          <w:rtl w:val="0"/>
        </w:rPr>
        <w:t xml:space="preserve">Gold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Camada de dados de negócio em modelo de views ou views materializadas. As visões nessa camada são construídas enriquecendo, agregando e relacionando as tabelas na camada Gold.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ko588729p7d4" w:id="19"/>
      <w:bookmarkEnd w:id="19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Dataset: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gold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_&lt;negócio&gt;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Tabelas: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gold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_&lt;tabela&gt;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Raleway" w:cs="Raleway" w:eastAsia="Raleway" w:hAnsi="Raleway"/>
          <w:b w:val="1"/>
        </w:rPr>
      </w:pP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Exemplo abstrato: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gold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_vendas.gold_fato_pedido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4w4o3gwji8b" w:id="20"/>
      <w:bookmarkEnd w:id="2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Providenciar os scripts SQL que comporão as visões da Gold. Quem são os pontos focais responsáveis?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são os campos de data fortes para particionamento de cada tabela?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Descrições para as tabelas geradas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Filtros são realizados em colunas específicas nessas tabelas? Se sim sobre quais colunas (importante para a clusterização da Gold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)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sistemas, serviços ou ferramentas utilizarão os dados dessa camada? Determinar modelo de acesso / ingestão para otimizar custos.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Levantar modelo de governança, owners de dados e pontos focais para construção dos modelos de acessos.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360" w:lineRule="auto"/>
        <w:rPr>
          <w:rFonts w:ascii="Raleway" w:cs="Raleway" w:eastAsia="Raleway" w:hAnsi="Raleway"/>
        </w:rPr>
      </w:pPr>
      <w:bookmarkStart w:colFirst="0" w:colLast="0" w:name="_5x86ftx8iang" w:id="21"/>
      <w:bookmarkEnd w:id="21"/>
      <w:r w:rsidDel="00000000" w:rsidR="00000000" w:rsidRPr="00000000">
        <w:rPr>
          <w:rFonts w:ascii="Raleway" w:cs="Raleway" w:eastAsia="Raleway" w:hAnsi="Raleway"/>
          <w:rtl w:val="0"/>
        </w:rPr>
        <w:t xml:space="preserve">Validação e qualidade de dados: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Quais processos de validação de dados serão implementados durante e após a migração?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os dados na Raw, validações de contagem com as bases de dados atendem?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360" w:lineRule="auto"/>
        <w:ind w:left="144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Para os dados na Silver e Gold, serão feitos comparativos com relatórios, planilhas ou sistemas? Se sim, quais e de que forma? As fontes são as mesmas?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6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Existem métricas específicas de qualidade de dados que precisam ser monitoradas (quantidade, data types)?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360" w:lineRule="auto"/>
        <w:ind w:left="720" w:hanging="360"/>
        <w:rPr>
          <w:rFonts w:ascii="Raleway" w:cs="Raleway" w:eastAsia="Raleway" w:hAnsi="Raleway"/>
          <w:u w:val="none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Determinar e construir planos de testes para as camadas.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pacing w:line="360" w:lineRule="auto"/>
      <w:jc w:val="both"/>
      <w:rPr>
        <w:rFonts w:ascii="Raleway" w:cs="Raleway" w:eastAsia="Raleway" w:hAnsi="Raleway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4092900</wp:posOffset>
          </wp:positionH>
          <wp:positionV relativeFrom="paragraph">
            <wp:posOffset>19050</wp:posOffset>
          </wp:positionV>
          <wp:extent cx="1635125" cy="56329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5125" cy="5632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638300" cy="63359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0662" l="0" r="0" t="30662"/>
                  <a:stretch>
                    <a:fillRect/>
                  </a:stretch>
                </pic:blipFill>
                <pic:spPr>
                  <a:xfrm>
                    <a:off x="0" y="0"/>
                    <a:ext cx="1638300" cy="63359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580.0" w:type="dxa"/>
      <w:jc w:val="left"/>
      <w:tblInd w:w="-115.0" w:type="dxa"/>
      <w:tblLayout w:type="fixed"/>
      <w:tblLook w:val="0000"/>
    </w:tblPr>
    <w:tblGrid>
      <w:gridCol w:w="1860"/>
      <w:gridCol w:w="4340"/>
      <w:gridCol w:w="4380"/>
      <w:tblGridChange w:id="0">
        <w:tblGrid>
          <w:gridCol w:w="1860"/>
          <w:gridCol w:w="4340"/>
          <w:gridCol w:w="4380"/>
        </w:tblGrid>
      </w:tblGridChange>
    </w:tblGrid>
    <w:tr>
      <w:trPr>
        <w:cantSplit w:val="0"/>
        <w:trHeight w:val="1113.3999999999999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A">
          <w:pPr>
            <w:spacing w:line="360" w:lineRule="auto"/>
            <w:jc w:val="both"/>
            <w:rPr>
              <w:rFonts w:ascii="Arial Black" w:cs="Arial Black" w:eastAsia="Arial Black" w:hAnsi="Arial Black"/>
              <w:b w:val="1"/>
              <w:color w:val="f0ab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</w:tcBorders>
        </w:tcPr>
        <w:p w:rsidR="00000000" w:rsidDel="00000000" w:rsidP="00000000" w:rsidRDefault="00000000" w:rsidRPr="00000000" w14:paraId="0000008B">
          <w:pPr>
            <w:spacing w:line="360" w:lineRule="auto"/>
            <w:jc w:val="both"/>
            <w:rPr>
              <w:rFonts w:ascii="Raleway" w:cs="Raleway" w:eastAsia="Raleway" w:hAnsi="Raleway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08C">
          <w:pPr>
            <w:pStyle w:val="Heading1"/>
            <w:spacing w:line="360" w:lineRule="auto"/>
            <w:jc w:val="both"/>
            <w:rPr>
              <w:rFonts w:ascii="Raleway" w:cs="Raleway" w:eastAsia="Raleway" w:hAnsi="Raleway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spacing w:line="360" w:lineRule="auto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Raleway" w:cs="Raleway" w:eastAsia="Raleway" w:hAnsi="Raleway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