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71BD" w14:textId="3ED4F2C8" w:rsidR="00174AAE" w:rsidRDefault="00174AAE" w:rsidP="006F5AAD">
      <w:pPr>
        <w:jc w:val="center"/>
        <w:rPr>
          <w:sz w:val="32"/>
          <w:szCs w:val="32"/>
        </w:rPr>
      </w:pPr>
      <w:r w:rsidRPr="00174AAE">
        <w:rPr>
          <w:sz w:val="32"/>
          <w:szCs w:val="32"/>
        </w:rPr>
        <w:t>Etude sur la quantification de LLM</w:t>
      </w:r>
      <w:r w:rsidR="006F5AAD">
        <w:rPr>
          <w:sz w:val="32"/>
          <w:szCs w:val="32"/>
        </w:rPr>
        <w:t xml:space="preserve"> – Kylian Leard</w:t>
      </w:r>
    </w:p>
    <w:p w14:paraId="22AAFBED" w14:textId="77777777" w:rsidR="00020720" w:rsidRDefault="00020720" w:rsidP="006F5AAD">
      <w:pPr>
        <w:jc w:val="center"/>
        <w:rPr>
          <w:sz w:val="32"/>
          <w:szCs w:val="32"/>
        </w:rPr>
      </w:pPr>
    </w:p>
    <w:p w14:paraId="69E8DA29" w14:textId="1E5ED0E2" w:rsidR="00174AAE" w:rsidRPr="00020720" w:rsidRDefault="00174AAE" w:rsidP="00174AAE">
      <w:pPr>
        <w:pStyle w:val="Paragraphedeliste"/>
        <w:numPr>
          <w:ilvl w:val="0"/>
          <w:numId w:val="2"/>
        </w:numPr>
        <w:rPr>
          <w:sz w:val="28"/>
          <w:szCs w:val="28"/>
        </w:rPr>
      </w:pPr>
      <w:r w:rsidRPr="00020720">
        <w:rPr>
          <w:sz w:val="28"/>
          <w:szCs w:val="28"/>
        </w:rPr>
        <w:t>Rappel d</w:t>
      </w:r>
      <w:r w:rsidR="006F5AAD" w:rsidRPr="00020720">
        <w:rPr>
          <w:sz w:val="28"/>
          <w:szCs w:val="28"/>
        </w:rPr>
        <w:t>u fonctionnement</w:t>
      </w:r>
      <w:r w:rsidRPr="00020720">
        <w:rPr>
          <w:sz w:val="28"/>
          <w:szCs w:val="28"/>
        </w:rPr>
        <w:t xml:space="preserve"> d’un réseau de neurone </w:t>
      </w:r>
    </w:p>
    <w:p w14:paraId="50E2F4F3" w14:textId="7191F8F5" w:rsidR="00174AAE" w:rsidRDefault="00631AF7" w:rsidP="00174AAE">
      <w:pPr>
        <w:ind w:left="360"/>
      </w:pPr>
      <w:r>
        <w:rPr>
          <w:noProof/>
        </w:rPr>
        <w:drawing>
          <wp:anchor distT="0" distB="0" distL="114300" distR="114300" simplePos="0" relativeHeight="251658240" behindDoc="0" locked="0" layoutInCell="1" allowOverlap="1" wp14:anchorId="307A5F67" wp14:editId="184D7C31">
            <wp:simplePos x="0" y="0"/>
            <wp:positionH relativeFrom="margin">
              <wp:align>center</wp:align>
            </wp:positionH>
            <wp:positionV relativeFrom="paragraph">
              <wp:posOffset>239395</wp:posOffset>
            </wp:positionV>
            <wp:extent cx="2392680" cy="1847215"/>
            <wp:effectExtent l="0" t="0" r="7620" b="635"/>
            <wp:wrapTopAndBottom/>
            <wp:docPr id="716412161" name="Image 2" descr="Une image contenant diagramme, cerc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12161" name="Image 2" descr="Une image contenant diagramme, cercle, ligne&#10;&#10;Le contenu généré par l’IA peut êtr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92680" cy="1847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4AAE" w:rsidRPr="00174AAE">
        <w:t>Un réseau de neurone est un ensemble de neurone organisé en plusieurs couches</w:t>
      </w:r>
      <w:r w:rsidR="00174AAE">
        <w:t xml:space="preserve">. </w:t>
      </w:r>
    </w:p>
    <w:p w14:paraId="0D608C10" w14:textId="2E478B4B" w:rsidR="00631AF7" w:rsidRDefault="00631AF7" w:rsidP="00174AAE">
      <w:pPr>
        <w:ind w:left="360"/>
      </w:pPr>
      <w:r>
        <w:rPr>
          <w:noProof/>
        </w:rPr>
        <w:drawing>
          <wp:anchor distT="0" distB="0" distL="114300" distR="114300" simplePos="0" relativeHeight="251659264" behindDoc="0" locked="0" layoutInCell="1" allowOverlap="1" wp14:anchorId="181CB3DE" wp14:editId="153A7786">
            <wp:simplePos x="0" y="0"/>
            <wp:positionH relativeFrom="margin">
              <wp:posOffset>1506855</wp:posOffset>
            </wp:positionH>
            <wp:positionV relativeFrom="paragraph">
              <wp:posOffset>2404745</wp:posOffset>
            </wp:positionV>
            <wp:extent cx="2833370" cy="1554480"/>
            <wp:effectExtent l="0" t="0" r="5080" b="7620"/>
            <wp:wrapTopAndBottom/>
            <wp:docPr id="678384775" name="Image 3" descr="What is a Perceptron? What is the role of bias in a perceptron (or neuron)?  - AIM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a Perceptron? What is the role of bias in a perceptron (or neuron)?  - AIML.co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33370" cy="1554480"/>
                    </a:xfrm>
                    <a:prstGeom prst="rect">
                      <a:avLst/>
                    </a:prstGeom>
                    <a:noFill/>
                    <a:ln>
                      <a:noFill/>
                    </a:ln>
                  </pic:spPr>
                </pic:pic>
              </a:graphicData>
            </a:graphic>
          </wp:anchor>
        </w:drawing>
      </w:r>
      <w:r>
        <w:t xml:space="preserve">Chaque unité (perceptron) est un algorithme avec plusieurs entrée et plusieurs sorties. </w:t>
      </w:r>
    </w:p>
    <w:p w14:paraId="5DED5724" w14:textId="77777777" w:rsidR="005761A7" w:rsidRDefault="005761A7" w:rsidP="00631AF7"/>
    <w:p w14:paraId="2E0A713A" w14:textId="06C493FD" w:rsidR="00631AF7" w:rsidRPr="00023409" w:rsidRDefault="00631AF7" w:rsidP="00631AF7">
      <w:pPr>
        <w:rPr>
          <w:sz w:val="22"/>
          <w:szCs w:val="22"/>
        </w:rPr>
      </w:pPr>
      <w:r>
        <w:t xml:space="preserve">Cet algorithme fonctionne en plusieurs étapes. Premièrement, il reçoit plusieurs données </w:t>
      </w:r>
      <w:r w:rsidR="00173EA4" w:rsidRPr="00173EA4">
        <w:t>x</w:t>
      </w:r>
      <w:r w:rsidR="00173EA4" w:rsidRPr="00173EA4">
        <w:rPr>
          <w:i/>
          <w:iCs/>
          <w:sz w:val="18"/>
          <w:szCs w:val="18"/>
        </w:rPr>
        <w:t>i</w:t>
      </w:r>
      <w:r w:rsidRPr="00173EA4">
        <w:rPr>
          <w:i/>
          <w:iCs/>
          <w:sz w:val="18"/>
          <w:szCs w:val="18"/>
        </w:rPr>
        <w:t xml:space="preserve"> </w:t>
      </w:r>
      <w:r>
        <w:t xml:space="preserve">en entrées et en fait la somme </w:t>
      </w:r>
      <w:r w:rsidR="00173EA4" w:rsidRPr="00173EA4">
        <w:t>∑</w:t>
      </w:r>
      <w:r w:rsidR="00173EA4">
        <w:t xml:space="preserve"> </w:t>
      </w:r>
      <w:r>
        <w:t xml:space="preserve">en les multipliant par </w:t>
      </w:r>
      <w:r w:rsidR="005761A7" w:rsidRPr="005761A7">
        <w:rPr>
          <w:color w:val="FF0000"/>
        </w:rPr>
        <w:t>leur coefficient</w:t>
      </w:r>
      <w:r w:rsidR="00173EA4" w:rsidRPr="005761A7">
        <w:rPr>
          <w:color w:val="FF0000"/>
        </w:rPr>
        <w:t xml:space="preserve"> </w:t>
      </w:r>
      <w:r w:rsidR="005761A7" w:rsidRPr="005761A7">
        <w:rPr>
          <w:color w:val="FF0000"/>
        </w:rPr>
        <w:t xml:space="preserve">de </w:t>
      </w:r>
      <w:r w:rsidR="00173EA4" w:rsidRPr="005761A7">
        <w:rPr>
          <w:color w:val="FF0000"/>
        </w:rPr>
        <w:t>poids</w:t>
      </w:r>
      <w:r w:rsidR="00173EA4">
        <w:t xml:space="preserve"> respectif w</w:t>
      </w:r>
      <w:r w:rsidR="00173EA4" w:rsidRPr="00173EA4">
        <w:rPr>
          <w:i/>
          <w:iCs/>
          <w:sz w:val="18"/>
          <w:szCs w:val="18"/>
        </w:rPr>
        <w:t>i</w:t>
      </w:r>
      <w:r w:rsidR="00173EA4">
        <w:t xml:space="preserve">. Ce poids sert à déterminer l’importance de chaque entrée dans la prise de décision du perceptron. On obtient une équation z tel que z = </w:t>
      </w:r>
      <w:r w:rsidR="00173EA4" w:rsidRPr="00173EA4">
        <w:rPr>
          <w:sz w:val="28"/>
          <w:szCs w:val="28"/>
        </w:rPr>
        <w:t>∑</w:t>
      </w:r>
      <w:r w:rsidR="00173EA4">
        <w:t xml:space="preserve"> </w:t>
      </w:r>
      <w:r w:rsidR="00173EA4" w:rsidRPr="00173EA4">
        <w:t>w</w:t>
      </w:r>
      <w:r w:rsidR="00173EA4" w:rsidRPr="00173EA4">
        <w:rPr>
          <w:i/>
          <w:iCs/>
          <w:sz w:val="18"/>
          <w:szCs w:val="18"/>
        </w:rPr>
        <w:t>i</w:t>
      </w:r>
      <w:r w:rsidR="00173EA4" w:rsidRPr="00173EA4">
        <w:rPr>
          <w:rFonts w:ascii="Arial" w:hAnsi="Arial" w:cs="Arial"/>
        </w:rPr>
        <w:t>​</w:t>
      </w:r>
      <w:r w:rsidR="00173EA4">
        <w:rPr>
          <w:rFonts w:ascii="Arial" w:hAnsi="Arial" w:cs="Arial"/>
        </w:rPr>
        <w:t>*</w:t>
      </w:r>
      <w:r w:rsidR="00173EA4">
        <w:t>x</w:t>
      </w:r>
      <w:r w:rsidR="00173EA4" w:rsidRPr="00173EA4">
        <w:rPr>
          <w:i/>
          <w:iCs/>
          <w:sz w:val="18"/>
          <w:szCs w:val="18"/>
        </w:rPr>
        <w:t>i</w:t>
      </w:r>
      <w:r w:rsidR="00173EA4">
        <w:rPr>
          <w:i/>
          <w:iCs/>
          <w:sz w:val="18"/>
          <w:szCs w:val="18"/>
        </w:rPr>
        <w:t xml:space="preserve">   </w:t>
      </w:r>
      <w:r w:rsidR="00173EA4" w:rsidRPr="00173EA4">
        <w:t>a</w:t>
      </w:r>
      <w:r w:rsidR="00173EA4">
        <w:t xml:space="preserve">uquel on ajoute un biais </w:t>
      </w:r>
      <w:r w:rsidR="00023409">
        <w:t xml:space="preserve">(décalage) </w:t>
      </w:r>
      <w:r w:rsidR="00173EA4">
        <w:t xml:space="preserve">sois </w:t>
      </w:r>
      <w:r w:rsidR="00173EA4">
        <w:t xml:space="preserve">z = </w:t>
      </w:r>
      <w:r w:rsidR="00173EA4" w:rsidRPr="00173EA4">
        <w:rPr>
          <w:sz w:val="28"/>
          <w:szCs w:val="28"/>
        </w:rPr>
        <w:t>∑</w:t>
      </w:r>
      <w:r w:rsidR="00173EA4">
        <w:t xml:space="preserve"> </w:t>
      </w:r>
      <w:r w:rsidR="00173EA4" w:rsidRPr="00173EA4">
        <w:t>w</w:t>
      </w:r>
      <w:r w:rsidR="00173EA4" w:rsidRPr="00173EA4">
        <w:rPr>
          <w:i/>
          <w:iCs/>
          <w:sz w:val="18"/>
          <w:szCs w:val="18"/>
        </w:rPr>
        <w:t>i</w:t>
      </w:r>
      <w:r w:rsidR="00173EA4" w:rsidRPr="00173EA4">
        <w:rPr>
          <w:rFonts w:ascii="Arial" w:hAnsi="Arial" w:cs="Arial"/>
        </w:rPr>
        <w:t>​</w:t>
      </w:r>
      <w:r w:rsidR="00173EA4">
        <w:rPr>
          <w:rFonts w:ascii="Arial" w:hAnsi="Arial" w:cs="Arial"/>
        </w:rPr>
        <w:t>*</w:t>
      </w:r>
      <w:r w:rsidR="00023409">
        <w:t>x</w:t>
      </w:r>
      <w:r w:rsidR="00023409" w:rsidRPr="00173EA4">
        <w:rPr>
          <w:i/>
          <w:iCs/>
          <w:sz w:val="18"/>
          <w:szCs w:val="18"/>
        </w:rPr>
        <w:t>i</w:t>
      </w:r>
      <w:r w:rsidR="00023409">
        <w:rPr>
          <w:i/>
          <w:iCs/>
          <w:sz w:val="18"/>
          <w:szCs w:val="18"/>
        </w:rPr>
        <w:t xml:space="preserve"> +</w:t>
      </w:r>
      <w:r w:rsidR="00173EA4" w:rsidRPr="00023409">
        <w:t xml:space="preserve"> b</w:t>
      </w:r>
    </w:p>
    <w:p w14:paraId="63E2163F" w14:textId="1A4DB324" w:rsidR="00173EA4" w:rsidRDefault="00173EA4" w:rsidP="00631AF7">
      <w:r w:rsidRPr="005761A7">
        <w:t xml:space="preserve">Cet algorithme bien que très </w:t>
      </w:r>
      <w:r w:rsidR="005761A7">
        <w:t>ingénieux</w:t>
      </w:r>
      <w:r w:rsidRPr="005761A7">
        <w:t xml:space="preserve"> à une faibl</w:t>
      </w:r>
      <w:r w:rsidR="00023409" w:rsidRPr="005761A7">
        <w:t>e</w:t>
      </w:r>
      <w:r w:rsidRPr="005761A7">
        <w:t>sse,</w:t>
      </w:r>
      <w:r w:rsidR="00023409" w:rsidRPr="005761A7">
        <w:t xml:space="preserve"> il ne peut modéliser que des systèmes linéaires or tout ne peux pas être modéliser</w:t>
      </w:r>
      <w:r w:rsidR="005761A7" w:rsidRPr="005761A7">
        <w:t xml:space="preserve"> linéairement. Un</w:t>
      </w:r>
      <w:r w:rsidR="005761A7">
        <w:t xml:space="preserve">e </w:t>
      </w:r>
      <w:r w:rsidR="005761A7" w:rsidRPr="005761A7">
        <w:rPr>
          <w:color w:val="FF0000"/>
        </w:rPr>
        <w:t xml:space="preserve">fonction d’activation </w:t>
      </w:r>
      <w:r w:rsidR="005761A7">
        <w:t xml:space="preserve">a donc été ajouté afin d’introduire de la non-linéarité permettant ainsi aux neurones de modéliser des systèmes complexes (non-linéaire). </w:t>
      </w:r>
    </w:p>
    <w:p w14:paraId="46B65C34" w14:textId="4B5646B9" w:rsidR="005761A7" w:rsidRDefault="005761A7" w:rsidP="006B6D40">
      <w:r>
        <w:t>Il existe différent type de fonction d’activation</w:t>
      </w:r>
      <w:r w:rsidR="006B6D40">
        <w:t xml:space="preserve">, ici nous verrons uniquement la fonction sigmoïde : </w:t>
      </w:r>
    </w:p>
    <w:p w14:paraId="5DC20654" w14:textId="0127F92D" w:rsidR="006B6D40" w:rsidRDefault="006F5AAD" w:rsidP="006B6D40">
      <w:r>
        <w:rPr>
          <w:noProof/>
        </w:rPr>
        <w:lastRenderedPageBreak/>
        <w:drawing>
          <wp:anchor distT="0" distB="0" distL="114300" distR="114300" simplePos="0" relativeHeight="251660288" behindDoc="1" locked="0" layoutInCell="1" allowOverlap="1" wp14:anchorId="5D4B5BC4" wp14:editId="0A72B7B4">
            <wp:simplePos x="0" y="0"/>
            <wp:positionH relativeFrom="margin">
              <wp:align>center</wp:align>
            </wp:positionH>
            <wp:positionV relativeFrom="paragraph">
              <wp:posOffset>0</wp:posOffset>
            </wp:positionV>
            <wp:extent cx="3247390" cy="2217420"/>
            <wp:effectExtent l="0" t="0" r="0" b="0"/>
            <wp:wrapTopAndBottom/>
            <wp:docPr id="747897490" name="Image 4" descr="Image géné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généré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7390" cy="2217420"/>
                    </a:xfrm>
                    <a:prstGeom prst="rect">
                      <a:avLst/>
                    </a:prstGeom>
                    <a:noFill/>
                    <a:ln>
                      <a:noFill/>
                    </a:ln>
                  </pic:spPr>
                </pic:pic>
              </a:graphicData>
            </a:graphic>
          </wp:anchor>
        </w:drawing>
      </w:r>
      <w:r w:rsidR="006B6D40">
        <w:t xml:space="preserve">Elle transforme n’importe quel valeur réelle x en une valeur entre 0 et 1. </w:t>
      </w:r>
    </w:p>
    <w:p w14:paraId="13CB79EC" w14:textId="1E248E28" w:rsidR="00020720" w:rsidRDefault="00970873" w:rsidP="006B6D40">
      <w:r>
        <w:t xml:space="preserve">Le dernier concept à maitriser pour comprendre la quantification est la </w:t>
      </w:r>
      <w:r w:rsidRPr="00650160">
        <w:rPr>
          <w:color w:val="FF0000"/>
        </w:rPr>
        <w:t>descente de gradient</w:t>
      </w:r>
      <w:r>
        <w:t xml:space="preserve">. La descente de gradient est une méthode d’optimisation utilisée pour minimiser </w:t>
      </w:r>
      <w:r w:rsidR="00650160">
        <w:t xml:space="preserve">l’erreur ou la différence entre les prédictions d’un modèle et les valeurs réelles. L’idée derrière la descente de gradient est de se déplacer dans la direction du gradient de la fonction de cout, qui est le vecteur de la dérivée de la fonction par rapport à ces paramètres jusqu’à atteindre un minimum. </w:t>
      </w:r>
    </w:p>
    <w:p w14:paraId="528DB239" w14:textId="7E9FADC7" w:rsidR="00020720" w:rsidRDefault="00020720" w:rsidP="006B6D40">
      <w:r>
        <w:t xml:space="preserve">Le </w:t>
      </w:r>
      <w:r w:rsidRPr="00020720">
        <w:rPr>
          <w:color w:val="FF0000"/>
        </w:rPr>
        <w:t>gradient d’une fonction</w:t>
      </w:r>
      <w:r>
        <w:t xml:space="preserve"> est un vecteur qui contient les dérivées partielles de cette fonction par rapport à chaque paramètre. </w:t>
      </w:r>
      <w:r w:rsidRPr="00020720">
        <w:t>Intuitivement, il montre la direction dans laquelle la fonction augmente le plus rapidement. Pour un problème d'optimisation, nous voulons ajuster les paramètres dans la direction opposée au gradient (car nous voulons minimiser la fonction), ce qui nous amène au minimum de la fonction.</w:t>
      </w:r>
    </w:p>
    <w:p w14:paraId="3260C71A" w14:textId="22DE22F6" w:rsidR="00664343" w:rsidRDefault="00020720" w:rsidP="006B6D40">
      <w:r>
        <w:rPr>
          <w:noProof/>
        </w:rPr>
        <w:drawing>
          <wp:anchor distT="0" distB="0" distL="114300" distR="114300" simplePos="0" relativeHeight="251662336" behindDoc="0" locked="0" layoutInCell="1" allowOverlap="1" wp14:anchorId="64F99A44" wp14:editId="0896D939">
            <wp:simplePos x="0" y="0"/>
            <wp:positionH relativeFrom="column">
              <wp:posOffset>2971165</wp:posOffset>
            </wp:positionH>
            <wp:positionV relativeFrom="paragraph">
              <wp:posOffset>514985</wp:posOffset>
            </wp:positionV>
            <wp:extent cx="2967355" cy="1851660"/>
            <wp:effectExtent l="0" t="0" r="4445" b="0"/>
            <wp:wrapTopAndBottom/>
            <wp:docPr id="1687705964" name="Image 6" descr="Gradient Descent - ML P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dient Descent - ML Pil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7355" cy="1851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E7B17DA" wp14:editId="148F8705">
            <wp:simplePos x="0" y="0"/>
            <wp:positionH relativeFrom="margin">
              <wp:posOffset>-635</wp:posOffset>
            </wp:positionH>
            <wp:positionV relativeFrom="paragraph">
              <wp:posOffset>316865</wp:posOffset>
            </wp:positionV>
            <wp:extent cx="2743200" cy="2058035"/>
            <wp:effectExtent l="0" t="0" r="0" b="0"/>
            <wp:wrapTopAndBottom/>
            <wp:docPr id="1406668082" name="Image 5" descr="Une image contenant ligne, diagramme, Trac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68082" name="Image 5" descr="Une image contenant ligne, diagramme, Tracé, capture d’écran&#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2058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4343">
        <w:t>Exemple : La fonction log-loss</w:t>
      </w:r>
      <w:r>
        <w:t xml:space="preserve"> </w:t>
      </w:r>
    </w:p>
    <w:p w14:paraId="1DB15C94" w14:textId="260B8445" w:rsidR="006F5AAD" w:rsidRDefault="006F5AAD" w:rsidP="006B6D40"/>
    <w:p w14:paraId="1D33E883" w14:textId="77777777" w:rsidR="00020720" w:rsidRDefault="00020720" w:rsidP="00650160">
      <w:pPr>
        <w:rPr>
          <w:sz w:val="28"/>
          <w:szCs w:val="28"/>
        </w:rPr>
      </w:pPr>
    </w:p>
    <w:p w14:paraId="506BBF7D" w14:textId="77777777" w:rsidR="00020720" w:rsidRDefault="00020720" w:rsidP="00650160">
      <w:pPr>
        <w:rPr>
          <w:sz w:val="28"/>
          <w:szCs w:val="28"/>
        </w:rPr>
      </w:pPr>
    </w:p>
    <w:p w14:paraId="1DED9EE3" w14:textId="77777777" w:rsidR="00020720" w:rsidRDefault="00020720" w:rsidP="00650160">
      <w:pPr>
        <w:rPr>
          <w:sz w:val="28"/>
          <w:szCs w:val="28"/>
        </w:rPr>
      </w:pPr>
    </w:p>
    <w:p w14:paraId="3FF53C83" w14:textId="31B26780" w:rsidR="00020720" w:rsidRPr="00020720" w:rsidRDefault="00020720" w:rsidP="00020720">
      <w:pPr>
        <w:pStyle w:val="Paragraphedeliste"/>
        <w:numPr>
          <w:ilvl w:val="0"/>
          <w:numId w:val="2"/>
        </w:numPr>
        <w:rPr>
          <w:sz w:val="28"/>
          <w:szCs w:val="28"/>
        </w:rPr>
      </w:pPr>
      <w:r>
        <w:rPr>
          <w:sz w:val="28"/>
          <w:szCs w:val="28"/>
        </w:rPr>
        <w:lastRenderedPageBreak/>
        <w:t>La quantification</w:t>
      </w:r>
    </w:p>
    <w:p w14:paraId="0168E9A3" w14:textId="1F12CE63" w:rsidR="00174AAE" w:rsidRDefault="00174AAE" w:rsidP="00650160">
      <w:r w:rsidRPr="00020720">
        <w:t xml:space="preserve">La quantification est </w:t>
      </w:r>
      <w:r w:rsidR="00020720">
        <w:t xml:space="preserve">donc </w:t>
      </w:r>
      <w:r w:rsidRPr="00020720">
        <w:t xml:space="preserve">le fait de réduire la précision numérique des poids, des activations, ou des gradients d’un modèle afin de le rendre plus rapide à exécuter. </w:t>
      </w:r>
    </w:p>
    <w:p w14:paraId="08E02F17" w14:textId="5A306C79" w:rsidR="00020720" w:rsidRDefault="00020720" w:rsidP="00650160">
      <w:r>
        <w:t xml:space="preserve">Les modèles sont habituellement entrainés en float32 (32bits). Avec la quantification, on transforme ces valeurs en float16, int8, int4 voire int2, c’est-à-dire en nombre qui occupent moins de mémoire. </w:t>
      </w:r>
    </w:p>
    <w:p w14:paraId="33E7FC3A" w14:textId="1F9A783F" w:rsidR="00020720" w:rsidRDefault="00020720" w:rsidP="00650160">
      <w:r>
        <w:t xml:space="preserve">Moins de mémoire = modèle plus petit = exécution plus rapide = moins énergivore </w:t>
      </w:r>
    </w:p>
    <w:p w14:paraId="254FC569" w14:textId="0A2FDAEE" w:rsidR="00020720" w:rsidRDefault="006033F3" w:rsidP="00650160">
      <w:r>
        <w:t xml:space="preserve">Les types de quantification </w:t>
      </w:r>
    </w:p>
    <w:tbl>
      <w:tblPr>
        <w:tblStyle w:val="Grilledutableau"/>
        <w:tblW w:w="0" w:type="auto"/>
        <w:tblLook w:val="04A0" w:firstRow="1" w:lastRow="0" w:firstColumn="1" w:lastColumn="0" w:noHBand="0" w:noVBand="1"/>
      </w:tblPr>
      <w:tblGrid>
        <w:gridCol w:w="2265"/>
        <w:gridCol w:w="2265"/>
        <w:gridCol w:w="2266"/>
        <w:gridCol w:w="2266"/>
      </w:tblGrid>
      <w:tr w:rsidR="006033F3" w14:paraId="0EE38633" w14:textId="77777777" w:rsidTr="006033F3">
        <w:tc>
          <w:tcPr>
            <w:tcW w:w="2265" w:type="dxa"/>
          </w:tcPr>
          <w:p w14:paraId="623D382A" w14:textId="4CA8F2CB" w:rsidR="006033F3" w:rsidRDefault="006033F3" w:rsidP="00650160">
            <w:r>
              <w:t>Type</w:t>
            </w:r>
          </w:p>
        </w:tc>
        <w:tc>
          <w:tcPr>
            <w:tcW w:w="2265" w:type="dxa"/>
          </w:tcPr>
          <w:p w14:paraId="61A09B11" w14:textId="7506DC5A" w:rsidR="006033F3" w:rsidRDefault="006033F3" w:rsidP="00650160">
            <w:r>
              <w:t>Description</w:t>
            </w:r>
          </w:p>
        </w:tc>
        <w:tc>
          <w:tcPr>
            <w:tcW w:w="2266" w:type="dxa"/>
          </w:tcPr>
          <w:p w14:paraId="6969C605" w14:textId="52933110" w:rsidR="006033F3" w:rsidRDefault="006033F3" w:rsidP="00650160">
            <w:r>
              <w:t>Avantages</w:t>
            </w:r>
          </w:p>
        </w:tc>
        <w:tc>
          <w:tcPr>
            <w:tcW w:w="2266" w:type="dxa"/>
          </w:tcPr>
          <w:p w14:paraId="19DEAEC5" w14:textId="57862D5B" w:rsidR="006033F3" w:rsidRDefault="006033F3" w:rsidP="00650160">
            <w:r>
              <w:t>Inconvénients</w:t>
            </w:r>
          </w:p>
        </w:tc>
      </w:tr>
      <w:tr w:rsidR="006033F3" w14:paraId="535E9847" w14:textId="77777777" w:rsidTr="006033F3">
        <w:tc>
          <w:tcPr>
            <w:tcW w:w="2265" w:type="dxa"/>
          </w:tcPr>
          <w:p w14:paraId="49A002B5" w14:textId="70CF46FF" w:rsidR="006033F3" w:rsidRDefault="006033F3" w:rsidP="00650160">
            <w:r>
              <w:t>Post-Training Quantization (PQT)</w:t>
            </w:r>
          </w:p>
        </w:tc>
        <w:tc>
          <w:tcPr>
            <w:tcW w:w="2265" w:type="dxa"/>
          </w:tcPr>
          <w:p w14:paraId="1A94ABBA" w14:textId="1777195F" w:rsidR="006033F3" w:rsidRDefault="006033F3" w:rsidP="00650160">
            <w:r>
              <w:t>On applique la quantification après l’entrainement</w:t>
            </w:r>
          </w:p>
        </w:tc>
        <w:tc>
          <w:tcPr>
            <w:tcW w:w="2266" w:type="dxa"/>
          </w:tcPr>
          <w:p w14:paraId="548CCD78" w14:textId="41B55902" w:rsidR="006033F3" w:rsidRDefault="006033F3" w:rsidP="00650160">
            <w:r>
              <w:t>Rapide, pas besoin de réentrainement</w:t>
            </w:r>
          </w:p>
        </w:tc>
        <w:tc>
          <w:tcPr>
            <w:tcW w:w="2266" w:type="dxa"/>
          </w:tcPr>
          <w:p w14:paraId="38B358B3" w14:textId="758A3015" w:rsidR="006033F3" w:rsidRDefault="006033F3" w:rsidP="00650160">
            <w:r>
              <w:t>Peut perdre un peu de précision</w:t>
            </w:r>
          </w:p>
        </w:tc>
      </w:tr>
      <w:tr w:rsidR="006033F3" w14:paraId="651C2022" w14:textId="77777777" w:rsidTr="006033F3">
        <w:tc>
          <w:tcPr>
            <w:tcW w:w="2265" w:type="dxa"/>
          </w:tcPr>
          <w:p w14:paraId="6F04C00B" w14:textId="7386786B" w:rsidR="006033F3" w:rsidRDefault="006033F3" w:rsidP="00650160">
            <w:r>
              <w:t>Quantization-Aware-Training (QAT)</w:t>
            </w:r>
          </w:p>
        </w:tc>
        <w:tc>
          <w:tcPr>
            <w:tcW w:w="2265" w:type="dxa"/>
          </w:tcPr>
          <w:p w14:paraId="2448678D" w14:textId="7293EDE0" w:rsidR="006033F3" w:rsidRDefault="006033F3" w:rsidP="00650160">
            <w:r>
              <w:t>Le modèle est entrainé en tenant compte de la quantification</w:t>
            </w:r>
          </w:p>
        </w:tc>
        <w:tc>
          <w:tcPr>
            <w:tcW w:w="2266" w:type="dxa"/>
          </w:tcPr>
          <w:p w14:paraId="08B941F3" w14:textId="29C30123" w:rsidR="006033F3" w:rsidRDefault="006033F3" w:rsidP="00650160">
            <w:r>
              <w:t>Très précis</w:t>
            </w:r>
          </w:p>
        </w:tc>
        <w:tc>
          <w:tcPr>
            <w:tcW w:w="2266" w:type="dxa"/>
          </w:tcPr>
          <w:p w14:paraId="4623C3D2" w14:textId="70F28CE7" w:rsidR="006033F3" w:rsidRDefault="006033F3" w:rsidP="00650160">
            <w:r>
              <w:t xml:space="preserve">Nécessite un réentrainement couteux </w:t>
            </w:r>
          </w:p>
        </w:tc>
      </w:tr>
    </w:tbl>
    <w:p w14:paraId="25C80CC2" w14:textId="77777777" w:rsidR="006033F3" w:rsidRDefault="006033F3" w:rsidP="00650160"/>
    <w:p w14:paraId="2A8F49DF" w14:textId="1DE9C20F" w:rsidR="0064779E" w:rsidRDefault="0064779E" w:rsidP="0064779E">
      <w:r>
        <w:t xml:space="preserve">Les méthodes de quantification </w:t>
      </w:r>
    </w:p>
    <w:p w14:paraId="7A0AC6B3" w14:textId="77777777" w:rsidR="0064779E" w:rsidRDefault="0064779E" w:rsidP="0064779E"/>
    <w:p w14:paraId="63C1D7E6" w14:textId="1EAFB705" w:rsidR="0064779E" w:rsidRDefault="0064779E" w:rsidP="0064779E">
      <w:r>
        <w:t xml:space="preserve">GPT-Q </w:t>
      </w:r>
    </w:p>
    <w:p w14:paraId="4E292ADA" w14:textId="6E506097" w:rsidR="0064779E" w:rsidRPr="0064779E" w:rsidRDefault="0064779E" w:rsidP="0064779E">
      <w:r>
        <w:t xml:space="preserve">La méthode GPTQ est une approche de quantification réduisant les nombres flottants vers des types de données </w:t>
      </w:r>
    </w:p>
    <w:p w14:paraId="6B52FFB1" w14:textId="77777777" w:rsidR="00174AAE" w:rsidRDefault="00174AAE" w:rsidP="00174AAE">
      <w:pPr>
        <w:ind w:left="360"/>
        <w:rPr>
          <w:sz w:val="28"/>
          <w:szCs w:val="28"/>
        </w:rPr>
      </w:pPr>
    </w:p>
    <w:p w14:paraId="2A37E0CF" w14:textId="77777777" w:rsidR="00174AAE" w:rsidRPr="00174AAE" w:rsidRDefault="00174AAE" w:rsidP="00174AAE">
      <w:pPr>
        <w:ind w:left="360"/>
        <w:rPr>
          <w:sz w:val="28"/>
          <w:szCs w:val="28"/>
        </w:rPr>
      </w:pPr>
    </w:p>
    <w:sectPr w:rsidR="00174AAE" w:rsidRPr="00174A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03571"/>
    <w:multiLevelType w:val="hybridMultilevel"/>
    <w:tmpl w:val="F8081342"/>
    <w:lvl w:ilvl="0" w:tplc="EE6E76E6">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E8F76C1"/>
    <w:multiLevelType w:val="hybridMultilevel"/>
    <w:tmpl w:val="6E74C3CC"/>
    <w:lvl w:ilvl="0" w:tplc="4AC271F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14842049">
    <w:abstractNumId w:val="1"/>
  </w:num>
  <w:num w:numId="2" w16cid:durableId="58727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AE"/>
    <w:rsid w:val="00020720"/>
    <w:rsid w:val="00023409"/>
    <w:rsid w:val="00173EA4"/>
    <w:rsid w:val="00174AAE"/>
    <w:rsid w:val="001B3FC7"/>
    <w:rsid w:val="00286118"/>
    <w:rsid w:val="004A0B44"/>
    <w:rsid w:val="005761A7"/>
    <w:rsid w:val="006033F3"/>
    <w:rsid w:val="00631AF7"/>
    <w:rsid w:val="0064779E"/>
    <w:rsid w:val="00650160"/>
    <w:rsid w:val="00664343"/>
    <w:rsid w:val="006B3595"/>
    <w:rsid w:val="006B6D40"/>
    <w:rsid w:val="006F5AAD"/>
    <w:rsid w:val="009708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C3C11"/>
  <w15:chartTrackingRefBased/>
  <w15:docId w15:val="{8C168EDD-53BA-4D36-9F67-DAD114F9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74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74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74AA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74AA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74AA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74AA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4AA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4AA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4AA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4AA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74AA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74AA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74AA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74AA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74AA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4AA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4AA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4AAE"/>
    <w:rPr>
      <w:rFonts w:eastAsiaTheme="majorEastAsia" w:cstheme="majorBidi"/>
      <w:color w:val="272727" w:themeColor="text1" w:themeTint="D8"/>
    </w:rPr>
  </w:style>
  <w:style w:type="paragraph" w:styleId="Titre">
    <w:name w:val="Title"/>
    <w:basedOn w:val="Normal"/>
    <w:next w:val="Normal"/>
    <w:link w:val="TitreCar"/>
    <w:uiPriority w:val="10"/>
    <w:qFormat/>
    <w:rsid w:val="00174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4AA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4AA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4AA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4AAE"/>
    <w:pPr>
      <w:spacing w:before="160"/>
      <w:jc w:val="center"/>
    </w:pPr>
    <w:rPr>
      <w:i/>
      <w:iCs/>
      <w:color w:val="404040" w:themeColor="text1" w:themeTint="BF"/>
    </w:rPr>
  </w:style>
  <w:style w:type="character" w:customStyle="1" w:styleId="CitationCar">
    <w:name w:val="Citation Car"/>
    <w:basedOn w:val="Policepardfaut"/>
    <w:link w:val="Citation"/>
    <w:uiPriority w:val="29"/>
    <w:rsid w:val="00174AAE"/>
    <w:rPr>
      <w:i/>
      <w:iCs/>
      <w:color w:val="404040" w:themeColor="text1" w:themeTint="BF"/>
    </w:rPr>
  </w:style>
  <w:style w:type="paragraph" w:styleId="Paragraphedeliste">
    <w:name w:val="List Paragraph"/>
    <w:basedOn w:val="Normal"/>
    <w:uiPriority w:val="34"/>
    <w:qFormat/>
    <w:rsid w:val="00174AAE"/>
    <w:pPr>
      <w:ind w:left="720"/>
      <w:contextualSpacing/>
    </w:pPr>
  </w:style>
  <w:style w:type="character" w:styleId="Accentuationintense">
    <w:name w:val="Intense Emphasis"/>
    <w:basedOn w:val="Policepardfaut"/>
    <w:uiPriority w:val="21"/>
    <w:qFormat/>
    <w:rsid w:val="00174AAE"/>
    <w:rPr>
      <w:i/>
      <w:iCs/>
      <w:color w:val="0F4761" w:themeColor="accent1" w:themeShade="BF"/>
    </w:rPr>
  </w:style>
  <w:style w:type="paragraph" w:styleId="Citationintense">
    <w:name w:val="Intense Quote"/>
    <w:basedOn w:val="Normal"/>
    <w:next w:val="Normal"/>
    <w:link w:val="CitationintenseCar"/>
    <w:uiPriority w:val="30"/>
    <w:qFormat/>
    <w:rsid w:val="00174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74AAE"/>
    <w:rPr>
      <w:i/>
      <w:iCs/>
      <w:color w:val="0F4761" w:themeColor="accent1" w:themeShade="BF"/>
    </w:rPr>
  </w:style>
  <w:style w:type="character" w:styleId="Rfrenceintense">
    <w:name w:val="Intense Reference"/>
    <w:basedOn w:val="Policepardfaut"/>
    <w:uiPriority w:val="32"/>
    <w:qFormat/>
    <w:rsid w:val="00174AAE"/>
    <w:rPr>
      <w:b/>
      <w:bCs/>
      <w:smallCaps/>
      <w:color w:val="0F4761" w:themeColor="accent1" w:themeShade="BF"/>
      <w:spacing w:val="5"/>
    </w:rPr>
  </w:style>
  <w:style w:type="table" w:styleId="Grilledutableau">
    <w:name w:val="Table Grid"/>
    <w:basedOn w:val="TableauNormal"/>
    <w:uiPriority w:val="39"/>
    <w:rsid w:val="0060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078287">
      <w:bodyDiv w:val="1"/>
      <w:marLeft w:val="0"/>
      <w:marRight w:val="0"/>
      <w:marTop w:val="0"/>
      <w:marBottom w:val="0"/>
      <w:divBdr>
        <w:top w:val="none" w:sz="0" w:space="0" w:color="auto"/>
        <w:left w:val="none" w:sz="0" w:space="0" w:color="auto"/>
        <w:bottom w:val="none" w:sz="0" w:space="0" w:color="auto"/>
        <w:right w:val="none" w:sz="0" w:space="0" w:color="auto"/>
      </w:divBdr>
    </w:div>
    <w:div w:id="1355963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3</Pages>
  <Words>475</Words>
  <Characters>2615</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Kylian Leard</dc:creator>
  <cp:keywords/>
  <dc:description/>
  <cp:lastModifiedBy>Kylian Leard</cp:lastModifiedBy>
  <cp:revision>1</cp:revision>
  <dcterms:created xsi:type="dcterms:W3CDTF">2025-04-14T18:54:00Z</dcterms:created>
  <dcterms:modified xsi:type="dcterms:W3CDTF">2025-04-14T23:29:00Z</dcterms:modified>
</cp:coreProperties>
</file>