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A140B" w:rsidP="008A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Computación Aplicada II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A1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AE.5.10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IX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Computacion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Aplicada I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5B2F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Ninguno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5B2FE8" w:rsidRDefault="005B2FE8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5B2FE8">
        <w:rPr>
          <w:rFonts w:ascii="Times New Roman" w:hAnsi="Times New Roman" w:cs="Times New Roman"/>
          <w:sz w:val="24"/>
          <w:szCs w:val="24"/>
        </w:rPr>
        <w:t xml:space="preserve">La computación </w:t>
      </w:r>
      <w:r w:rsidR="009B621B">
        <w:rPr>
          <w:rFonts w:ascii="Times New Roman" w:hAnsi="Times New Roman" w:cs="Times New Roman"/>
          <w:sz w:val="24"/>
          <w:szCs w:val="24"/>
        </w:rPr>
        <w:t>es</w:t>
      </w:r>
      <w:r w:rsidRPr="005B2FE8">
        <w:rPr>
          <w:rFonts w:ascii="Times New Roman" w:hAnsi="Times New Roman" w:cs="Times New Roman"/>
          <w:sz w:val="24"/>
          <w:szCs w:val="24"/>
        </w:rPr>
        <w:t xml:space="preserve"> un papel fundamental como herramienta de apoyo al desarrollo de investigación en diferentes áreas del conocimiento. Hoy en día, la computación</w:t>
      </w:r>
      <w:r w:rsidR="009B621B">
        <w:rPr>
          <w:rFonts w:ascii="Times New Roman" w:hAnsi="Times New Roman" w:cs="Times New Roman"/>
          <w:sz w:val="24"/>
          <w:szCs w:val="24"/>
        </w:rPr>
        <w:t xml:space="preserve"> soporta</w:t>
      </w:r>
      <w:r w:rsidRPr="005B2FE8">
        <w:rPr>
          <w:rFonts w:ascii="Times New Roman" w:hAnsi="Times New Roman" w:cs="Times New Roman"/>
          <w:sz w:val="24"/>
          <w:szCs w:val="24"/>
        </w:rPr>
        <w:t xml:space="preserve"> el desarrollo de la investigación en prácticamente todas las ciencias</w:t>
      </w:r>
      <w:r w:rsidR="009B621B">
        <w:rPr>
          <w:rFonts w:ascii="Times New Roman" w:hAnsi="Times New Roman" w:cs="Times New Roman"/>
          <w:sz w:val="24"/>
          <w:szCs w:val="24"/>
        </w:rPr>
        <w:t xml:space="preserve"> administrativas</w:t>
      </w:r>
      <w:r w:rsidRPr="005B2FE8">
        <w:rPr>
          <w:rFonts w:ascii="Times New Roman" w:hAnsi="Times New Roman" w:cs="Times New Roman"/>
          <w:sz w:val="24"/>
          <w:szCs w:val="24"/>
        </w:rPr>
        <w:t>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Ingeniero de la carrera de Administración de Empresas debe contar como herramienta de apoyo al uso de los sistemas de información, debido a que en base a ellos, es que una empresa se maneja, desde el punto de vista contable como organizacional.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Incluso sin el manejo del sistema de información contable, es imposible formar una empresa pymes, debido a que ahora todo se lleva de manera electrónicas, facturas, guías de remisión, comprobantes de retención, etc.</w:t>
      </w: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621B" w:rsidRPr="005B2FE8" w:rsidRDefault="009B621B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9B621B" w:rsidRDefault="009B621B" w:rsidP="00ED7B9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Aplicar el uso de las herramientas computaciones para el desempeño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la carrera de Administración de Empresas.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9E236A" w:rsidP="00146156">
      <w:pPr>
        <w:pStyle w:val="Prrafodelista"/>
        <w:numPr>
          <w:ilvl w:val="0"/>
          <w:numId w:val="6"/>
        </w:numPr>
        <w:rPr>
          <w:szCs w:val="24"/>
        </w:rPr>
      </w:pPr>
      <w:bookmarkStart w:id="0" w:name="_GoBack"/>
      <w:bookmarkEnd w:id="0"/>
    </w:p>
    <w:p w:rsidR="008766BE" w:rsidRPr="00146156" w:rsidRDefault="008766BE" w:rsidP="00146156">
      <w:pPr>
        <w:pStyle w:val="Prrafodelista"/>
        <w:numPr>
          <w:ilvl w:val="0"/>
          <w:numId w:val="6"/>
        </w:numPr>
        <w:rPr>
          <w:szCs w:val="24"/>
        </w:rPr>
      </w:pP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701"/>
        <w:gridCol w:w="4394"/>
      </w:tblGrid>
      <w:tr w:rsidR="00C21C45" w:rsidRPr="00F559E5" w:rsidTr="00C46815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21C45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C21C45" w:rsidRPr="00B1626A" w:rsidRDefault="00C21C45" w:rsidP="00C46815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F05547"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C21C45" w:rsidRPr="00B1626A" w:rsidRDefault="00C21C45" w:rsidP="00C4681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 w:rsidRPr="00B1626A"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C21C45" w:rsidRPr="00F559E5" w:rsidTr="00C46815">
        <w:tc>
          <w:tcPr>
            <w:tcW w:w="3227" w:type="dxa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Pericia para diseñar y conducir </w:t>
            </w:r>
            <w:r>
              <w:rPr>
                <w:sz w:val="20"/>
                <w:szCs w:val="20"/>
                <w:lang w:eastAsia="es-EC"/>
              </w:rPr>
              <w:t>experimentos</w:t>
            </w:r>
            <w:r w:rsidRPr="0067106D">
              <w:rPr>
                <w:sz w:val="20"/>
                <w:szCs w:val="20"/>
                <w:lang w:eastAsia="es-EC"/>
              </w:rPr>
              <w:t>, así como para analizar sus resultados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Formular e interpretar lo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distint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s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modelos económicos sean esto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 descriptivos o experimentales.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Utilizar la metodología de la investigación económica para analizar los diferentes niveles en el manejo de procesos productivos de la empresa.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Manejar las variables microeconómicas aplicándolas al campo empresarial, colaborando con las diversas áreas de investigación y de RRHH en las distintas sociedades empresariales.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67106D">
              <w:rPr>
                <w:sz w:val="20"/>
                <w:szCs w:val="20"/>
                <w:lang w:eastAsia="es-EC"/>
              </w:rPr>
              <w:t xml:space="preserve">Resuelve problemas relacionados a la </w:t>
            </w:r>
            <w:r>
              <w:rPr>
                <w:sz w:val="20"/>
                <w:szCs w:val="20"/>
                <w:lang w:eastAsia="es-EC"/>
              </w:rPr>
              <w:t>profesión</w:t>
            </w:r>
          </w:p>
          <w:p w:rsidR="00C21C45" w:rsidRPr="0067106D" w:rsidRDefault="00C21C45" w:rsidP="00C46815">
            <w:pPr>
              <w:pStyle w:val="Prrafodelista"/>
              <w:spacing w:after="0" w:line="220" w:lineRule="exact"/>
              <w:ind w:left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media</w:t>
            </w: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 xml:space="preserve">Operar la redacción de informes económicos con carácter científico utilizando las herramientas </w:t>
            </w:r>
            <w:proofErr w:type="spellStart"/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ic`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S</w:t>
            </w:r>
            <w:proofErr w:type="spellEnd"/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Impacto en la Gestión Empresarial</w:t>
            </w:r>
            <w:r>
              <w:rPr>
                <w:sz w:val="20"/>
                <w:szCs w:val="20"/>
                <w:lang w:eastAsia="es-EC"/>
              </w:rPr>
              <w:t xml:space="preserve"> y en el contexto social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Apreciar el principio de que la teoría económica es aplicable a toda su vida profesional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67106D" w:rsidRDefault="00C21C45" w:rsidP="00C46815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lastRenderedPageBreak/>
              <w:t>Asuntos contemporáneos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lastRenderedPageBreak/>
              <w:t>alta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lastRenderedPageBreak/>
              <w:t xml:space="preserve">Concebir que los procesos productivos involucren </w:t>
            </w: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lastRenderedPageBreak/>
              <w:t>la lectura actualizada de información técnica y científica.</w:t>
            </w:r>
          </w:p>
        </w:tc>
      </w:tr>
      <w:tr w:rsidR="00C21C45" w:rsidRPr="00F559E5" w:rsidTr="00C46815">
        <w:tc>
          <w:tcPr>
            <w:tcW w:w="3227" w:type="dxa"/>
            <w:vAlign w:val="center"/>
          </w:tcPr>
          <w:p w:rsidR="00C21C45" w:rsidRPr="0018534F" w:rsidRDefault="00C21C45" w:rsidP="00C21C45">
            <w:pPr>
              <w:pStyle w:val="Prrafodelista"/>
              <w:numPr>
                <w:ilvl w:val="0"/>
                <w:numId w:val="8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 w:rsidRPr="0018534F">
              <w:rPr>
                <w:sz w:val="20"/>
                <w:szCs w:val="20"/>
                <w:lang w:eastAsia="es-EC"/>
              </w:rPr>
              <w:lastRenderedPageBreak/>
              <w:t>Capacidad de liderar, gestionar o emprender proyectos</w:t>
            </w:r>
          </w:p>
        </w:tc>
        <w:tc>
          <w:tcPr>
            <w:tcW w:w="1701" w:type="dxa"/>
          </w:tcPr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</w:p>
          <w:p w:rsidR="00C21C45" w:rsidRPr="0067106D" w:rsidRDefault="00C21C45" w:rsidP="00714675">
            <w:pPr>
              <w:spacing w:after="0" w:line="22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b/>
                <w:sz w:val="20"/>
                <w:szCs w:val="20"/>
                <w:lang w:eastAsia="es-EC"/>
              </w:rPr>
              <w:t>baja</w:t>
            </w:r>
          </w:p>
        </w:tc>
        <w:tc>
          <w:tcPr>
            <w:tcW w:w="4394" w:type="dxa"/>
          </w:tcPr>
          <w:p w:rsidR="00C21C45" w:rsidRPr="0067106D" w:rsidRDefault="00C21C45" w:rsidP="00C46815">
            <w:pPr>
              <w:spacing w:after="0" w:line="2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  <w:r w:rsidRPr="0067106D"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B2EF9" w:rsidRDefault="004B2EF9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Pr="004A1D54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6F1A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Pr="004905A6" w:rsidRDefault="004905A6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810"/>
        <w:gridCol w:w="1516"/>
        <w:gridCol w:w="2177"/>
        <w:gridCol w:w="2409"/>
        <w:gridCol w:w="1276"/>
        <w:gridCol w:w="142"/>
        <w:gridCol w:w="992"/>
      </w:tblGrid>
      <w:tr w:rsidR="001711A0" w:rsidRPr="00C25931" w:rsidTr="00866047">
        <w:tc>
          <w:tcPr>
            <w:tcW w:w="810" w:type="dxa"/>
            <w:shd w:val="clear" w:color="auto" w:fill="C6D9F1" w:themeFill="text2" w:themeFillTint="33"/>
          </w:tcPr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1711A0" w:rsidRPr="004162AB" w:rsidRDefault="00866047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866047" w:rsidRPr="00C25931" w:rsidTr="00FB69D1">
        <w:tc>
          <w:tcPr>
            <w:tcW w:w="810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proofErr w:type="spellStart"/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</w:t>
            </w:r>
            <w:proofErr w:type="spellEnd"/>
          </w:p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N</w:t>
            </w:r>
            <w:r w:rsidRPr="00FB69D1">
              <w:rPr>
                <w:rFonts w:cstheme="minorHAnsi"/>
                <w:b/>
                <w:sz w:val="16"/>
                <w:szCs w:val="16"/>
              </w:rPr>
              <w:t>º</w:t>
            </w:r>
          </w:p>
        </w:tc>
        <w:tc>
          <w:tcPr>
            <w:tcW w:w="1516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1711A0" w:rsidRPr="00FB69D1" w:rsidRDefault="001711A0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1711A0" w:rsidRPr="00FB69D1" w:rsidRDefault="001711A0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Ensayo</w:t>
            </w: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c>
          <w:tcPr>
            <w:tcW w:w="810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</w:p>
        </w:tc>
        <w:tc>
          <w:tcPr>
            <w:tcW w:w="1516" w:type="dxa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18 al 23 de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mayo</w:t>
            </w:r>
          </w:p>
        </w:tc>
        <w:tc>
          <w:tcPr>
            <w:tcW w:w="2177" w:type="dxa"/>
          </w:tcPr>
          <w:p w:rsidR="00C46815" w:rsidRPr="00603526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del Computador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 xml:space="preserve">1.3.1 Dispositivos de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Entrada.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</w:t>
            </w:r>
          </w:p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C46815" w:rsidRPr="00866047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4905A6">
        <w:trPr>
          <w:trHeight w:val="288"/>
        </w:trPr>
        <w:tc>
          <w:tcPr>
            <w:tcW w:w="810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4</w:t>
            </w:r>
          </w:p>
        </w:tc>
        <w:tc>
          <w:tcPr>
            <w:tcW w:w="1516" w:type="dxa"/>
            <w:vMerge w:val="restart"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C46815" w:rsidRPr="00603526" w:rsidRDefault="00C46815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C46815" w:rsidRPr="00866047" w:rsidRDefault="00C46815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46815" w:rsidRPr="004A1D54" w:rsidTr="00C46815">
        <w:trPr>
          <w:trHeight w:val="288"/>
        </w:trPr>
        <w:tc>
          <w:tcPr>
            <w:tcW w:w="810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516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C46815" w:rsidRDefault="00C46815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C46815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C46815" w:rsidRPr="00866047" w:rsidRDefault="00C46815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C46815" w:rsidRPr="00866047" w:rsidRDefault="00C46815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BD2BF2" w:rsidRPr="004162AB" w:rsidRDefault="00BD2BF2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1711A0" w:rsidRPr="00603526" w:rsidRDefault="00BD2BF2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1711A0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4905A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4905A6" w:rsidRPr="00603526" w:rsidRDefault="004905A6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1711A0" w:rsidRPr="00866047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866047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603526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1711A0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4905A6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4905A6" w:rsidRPr="00BD2BF2" w:rsidRDefault="004905A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4905A6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</w:p>
        </w:tc>
        <w:tc>
          <w:tcPr>
            <w:tcW w:w="1516" w:type="dxa"/>
          </w:tcPr>
          <w:p w:rsidR="001711A0" w:rsidRPr="00866047" w:rsidRDefault="00C21C4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1711A0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735BB6" w:rsidRPr="00A24B9C" w:rsidRDefault="00735BB6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735BB6" w:rsidRPr="00BD2BF2" w:rsidRDefault="00735BB6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735BB6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66047" w:rsidRPr="004A1D54" w:rsidTr="00A24B9C">
        <w:tc>
          <w:tcPr>
            <w:tcW w:w="810" w:type="dxa"/>
          </w:tcPr>
          <w:p w:rsidR="001711A0" w:rsidRPr="00866047" w:rsidRDefault="00C21C45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</w:tc>
        <w:tc>
          <w:tcPr>
            <w:tcW w:w="1516" w:type="dxa"/>
          </w:tcPr>
          <w:p w:rsidR="001711A0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al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</w:t>
            </w:r>
            <w:r w:rsidR="00C21C45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de junio</w:t>
            </w:r>
          </w:p>
        </w:tc>
        <w:tc>
          <w:tcPr>
            <w:tcW w:w="2177" w:type="dxa"/>
          </w:tcPr>
          <w:p w:rsidR="001711A0" w:rsidRPr="00BD2BF2" w:rsidRDefault="00BD2BF2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1711A0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A24B9C" w:rsidRPr="00BD2BF2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1711A0" w:rsidRPr="00BD2BF2" w:rsidRDefault="00A24B9C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D2BF2" w:rsidRPr="004162AB" w:rsidTr="00C46815">
        <w:tc>
          <w:tcPr>
            <w:tcW w:w="810" w:type="dxa"/>
            <w:shd w:val="clear" w:color="auto" w:fill="C6D9F1" w:themeFill="text2" w:themeFillTint="33"/>
          </w:tcPr>
          <w:p w:rsidR="00BD2BF2" w:rsidRDefault="00BD2BF2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D2BF2" w:rsidRPr="004162AB" w:rsidRDefault="00BD2BF2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092409" w:rsidRPr="004A1D54" w:rsidTr="00444509">
        <w:tc>
          <w:tcPr>
            <w:tcW w:w="810" w:type="dxa"/>
          </w:tcPr>
          <w:p w:rsidR="00092409" w:rsidRPr="00866047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9</w:t>
            </w:r>
          </w:p>
        </w:tc>
        <w:tc>
          <w:tcPr>
            <w:tcW w:w="1516" w:type="dxa"/>
          </w:tcPr>
          <w:p w:rsidR="00092409" w:rsidRPr="00866047" w:rsidRDefault="00092409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29 de junio al 4 </w:t>
            </w: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de julio</w:t>
            </w:r>
          </w:p>
        </w:tc>
        <w:tc>
          <w:tcPr>
            <w:tcW w:w="6996" w:type="dxa"/>
            <w:gridSpan w:val="5"/>
          </w:tcPr>
          <w:p w:rsidR="00092409" w:rsidRPr="00BD2BF2" w:rsidRDefault="0009240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EXAMEN DEL HEMISEMESTRE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10</w:t>
            </w:r>
          </w:p>
        </w:tc>
        <w:tc>
          <w:tcPr>
            <w:tcW w:w="1516" w:type="dxa"/>
          </w:tcPr>
          <w:p w:rsidR="00E62664" w:rsidRPr="00866047" w:rsidRDefault="00E62664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E62664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E62664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 Word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3.1.2 Excel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Visio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Project</w:t>
            </w:r>
          </w:p>
          <w:p w:rsidR="00A24B9C" w:rsidRDefault="00A24B9C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Access</w:t>
            </w:r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</w:t>
            </w:r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3000F3" w:rsidRDefault="003000F3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3.1.10 Base</w:t>
            </w:r>
          </w:p>
          <w:p w:rsidR="003000F3" w:rsidRPr="00BD2BF2" w:rsidRDefault="003000F3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A24B9C" w:rsidRPr="00B57130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E62664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3000F3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3000F3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</w:t>
            </w:r>
          </w:p>
        </w:tc>
        <w:tc>
          <w:tcPr>
            <w:tcW w:w="1516" w:type="dxa"/>
          </w:tcPr>
          <w:p w:rsidR="00E62664" w:rsidRPr="00866047" w:rsidRDefault="00E54C21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E62664" w:rsidRPr="00BD2BF2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3000F3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E62664" w:rsidRPr="00BD2BF2" w:rsidRDefault="003000F3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B57130" w:rsidRPr="004162AB" w:rsidTr="00C46815">
        <w:tc>
          <w:tcPr>
            <w:tcW w:w="810" w:type="dxa"/>
            <w:shd w:val="clear" w:color="auto" w:fill="C6D9F1" w:themeFill="text2" w:themeFillTint="33"/>
          </w:tcPr>
          <w:p w:rsidR="00B57130" w:rsidRDefault="00B57130" w:rsidP="00C468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</w:p>
        </w:tc>
        <w:tc>
          <w:tcPr>
            <w:tcW w:w="8512" w:type="dxa"/>
            <w:gridSpan w:val="6"/>
            <w:shd w:val="clear" w:color="auto" w:fill="C6D9F1" w:themeFill="text2" w:themeFillTint="33"/>
          </w:tcPr>
          <w:p w:rsidR="00B57130" w:rsidRPr="004162AB" w:rsidRDefault="00B57130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E62664" w:rsidRPr="004A1D54" w:rsidTr="00161EA1">
        <w:tc>
          <w:tcPr>
            <w:tcW w:w="810" w:type="dxa"/>
          </w:tcPr>
          <w:p w:rsidR="00E62664" w:rsidRPr="00866047" w:rsidRDefault="00E62664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</w:t>
            </w:r>
          </w:p>
        </w:tc>
        <w:tc>
          <w:tcPr>
            <w:tcW w:w="1516" w:type="dxa"/>
          </w:tcPr>
          <w:p w:rsidR="00E62664" w:rsidRPr="00866047" w:rsidRDefault="00E54C2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 w:rsidR="008822A2"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julio al 01 de agosto</w:t>
            </w:r>
          </w:p>
        </w:tc>
        <w:tc>
          <w:tcPr>
            <w:tcW w:w="2177" w:type="dxa"/>
          </w:tcPr>
          <w:p w:rsidR="00E62664" w:rsidRPr="00B9588B" w:rsidRDefault="00B57130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4.1- </w:t>
            </w:r>
            <w:r w:rsidR="00B9588B"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Correo Electrónico</w:t>
            </w:r>
          </w:p>
        </w:tc>
        <w:tc>
          <w:tcPr>
            <w:tcW w:w="2409" w:type="dxa"/>
          </w:tcPr>
          <w:p w:rsidR="00E62664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E62664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8822A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4.2.1 Google Drive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Dropbox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Github</w:t>
            </w:r>
            <w:proofErr w:type="spellEnd"/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 4sync</w:t>
            </w:r>
          </w:p>
          <w:p w:rsidR="00B4192E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Keep</w:t>
            </w:r>
            <w:proofErr w:type="spellEnd"/>
          </w:p>
          <w:p w:rsidR="00B4192E" w:rsidRPr="00BD2BF2" w:rsidRDefault="00B4192E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B4192E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 Redes Sociales</w:t>
            </w:r>
          </w:p>
        </w:tc>
        <w:tc>
          <w:tcPr>
            <w:tcW w:w="2409" w:type="dxa"/>
          </w:tcPr>
          <w:p w:rsidR="008822A2" w:rsidRDefault="00B4192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4.3.1 </w:t>
            </w:r>
            <w:proofErr w:type="spellStart"/>
            <w:r w:rsid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Twitter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4.3.2 Facebook</w:t>
            </w:r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Pinterest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76F1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16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8822A2" w:rsidRPr="00B9588B" w:rsidRDefault="00B9588B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4.4 Funcionamiento de las bibliotecas virtuales y biblioteca digital universitaria</w:t>
            </w:r>
          </w:p>
        </w:tc>
        <w:tc>
          <w:tcPr>
            <w:tcW w:w="2409" w:type="dxa"/>
          </w:tcPr>
          <w:p w:rsidR="008822A2" w:rsidRPr="00BD2BF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8822A2" w:rsidRPr="004A1D54" w:rsidTr="00161EA1">
        <w:tc>
          <w:tcPr>
            <w:tcW w:w="810" w:type="dxa"/>
          </w:tcPr>
          <w:p w:rsidR="008822A2" w:rsidRPr="00866047" w:rsidRDefault="004C14C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</w:t>
            </w:r>
          </w:p>
        </w:tc>
        <w:tc>
          <w:tcPr>
            <w:tcW w:w="1516" w:type="dxa"/>
          </w:tcPr>
          <w:p w:rsidR="008822A2" w:rsidRPr="00866047" w:rsidRDefault="004C14C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8822A2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4.5.- Funcionamiento del aula virtual </w:t>
            </w: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universitaria</w:t>
            </w:r>
          </w:p>
          <w:p w:rsid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4.6.- Herramientas </w:t>
            </w:r>
          </w:p>
          <w:p w:rsidR="00B9588B" w:rsidRPr="00B9588B" w:rsidRDefault="00B9588B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E-LEARNING. </w:t>
            </w:r>
          </w:p>
        </w:tc>
        <w:tc>
          <w:tcPr>
            <w:tcW w:w="2409" w:type="dxa"/>
          </w:tcPr>
          <w:p w:rsidR="008822A2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 xml:space="preserve">4.5.1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Skype</w:t>
            </w:r>
            <w:proofErr w:type="spellEnd"/>
          </w:p>
          <w:p w:rsidR="00376F1A" w:rsidRDefault="00376F1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Youtube</w:t>
            </w:r>
            <w:proofErr w:type="spellEnd"/>
          </w:p>
          <w:p w:rsidR="00376F1A" w:rsidRPr="00BD2BF2" w:rsidRDefault="00376F1A" w:rsidP="00376F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 xml:space="preserve">4.5.3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Laboratorio</w:t>
            </w:r>
          </w:p>
        </w:tc>
        <w:tc>
          <w:tcPr>
            <w:tcW w:w="1134" w:type="dxa"/>
            <w:gridSpan w:val="2"/>
            <w:vAlign w:val="center"/>
          </w:tcPr>
          <w:p w:rsidR="008822A2" w:rsidRPr="00BD2BF2" w:rsidRDefault="003E7E79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CC5BEE" w:rsidRPr="004A1D54" w:rsidTr="00F70461">
        <w:tc>
          <w:tcPr>
            <w:tcW w:w="810" w:type="dxa"/>
          </w:tcPr>
          <w:p w:rsidR="00CC5BEE" w:rsidRPr="00866047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18</w:t>
            </w:r>
          </w:p>
        </w:tc>
        <w:tc>
          <w:tcPr>
            <w:tcW w:w="1516" w:type="dxa"/>
          </w:tcPr>
          <w:p w:rsidR="00CC5BEE" w:rsidRPr="00866047" w:rsidRDefault="00CC5BEE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CC5BEE" w:rsidRPr="00BD2BF2" w:rsidRDefault="00CC5BEE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161EA1" w:rsidRPr="004A1D54" w:rsidTr="00134AB9">
        <w:tc>
          <w:tcPr>
            <w:tcW w:w="810" w:type="dxa"/>
          </w:tcPr>
          <w:p w:rsidR="00161EA1" w:rsidRPr="00866047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19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161EA1" w:rsidRPr="004A1D54" w:rsidTr="004E0EF7">
        <w:tc>
          <w:tcPr>
            <w:tcW w:w="810" w:type="dxa"/>
          </w:tcPr>
          <w:p w:rsidR="00161EA1" w:rsidRPr="00866047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</w:tc>
        <w:tc>
          <w:tcPr>
            <w:tcW w:w="1516" w:type="dxa"/>
          </w:tcPr>
          <w:p w:rsidR="00161EA1" w:rsidRPr="00866047" w:rsidRDefault="00161EA1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161EA1" w:rsidRPr="00BD2BF2" w:rsidRDefault="00161EA1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lastRenderedPageBreak/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A94384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B2E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52378" w:rsidRDefault="00B52378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D65BA" w:rsidRDefault="00DD65BA" w:rsidP="00DD65BA">
      <w:pPr>
        <w:spacing w:before="120"/>
        <w:rPr>
          <w:rFonts w:cstheme="minorHAnsi"/>
        </w:rPr>
      </w:pPr>
      <w:r w:rsidRPr="00022272">
        <w:rPr>
          <w:rFonts w:cstheme="minorHAnsi"/>
        </w:rPr>
        <w:t>Guevara, A.; Abad, M. “Informática aplicada a la gestión de la empresa”.1ra. Edición. Editorial Pirámide. Madrid 2004.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22EFF" w:rsidRDefault="00D22EFF" w:rsidP="00CC6764">
      <w:pPr>
        <w:rPr>
          <w:rFonts w:ascii="Times New Roman" w:hAnsi="Times New Roman" w:cs="Times New Roman"/>
          <w:b/>
          <w:sz w:val="24"/>
          <w:szCs w:val="24"/>
        </w:rPr>
      </w:pP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FA74CA" w:rsidRDefault="009D15BD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FA74CA" w:rsidRPr="002922B8">
          <w:rPr>
            <w:rStyle w:val="Hipervnculo"/>
            <w:rFonts w:ascii="Times New Roman" w:hAnsi="Times New Roman" w:cs="Times New Roman"/>
            <w:sz w:val="24"/>
            <w:szCs w:val="24"/>
          </w:rPr>
          <w:t>http://www.educagratis.org/moodle/course/</w:t>
        </w:r>
      </w:hyperlink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74CA" w:rsidRDefault="00FA74CA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087BB9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Loayza, MBA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r w:rsidR="00C45439">
        <w:rPr>
          <w:rFonts w:ascii="Times New Roman" w:hAnsi="Times New Roman" w:cs="Times New Roman"/>
          <w:sz w:val="24"/>
          <w:szCs w:val="24"/>
        </w:rPr>
        <w:t>17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C45439">
        <w:rPr>
          <w:rFonts w:ascii="Times New Roman" w:hAnsi="Times New Roman" w:cs="Times New Roman"/>
          <w:sz w:val="24"/>
          <w:szCs w:val="24"/>
        </w:rPr>
        <w:t>05</w:t>
      </w:r>
      <w:r w:rsidRPr="00087BB9">
        <w:rPr>
          <w:rFonts w:ascii="Times New Roman" w:hAnsi="Times New Roman" w:cs="Times New Roman"/>
          <w:sz w:val="24"/>
          <w:szCs w:val="24"/>
        </w:rPr>
        <w:t xml:space="preserve">, </w:t>
      </w:r>
      <w:r w:rsidR="00157DA1">
        <w:rPr>
          <w:rFonts w:ascii="Times New Roman" w:hAnsi="Times New Roman" w:cs="Times New Roman"/>
          <w:sz w:val="24"/>
          <w:szCs w:val="24"/>
        </w:rPr>
        <w:t>2015</w:t>
      </w:r>
      <w:r w:rsidRPr="00087BB9">
        <w:rPr>
          <w:rFonts w:ascii="Times New Roman" w:hAnsi="Times New Roman" w:cs="Times New Roman"/>
          <w:sz w:val="24"/>
          <w:szCs w:val="24"/>
        </w:rPr>
        <w:t>)</w:t>
      </w:r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0"/>
      <w:footerReference w:type="default" r:id="rId11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5BD" w:rsidRDefault="009D15BD" w:rsidP="00715660">
      <w:pPr>
        <w:spacing w:after="0" w:line="240" w:lineRule="auto"/>
      </w:pPr>
      <w:r>
        <w:separator/>
      </w:r>
    </w:p>
  </w:endnote>
  <w:endnote w:type="continuationSeparator" w:id="0">
    <w:p w:rsidR="009D15BD" w:rsidRDefault="009D15BD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15" w:rsidRPr="00316B04" w:rsidRDefault="00C46815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9B621B" w:rsidRPr="009B621B">
      <w:rPr>
        <w:rFonts w:asciiTheme="majorHAnsi" w:eastAsiaTheme="majorEastAsia" w:hAnsiTheme="majorHAnsi" w:cstheme="majorBidi"/>
        <w:i/>
        <w:noProof/>
        <w:lang w:val="es-ES"/>
      </w:rPr>
      <w:t>2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C46815" w:rsidRDefault="00C468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5BD" w:rsidRDefault="009D15BD" w:rsidP="00715660">
      <w:pPr>
        <w:spacing w:after="0" w:line="240" w:lineRule="auto"/>
      </w:pPr>
      <w:r>
        <w:separator/>
      </w:r>
    </w:p>
  </w:footnote>
  <w:footnote w:type="continuationSeparator" w:id="0">
    <w:p w:rsidR="009D15BD" w:rsidRDefault="009D15BD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815" w:rsidRPr="008F4BF0" w:rsidRDefault="00C46815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C46815" w:rsidRPr="008F4BF0" w:rsidRDefault="00C46815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C46815" w:rsidRDefault="00C4681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C46815" w:rsidRDefault="00C4681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C46815" w:rsidRPr="008F4BF0" w:rsidRDefault="00C46815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C46815" w:rsidRDefault="00C468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87BB9"/>
    <w:rsid w:val="00092409"/>
    <w:rsid w:val="000D56DA"/>
    <w:rsid w:val="000F6D4C"/>
    <w:rsid w:val="001013B3"/>
    <w:rsid w:val="00107811"/>
    <w:rsid w:val="00146156"/>
    <w:rsid w:val="00157DA1"/>
    <w:rsid w:val="00161EA1"/>
    <w:rsid w:val="001711A0"/>
    <w:rsid w:val="001A1AFB"/>
    <w:rsid w:val="001B5530"/>
    <w:rsid w:val="001C7DF7"/>
    <w:rsid w:val="001E6588"/>
    <w:rsid w:val="0020466B"/>
    <w:rsid w:val="0027077D"/>
    <w:rsid w:val="002C649B"/>
    <w:rsid w:val="002C663E"/>
    <w:rsid w:val="003000F3"/>
    <w:rsid w:val="00316B04"/>
    <w:rsid w:val="00321A84"/>
    <w:rsid w:val="0035430A"/>
    <w:rsid w:val="00376F1A"/>
    <w:rsid w:val="003B50F0"/>
    <w:rsid w:val="003B66DD"/>
    <w:rsid w:val="003E7E79"/>
    <w:rsid w:val="004162AB"/>
    <w:rsid w:val="00421541"/>
    <w:rsid w:val="00425636"/>
    <w:rsid w:val="0043150D"/>
    <w:rsid w:val="00461F73"/>
    <w:rsid w:val="00470EBB"/>
    <w:rsid w:val="004905A6"/>
    <w:rsid w:val="00492E52"/>
    <w:rsid w:val="004A1D54"/>
    <w:rsid w:val="004B2EF9"/>
    <w:rsid w:val="004C14C1"/>
    <w:rsid w:val="004D7143"/>
    <w:rsid w:val="00542A2D"/>
    <w:rsid w:val="005570CC"/>
    <w:rsid w:val="005678B7"/>
    <w:rsid w:val="005B2FE8"/>
    <w:rsid w:val="005C0966"/>
    <w:rsid w:val="00603526"/>
    <w:rsid w:val="006040E0"/>
    <w:rsid w:val="00616CF1"/>
    <w:rsid w:val="00620C37"/>
    <w:rsid w:val="00674F0E"/>
    <w:rsid w:val="006B1124"/>
    <w:rsid w:val="006D1026"/>
    <w:rsid w:val="006D7309"/>
    <w:rsid w:val="006F1AB6"/>
    <w:rsid w:val="00714675"/>
    <w:rsid w:val="00715660"/>
    <w:rsid w:val="00735BB6"/>
    <w:rsid w:val="00753383"/>
    <w:rsid w:val="00792303"/>
    <w:rsid w:val="007A72FC"/>
    <w:rsid w:val="00833D74"/>
    <w:rsid w:val="00866047"/>
    <w:rsid w:val="00872CD3"/>
    <w:rsid w:val="008766BE"/>
    <w:rsid w:val="008822A2"/>
    <w:rsid w:val="008A140B"/>
    <w:rsid w:val="008E52B9"/>
    <w:rsid w:val="008E7752"/>
    <w:rsid w:val="00920D9B"/>
    <w:rsid w:val="00931C83"/>
    <w:rsid w:val="00993C03"/>
    <w:rsid w:val="009A198A"/>
    <w:rsid w:val="009A2F70"/>
    <w:rsid w:val="009B2477"/>
    <w:rsid w:val="009B621B"/>
    <w:rsid w:val="009D15BD"/>
    <w:rsid w:val="009E236A"/>
    <w:rsid w:val="009E31E3"/>
    <w:rsid w:val="00A10F59"/>
    <w:rsid w:val="00A24B9C"/>
    <w:rsid w:val="00A36F40"/>
    <w:rsid w:val="00A75DF1"/>
    <w:rsid w:val="00A94384"/>
    <w:rsid w:val="00AE1A39"/>
    <w:rsid w:val="00B131A2"/>
    <w:rsid w:val="00B369E8"/>
    <w:rsid w:val="00B4192E"/>
    <w:rsid w:val="00B52378"/>
    <w:rsid w:val="00B57130"/>
    <w:rsid w:val="00B71ED7"/>
    <w:rsid w:val="00B83866"/>
    <w:rsid w:val="00B9588B"/>
    <w:rsid w:val="00BD2BF2"/>
    <w:rsid w:val="00BD4B69"/>
    <w:rsid w:val="00BD5E4A"/>
    <w:rsid w:val="00C0085B"/>
    <w:rsid w:val="00C21C45"/>
    <w:rsid w:val="00C25931"/>
    <w:rsid w:val="00C45439"/>
    <w:rsid w:val="00C46815"/>
    <w:rsid w:val="00C62AF4"/>
    <w:rsid w:val="00CA33AD"/>
    <w:rsid w:val="00CB1B33"/>
    <w:rsid w:val="00CC5BEE"/>
    <w:rsid w:val="00CC6764"/>
    <w:rsid w:val="00CE0BBE"/>
    <w:rsid w:val="00CF0DD5"/>
    <w:rsid w:val="00CF13D2"/>
    <w:rsid w:val="00D109F1"/>
    <w:rsid w:val="00D22EFF"/>
    <w:rsid w:val="00D33A01"/>
    <w:rsid w:val="00D75969"/>
    <w:rsid w:val="00D86775"/>
    <w:rsid w:val="00DD65BA"/>
    <w:rsid w:val="00E16FC7"/>
    <w:rsid w:val="00E4318F"/>
    <w:rsid w:val="00E54C21"/>
    <w:rsid w:val="00E54EFB"/>
    <w:rsid w:val="00E55F0F"/>
    <w:rsid w:val="00E62664"/>
    <w:rsid w:val="00E83112"/>
    <w:rsid w:val="00ED7B99"/>
    <w:rsid w:val="00F0538D"/>
    <w:rsid w:val="00FA3896"/>
    <w:rsid w:val="00FA74CA"/>
    <w:rsid w:val="00FB69D1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educagratis.org/moodle/course/view.php?id=38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46DB5-4B06-4252-9A0B-0E47E48A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10</Pages>
  <Words>2158</Words>
  <Characters>11872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21</cp:revision>
  <dcterms:created xsi:type="dcterms:W3CDTF">2015-04-08T17:45:00Z</dcterms:created>
  <dcterms:modified xsi:type="dcterms:W3CDTF">2015-05-11T13:39:00Z</dcterms:modified>
</cp:coreProperties>
</file>