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A140B" w:rsidP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Computación Aplicada II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AE.5.10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782F47" w:rsidP="007B7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horas semanales, </w:t>
            </w:r>
            <w:r w:rsidR="007B7155">
              <w:rPr>
                <w:rFonts w:ascii="Arial" w:hAnsi="Arial" w:cs="Arial"/>
                <w:sz w:val="20"/>
                <w:szCs w:val="20"/>
              </w:rPr>
              <w:t>64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Computacion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Aplicada I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Ninguno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5B2FE8" w:rsidRDefault="005B2FE8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B2FE8">
        <w:rPr>
          <w:rFonts w:ascii="Times New Roman" w:hAnsi="Times New Roman" w:cs="Times New Roman"/>
          <w:sz w:val="24"/>
          <w:szCs w:val="24"/>
        </w:rPr>
        <w:t xml:space="preserve">La computación </w:t>
      </w:r>
      <w:r w:rsidR="009B621B">
        <w:rPr>
          <w:rFonts w:ascii="Times New Roman" w:hAnsi="Times New Roman" w:cs="Times New Roman"/>
          <w:sz w:val="24"/>
          <w:szCs w:val="24"/>
        </w:rPr>
        <w:t>es</w:t>
      </w:r>
      <w:r w:rsidRPr="005B2FE8">
        <w:rPr>
          <w:rFonts w:ascii="Times New Roman" w:hAnsi="Times New Roman" w:cs="Times New Roman"/>
          <w:sz w:val="24"/>
          <w:szCs w:val="24"/>
        </w:rPr>
        <w:t xml:space="preserve"> un papel fundamental como herramienta de apoyo al desarrollo de investigación en diferentes áreas del conocimiento. Hoy en día, la computación</w:t>
      </w:r>
      <w:r w:rsidR="009B621B">
        <w:rPr>
          <w:rFonts w:ascii="Times New Roman" w:hAnsi="Times New Roman" w:cs="Times New Roman"/>
          <w:sz w:val="24"/>
          <w:szCs w:val="24"/>
        </w:rPr>
        <w:t xml:space="preserve"> soporta</w:t>
      </w:r>
      <w:r w:rsidRPr="005B2FE8">
        <w:rPr>
          <w:rFonts w:ascii="Times New Roman" w:hAnsi="Times New Roman" w:cs="Times New Roman"/>
          <w:sz w:val="24"/>
          <w:szCs w:val="24"/>
        </w:rPr>
        <w:t xml:space="preserve"> el desarrollo de la investigación en prácticamente todas las ciencias</w:t>
      </w:r>
      <w:r w:rsidR="009B621B">
        <w:rPr>
          <w:rFonts w:ascii="Times New Roman" w:hAnsi="Times New Roman" w:cs="Times New Roman"/>
          <w:sz w:val="24"/>
          <w:szCs w:val="24"/>
        </w:rPr>
        <w:t xml:space="preserve"> administrativas</w:t>
      </w:r>
      <w:r w:rsidRPr="005B2FE8">
        <w:rPr>
          <w:rFonts w:ascii="Times New Roman" w:hAnsi="Times New Roman" w:cs="Times New Roman"/>
          <w:sz w:val="24"/>
          <w:szCs w:val="24"/>
        </w:rPr>
        <w:t>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Ingeniero de la carrera de Administración de Empresas debe contar como herramienta de apoyo al uso de los sistemas de información, debido a que en base a ellos, es que una empresa se maneja, desde el punto de vista contable como organizacional.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Incluso sin el manejo del sistema de información contable, es imposible formar una empresa pymes, debido a que ahora todo se lleva de manera electrónicas, facturas, guías de remisión, comprobantes de retención, etc.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Pr="005B2FE8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7B7155" w:rsidRDefault="007B7155" w:rsidP="00ED7B99">
      <w:pPr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7B7155">
        <w:rPr>
          <w:rFonts w:ascii="Times New Roman" w:eastAsia="Times New Roman" w:hAnsi="Times New Roman" w:cs="Times New Roman"/>
          <w:sz w:val="24"/>
          <w:szCs w:val="24"/>
          <w:lang w:val="es-EC"/>
        </w:rPr>
        <w:t>Proporcionar al estudiante conocimientos avanzados de MS Project 2003, MS Project 2007,  Microsoft Excel™ y SPSS™ brindándole eficaces sistemas de análisis estadístico y de gestión de datos dentro de un entorno gráfico con menús descriptivos y cuadros de diálogo simples que facilitan el trabajo.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D92F1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eficientemente aplicaciones para planificación de tareas proyectos.</w:t>
      </w:r>
    </w:p>
    <w:p w:rsidR="008766BE" w:rsidRDefault="00D92F14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hojas de cálculo para un desempeño eficiente en las gestiones administrativas.</w:t>
      </w:r>
    </w:p>
    <w:p w:rsidR="00D92F14" w:rsidRPr="00146156" w:rsidRDefault="00E10E70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Operar eficientemente aplicaciones para operar gran cantidad de datos, obteniendo información para una efectiva toma de decisiones.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E853E1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E10E70" w:rsidRPr="00E10E70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10E70">
              <w:rPr>
                <w:rFonts w:ascii="Cambria" w:hAnsi="Cambria" w:cs="Cambria"/>
                <w:sz w:val="20"/>
                <w:szCs w:val="20"/>
                <w:lang w:val="es-ES"/>
              </w:rPr>
              <w:t>Habilidad para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 interpretar estados</w:t>
            </w:r>
          </w:p>
          <w:p w:rsidR="00C21C45" w:rsidRPr="0067106D" w:rsidRDefault="00E10E70" w:rsidP="00E853E1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financieros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E10E70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</w:t>
            </w:r>
            <w:r w:rsidR="00C21C45"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lta</w:t>
            </w:r>
          </w:p>
        </w:tc>
        <w:tc>
          <w:tcPr>
            <w:tcW w:w="4394" w:type="dxa"/>
          </w:tcPr>
          <w:p w:rsidR="00C21C45" w:rsidRPr="00EE37F9" w:rsidRDefault="00173D4E" w:rsidP="003E22E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Aplica conocimie</w:t>
            </w:r>
            <w:r w:rsidR="00EE37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nto técnico para la elaboración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de alternativas </w:t>
            </w:r>
            <w:r w:rsidR="00E34C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de soluciones administrativas y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toma de decisione</w:t>
            </w:r>
            <w:r w:rsidR="0041055A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s empresariales mediante el uso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de SPSS.</w:t>
            </w:r>
          </w:p>
        </w:tc>
      </w:tr>
      <w:tr w:rsidR="00C21C45" w:rsidRPr="00F559E5" w:rsidTr="00C46815">
        <w:tc>
          <w:tcPr>
            <w:tcW w:w="3227" w:type="dxa"/>
          </w:tcPr>
          <w:p w:rsidR="00E10E70" w:rsidRPr="00E10E70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10E70">
              <w:rPr>
                <w:rFonts w:ascii="Cambria" w:hAnsi="Cambria" w:cs="Cambria"/>
                <w:sz w:val="20"/>
                <w:szCs w:val="20"/>
                <w:lang w:val="es-ES"/>
              </w:rPr>
              <w:t>Pericia para identificar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 la mejor alternativa de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 inversión en proyectos</w:t>
            </w:r>
          </w:p>
          <w:p w:rsidR="00C21C45" w:rsidRPr="0067106D" w:rsidRDefault="00E10E70" w:rsidP="00E853E1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de desarrollo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</w:t>
            </w: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lta</w:t>
            </w:r>
          </w:p>
        </w:tc>
        <w:tc>
          <w:tcPr>
            <w:tcW w:w="4394" w:type="dxa"/>
          </w:tcPr>
          <w:p w:rsidR="00173D4E" w:rsidRPr="0041055A" w:rsidRDefault="0041055A" w:rsidP="003E22E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41055A">
              <w:rPr>
                <w:rFonts w:ascii="Cambria" w:hAnsi="Cambria" w:cs="Cambria"/>
                <w:sz w:val="20"/>
                <w:szCs w:val="20"/>
                <w:lang w:val="es-ES"/>
              </w:rPr>
              <w:t>D</w:t>
            </w:r>
            <w:r w:rsidR="00173D4E" w:rsidRPr="0041055A">
              <w:rPr>
                <w:rFonts w:ascii="Cambria" w:hAnsi="Cambria" w:cs="Cambria"/>
                <w:sz w:val="20"/>
                <w:szCs w:val="20"/>
                <w:lang w:val="es-ES"/>
              </w:rPr>
              <w:t>esarrolla y aplica esquemas de análisis de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173D4E" w:rsidRPr="0041055A">
              <w:rPr>
                <w:rFonts w:ascii="Cambria" w:hAnsi="Cambria" w:cs="Cambria"/>
                <w:sz w:val="20"/>
                <w:szCs w:val="20"/>
                <w:lang w:val="es-ES"/>
              </w:rPr>
              <w:t>procesos, actividades secuenciales y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="00173D4E" w:rsidRPr="0041055A">
              <w:rPr>
                <w:rFonts w:ascii="Cambria" w:hAnsi="Cambria" w:cs="Cambria"/>
                <w:sz w:val="20"/>
                <w:szCs w:val="20"/>
                <w:lang w:val="es-ES"/>
              </w:rPr>
              <w:t>administrativos y de gestión.</w:t>
            </w:r>
          </w:p>
          <w:p w:rsidR="00C21C45" w:rsidRPr="00EE37F9" w:rsidRDefault="00173D4E" w:rsidP="003E22E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41055A">
              <w:rPr>
                <w:rFonts w:ascii="Cambria" w:hAnsi="Cambria" w:cs="Cambria"/>
                <w:sz w:val="20"/>
                <w:szCs w:val="20"/>
                <w:lang w:val="es-ES"/>
              </w:rPr>
              <w:t>Sistemas de evaluación al talento humano y su</w:t>
            </w:r>
            <w:r w:rsidR="00E34C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comportamiento en la </w:t>
            </w:r>
            <w:r w:rsidR="00EE37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>organización (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CRM).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E853E1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E10E70" w:rsidRPr="00E10E70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10E70">
              <w:rPr>
                <w:rFonts w:ascii="Cambria" w:hAnsi="Cambria" w:cs="Cambria"/>
                <w:sz w:val="20"/>
                <w:szCs w:val="20"/>
                <w:lang w:val="es-ES"/>
              </w:rPr>
              <w:t>Destreza para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sintetizar las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alternativas de</w:t>
            </w:r>
          </w:p>
          <w:p w:rsidR="00E10E70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financiamiento para</w:t>
            </w:r>
          </w:p>
          <w:p w:rsidR="00C21C45" w:rsidRPr="0067106D" w:rsidRDefault="00E10E70" w:rsidP="00E853E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proyectos de desarrollo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</w:t>
            </w: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lta</w:t>
            </w:r>
          </w:p>
        </w:tc>
        <w:tc>
          <w:tcPr>
            <w:tcW w:w="4394" w:type="dxa"/>
          </w:tcPr>
          <w:p w:rsidR="00C21C45" w:rsidRPr="00EE37F9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eastAsiaTheme="minorHAnsi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Administra activi</w:t>
            </w:r>
            <w:r w:rsidR="00E34C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dades técnico – administrativas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para elaborar </w:t>
            </w:r>
            <w:r w:rsidR="00E34C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y administrar organizaciones en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general.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Trabajo</w:t>
            </w:r>
          </w:p>
          <w:p w:rsidR="00C21C45" w:rsidRPr="0067106D" w:rsidRDefault="00E853E1" w:rsidP="00E853E1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multidisciplinario</w:t>
            </w:r>
          </w:p>
          <w:p w:rsidR="00C21C45" w:rsidRPr="0067106D" w:rsidRDefault="00C21C45" w:rsidP="00E853E1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</w:t>
            </w: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lta</w:t>
            </w:r>
          </w:p>
        </w:tc>
        <w:tc>
          <w:tcPr>
            <w:tcW w:w="4394" w:type="dxa"/>
          </w:tcPr>
          <w:p w:rsidR="00C21C45" w:rsidRPr="00EE37F9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Colabora en el an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álisis, organización, ejecución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y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control de procesos administrativos, la gestión del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talento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humano e implementación de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productos o servicios competitivos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Resolver problemas</w:t>
            </w:r>
          </w:p>
          <w:p w:rsidR="00C21C45" w:rsidRPr="00E10E70" w:rsidRDefault="00E853E1" w:rsidP="00E853E1">
            <w:pPr>
              <w:spacing w:after="0" w:line="220" w:lineRule="exact"/>
              <w:jc w:val="both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Organizacionales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EE37F9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eastAsiaTheme="minorHAnsi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Utiliza si</w:t>
            </w:r>
            <w:r w:rsidR="00E34C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nergias para resolver problemas </w:t>
            </w:r>
            <w:proofErr w:type="spellStart"/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contingenciales</w:t>
            </w:r>
            <w:proofErr w:type="spellEnd"/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estructurales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en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Comunicación entre</w:t>
            </w:r>
          </w:p>
          <w:p w:rsidR="00C21C45" w:rsidRPr="00E10E70" w:rsidRDefault="00E853E1" w:rsidP="00E10E70">
            <w:pPr>
              <w:spacing w:after="0" w:line="220" w:lineRule="exact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  S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istemas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</w:t>
            </w:r>
            <w:r w:rsidR="00C21C45"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lta</w:t>
            </w:r>
          </w:p>
        </w:tc>
        <w:tc>
          <w:tcPr>
            <w:tcW w:w="4394" w:type="dxa"/>
          </w:tcPr>
          <w:p w:rsidR="00C21C45" w:rsidRPr="00EE37F9" w:rsidRDefault="00D02BA6" w:rsidP="00EE37F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Promueve el uso de la información científica utilizando las TIC (técnicas de información y comunicación).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Impacto en las finanzas</w:t>
            </w:r>
          </w:p>
          <w:p w:rsidR="00C21C45" w:rsidRPr="0018534F" w:rsidRDefault="00AA7714" w:rsidP="00E10E70">
            <w:pPr>
              <w:pStyle w:val="Prrafodelista"/>
              <w:spacing w:after="0" w:line="220" w:lineRule="exact"/>
              <w:ind w:left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de la empresa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EE37F9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Aplica los conocimientos metodológicos de la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investigación para contribuir a la solución de los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problemas té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cnicos -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administrativos de las</w:t>
            </w:r>
            <w:r w:rsid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organizaciones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Aprendizaje de por</w:t>
            </w:r>
          </w:p>
          <w:p w:rsidR="00C21C45" w:rsidRPr="0018534F" w:rsidRDefault="00AA7714" w:rsidP="00E10E70">
            <w:pPr>
              <w:pStyle w:val="Prrafodelista"/>
              <w:spacing w:after="0" w:line="220" w:lineRule="exact"/>
              <w:ind w:left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</w:t>
            </w:r>
            <w:r w:rsidR="00E853E1">
              <w:rPr>
                <w:rFonts w:ascii="Cambria" w:hAnsi="Cambria" w:cs="Cambria"/>
                <w:sz w:val="20"/>
                <w:szCs w:val="20"/>
                <w:lang w:val="es-ES"/>
              </w:rPr>
              <w:t>V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EE37F9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eastAsiaTheme="minorHAnsi" w:hAnsi="Cambria" w:cs="Cambria"/>
                <w:sz w:val="20"/>
                <w:szCs w:val="20"/>
                <w:lang w:val="es-ES"/>
              </w:rPr>
            </w:pP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Aplica el proceso o</w:t>
            </w:r>
            <w:r w:rsidR="00E34CF9" w:rsidRPr="00EE37F9">
              <w:rPr>
                <w:rFonts w:ascii="Cambria" w:hAnsi="Cambria" w:cs="Cambria"/>
                <w:sz w:val="20"/>
                <w:szCs w:val="20"/>
                <w:lang w:val="es-ES"/>
              </w:rPr>
              <w:t xml:space="preserve">rganizacional administrativo en </w:t>
            </w:r>
            <w:r w:rsidRPr="00EE37F9">
              <w:rPr>
                <w:rFonts w:ascii="Cambria" w:hAnsi="Cambria" w:cs="Cambria"/>
                <w:sz w:val="20"/>
                <w:szCs w:val="20"/>
                <w:lang w:val="es-ES"/>
              </w:rPr>
              <w:t>todas las actividades de su competencia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E10E70" w:rsidRPr="00E853E1" w:rsidRDefault="00E10E70" w:rsidP="00E853E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Asuntos</w:t>
            </w:r>
          </w:p>
          <w:p w:rsidR="00C21C45" w:rsidRPr="0018534F" w:rsidRDefault="00AA7714" w:rsidP="00E10E70">
            <w:pPr>
              <w:pStyle w:val="Prrafodelista"/>
              <w:spacing w:after="0" w:line="220" w:lineRule="exact"/>
              <w:ind w:left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3E22E3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Desarrolla actividades de vinculación con el</w:t>
            </w:r>
            <w:r w:rsidR="003E22E3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entorno, aplicando informaciones técnicas y</w:t>
            </w:r>
            <w:r w:rsidR="003E22E3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científicas contemporánea</w:t>
            </w:r>
          </w:p>
        </w:tc>
      </w:tr>
      <w:tr w:rsidR="00E10E70" w:rsidRPr="00F559E5" w:rsidTr="00C46815">
        <w:tc>
          <w:tcPr>
            <w:tcW w:w="3227" w:type="dxa"/>
            <w:vAlign w:val="center"/>
          </w:tcPr>
          <w:p w:rsidR="00E10E70" w:rsidRPr="00E853E1" w:rsidRDefault="00E10E70" w:rsidP="00AA7714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 w:rsidRPr="00E853E1">
              <w:rPr>
                <w:rFonts w:ascii="Cambria" w:hAnsi="Cambria" w:cs="Cambria"/>
                <w:sz w:val="20"/>
                <w:szCs w:val="20"/>
                <w:lang w:val="es-ES"/>
              </w:rPr>
              <w:t>Utilización de técnicas</w:t>
            </w:r>
          </w:p>
          <w:p w:rsidR="00E10E70" w:rsidRDefault="00AA7714" w:rsidP="00AA771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e instrumentos</w:t>
            </w:r>
          </w:p>
          <w:p w:rsidR="00E10E70" w:rsidRPr="0018534F" w:rsidRDefault="00AA7714" w:rsidP="00AA7714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      </w:t>
            </w:r>
            <w:r w:rsidR="00E10E70">
              <w:rPr>
                <w:rFonts w:ascii="Cambria" w:hAnsi="Cambria" w:cs="Cambria"/>
                <w:sz w:val="20"/>
                <w:szCs w:val="20"/>
                <w:lang w:val="es-ES"/>
              </w:rPr>
              <w:t>modernos</w:t>
            </w:r>
          </w:p>
        </w:tc>
        <w:tc>
          <w:tcPr>
            <w:tcW w:w="1701" w:type="dxa"/>
          </w:tcPr>
          <w:p w:rsidR="00E10E70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E10E70" w:rsidRPr="003E22E3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eastAsiaTheme="minorHAnsi" w:hAnsi="Cambria" w:cs="Cambria"/>
                <w:sz w:val="20"/>
                <w:szCs w:val="20"/>
                <w:lang w:val="es-ES"/>
              </w:rPr>
            </w:pP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Utiliza herr</w:t>
            </w:r>
            <w:r w:rsidR="00E34CF9" w:rsidRPr="003E22E3">
              <w:rPr>
                <w:rFonts w:ascii="Cambria" w:hAnsi="Cambria" w:cs="Cambria"/>
                <w:sz w:val="20"/>
                <w:szCs w:val="20"/>
                <w:lang w:val="es-ES"/>
              </w:rPr>
              <w:t xml:space="preserve">amientas tecnológicas de última </w:t>
            </w: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generación para su desempeño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E10E70" w:rsidP="00AA7714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rPr>
                <w:sz w:val="20"/>
                <w:szCs w:val="20"/>
                <w:lang w:eastAsia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Capacidad de liderar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E10E70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3E22E3" w:rsidRDefault="00D02BA6" w:rsidP="003E22E3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jc w:val="left"/>
              <w:rPr>
                <w:rFonts w:ascii="Cambria" w:eastAsiaTheme="minorHAnsi" w:hAnsi="Cambria" w:cs="Cambria"/>
                <w:sz w:val="20"/>
                <w:szCs w:val="20"/>
                <w:lang w:val="es-ES"/>
              </w:rPr>
            </w:pP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Lidera</w:t>
            </w:r>
            <w:r w:rsidR="003E22E3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los procesos técnicos</w:t>
            </w:r>
            <w:r w:rsidR="00E34CF9" w:rsidRPr="003E22E3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administrativos en las </w:t>
            </w:r>
            <w:r w:rsidRPr="003E22E3">
              <w:rPr>
                <w:rFonts w:ascii="Cambria" w:hAnsi="Cambria" w:cs="Cambria"/>
                <w:sz w:val="20"/>
                <w:szCs w:val="20"/>
                <w:lang w:val="es-ES"/>
              </w:rPr>
              <w:t>organizaciones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 xml:space="preserve">Proyecto No. 1: </w:t>
      </w:r>
      <w:r w:rsidR="003E22E3">
        <w:rPr>
          <w:rFonts w:cstheme="minorHAnsi"/>
        </w:rPr>
        <w:t xml:space="preserve">Elaborar la planificación de un proyecto empresarial mediante la herramienta Microsoft Project o </w:t>
      </w:r>
      <w:proofErr w:type="spellStart"/>
      <w:r w:rsidR="003E22E3">
        <w:rPr>
          <w:rFonts w:cstheme="minorHAnsi"/>
        </w:rPr>
        <w:t>ProjectLibre</w:t>
      </w:r>
      <w:proofErr w:type="spellEnd"/>
      <w:r w:rsidR="003E22E3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3E22E3">
        <w:rPr>
          <w:rFonts w:cstheme="minorHAnsi"/>
        </w:rPr>
        <w:t>Elaborar un proyecto donde permita la gestión contable de una empresa mediante el uso de hojas de cálculo Excel.</w:t>
      </w:r>
    </w:p>
    <w:p w:rsidR="00461F73" w:rsidRDefault="003E22E3" w:rsidP="00542A2D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3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Elaborar un proyecto  </w:t>
      </w:r>
      <w:r w:rsidR="00364B5B">
        <w:rPr>
          <w:rFonts w:cstheme="minorHAnsi"/>
        </w:rPr>
        <w:t xml:space="preserve">donde se realice una investigación de mercado donde la obtención de información se realice mediante encuestas, con la finalidad que </w:t>
      </w:r>
      <w:r w:rsidR="00913324">
        <w:rPr>
          <w:rFonts w:cstheme="minorHAnsi"/>
        </w:rPr>
        <w:t xml:space="preserve">se </w:t>
      </w:r>
      <w:r w:rsidR="00364B5B">
        <w:rPr>
          <w:rFonts w:cstheme="minorHAnsi"/>
        </w:rPr>
        <w:t xml:space="preserve">tabule y se analice estadísticamente la información </w:t>
      </w:r>
      <w:r w:rsidR="00913324">
        <w:rPr>
          <w:rFonts w:cstheme="minorHAnsi"/>
        </w:rPr>
        <w:t>mediante la herramienta SPSS, tomando decisiones de factibilidad.</w:t>
      </w: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913324" w:rsidRPr="00913324" w:rsidRDefault="00B369E8" w:rsidP="00913324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0"/>
                <w:szCs w:val="20"/>
                <w:lang w:val="es-ES"/>
              </w:rPr>
            </w:pPr>
            <w:r w:rsidRPr="00913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B131A2" w:rsidRPr="00913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3324" w:rsidRPr="00913324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GESTION DE PROYECTOS EN</w:t>
            </w:r>
          </w:p>
          <w:p w:rsidR="00B131A2" w:rsidRPr="004A1D54" w:rsidRDefault="00913324" w:rsidP="0091332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913324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MICROSOFT PROJECT</w:t>
            </w:r>
          </w:p>
        </w:tc>
        <w:tc>
          <w:tcPr>
            <w:tcW w:w="3827" w:type="dxa"/>
          </w:tcPr>
          <w:p w:rsidR="006F1AB6" w:rsidRPr="00913324" w:rsidRDefault="00913324" w:rsidP="00913324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1.- Dominar la aplicación, desde su instalación y configuración hasta el manejo de las diversas características y procesos que proporciona la misma. </w:t>
            </w:r>
          </w:p>
        </w:tc>
        <w:tc>
          <w:tcPr>
            <w:tcW w:w="3544" w:type="dxa"/>
          </w:tcPr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Utilización de herramientas informáticas para la automatización cronológica de actividades.</w:t>
            </w:r>
          </w:p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 – Control del cumplimiento de</w:t>
            </w:r>
          </w:p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planificaciones mediante Microsoft</w:t>
            </w:r>
          </w:p>
          <w:p w:rsidR="00AB7D3F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Project.</w:t>
            </w: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AB7D3F" w:rsidRDefault="00AB7D3F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lastRenderedPageBreak/>
              <w:t xml:space="preserve">II. </w:t>
            </w:r>
            <w:r w:rsidRPr="00AB7D3F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MICROSOFT EXCEL I</w:t>
            </w:r>
          </w:p>
        </w:tc>
        <w:tc>
          <w:tcPr>
            <w:tcW w:w="3827" w:type="dxa"/>
          </w:tcPr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Identificar de los componentes y procesos que ofrece la herramienta Microsoft Excel.</w:t>
            </w:r>
          </w:p>
          <w:p w:rsidR="006F1AB6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2.- Caracterizar los procedimientos básicos para la obtención de productos en la aplicación.</w:t>
            </w:r>
          </w:p>
        </w:tc>
        <w:tc>
          <w:tcPr>
            <w:tcW w:w="3544" w:type="dxa"/>
          </w:tcPr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Creación y manipulación de hojas de cálculo para la gestión y automatización de procedimientos básicos empresariales.</w:t>
            </w:r>
          </w:p>
          <w:p w:rsidR="00C0085B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2.- Adaptación a sus necesidades de las plantillas de Microsoft Excel.</w:t>
            </w: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AB7D3F" w:rsidRDefault="00AB7D3F" w:rsidP="006F1AB6">
            <w:pP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t xml:space="preserve">III. </w:t>
            </w:r>
            <w:r w:rsidRPr="00AB7D3F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MICROSOFT EXCEL II</w:t>
            </w:r>
          </w:p>
        </w:tc>
        <w:tc>
          <w:tcPr>
            <w:tcW w:w="3827" w:type="dxa"/>
          </w:tcPr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Utilizar las características avanzadas que posee la aplicación.</w:t>
            </w:r>
          </w:p>
          <w:p w:rsidR="00B369E8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2.- Utilizar gestores gráficos y de bases de datos en la aplicación.</w:t>
            </w:r>
          </w:p>
        </w:tc>
        <w:tc>
          <w:tcPr>
            <w:tcW w:w="3544" w:type="dxa"/>
          </w:tcPr>
          <w:p w:rsidR="00425636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Manipulación procesos inherentes a la gestión de bases de datos y gráficos referentes a la organización y administración de empresas.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AB7D3F" w:rsidRP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0"/>
                <w:szCs w:val="20"/>
                <w:lang w:val="es-ES"/>
              </w:rPr>
            </w:pPr>
            <w:r w:rsidRPr="00AB7D3F">
              <w:rPr>
                <w:rFonts w:ascii="Cambria-Bold" w:hAnsi="Cambria-Bold" w:cs="Cambria-Bold"/>
                <w:b/>
                <w:bCs/>
                <w:sz w:val="20"/>
                <w:szCs w:val="20"/>
                <w:lang w:val="es-ES"/>
              </w:rPr>
              <w:t xml:space="preserve">IV. </w:t>
            </w:r>
            <w:r w:rsidRPr="00AB7D3F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ANÁLISIS ESTADISTICO</w:t>
            </w:r>
          </w:p>
          <w:p w:rsidR="00B131A2" w:rsidRPr="00AB7D3F" w:rsidRDefault="00AB7D3F" w:rsidP="00AB7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AB7D3F">
              <w:rPr>
                <w:rFonts w:ascii="Cambria" w:hAnsi="Cambria" w:cs="Cambria"/>
                <w:b/>
                <w:sz w:val="20"/>
                <w:szCs w:val="20"/>
                <w:lang w:val="es-ES"/>
              </w:rPr>
              <w:t>MEDIANTE SPSS.</w:t>
            </w:r>
          </w:p>
        </w:tc>
        <w:tc>
          <w:tcPr>
            <w:tcW w:w="3827" w:type="dxa"/>
          </w:tcPr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Dominar el procesamiento y</w:t>
            </w:r>
          </w:p>
          <w:p w:rsidR="00AB7D3F" w:rsidRDefault="00AB7D3F" w:rsidP="00AB7D3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análisis de la información en la</w:t>
            </w:r>
          </w:p>
          <w:p w:rsidR="002C649B" w:rsidRPr="002C649B" w:rsidRDefault="00AB7D3F" w:rsidP="00AB7D3F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herramienta SPSS</w:t>
            </w:r>
          </w:p>
        </w:tc>
        <w:tc>
          <w:tcPr>
            <w:tcW w:w="3544" w:type="dxa"/>
          </w:tcPr>
          <w:p w:rsidR="001711A0" w:rsidRPr="00CC6705" w:rsidRDefault="00AB7D3F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1.- Procesamiento y aná</w:t>
            </w:r>
            <w:r w:rsidR="00CC6705">
              <w:rPr>
                <w:rFonts w:ascii="Cambria" w:hAnsi="Cambria" w:cs="Cambria"/>
                <w:sz w:val="20"/>
                <w:szCs w:val="20"/>
                <w:lang w:val="es-ES"/>
              </w:rPr>
              <w:t xml:space="preserve">lisis de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información estadí</w:t>
            </w:r>
            <w:r w:rsidR="00CC6705">
              <w:rPr>
                <w:rFonts w:ascii="Cambria" w:hAnsi="Cambria" w:cs="Cambria"/>
                <w:sz w:val="20"/>
                <w:szCs w:val="20"/>
                <w:lang w:val="es-ES"/>
              </w:rPr>
              <w:t xml:space="preserve">sticamente en SPSS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para la toma de decisiones.</w:t>
            </w: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142"/>
        <w:gridCol w:w="850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7"/>
            <w:shd w:val="clear" w:color="auto" w:fill="C6D9F1" w:themeFill="text2" w:themeFillTint="33"/>
          </w:tcPr>
          <w:p w:rsidR="001711A0" w:rsidRPr="004162AB" w:rsidRDefault="00866047" w:rsidP="00172A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</w:t>
            </w:r>
            <w:r w:rsidR="00172A90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Gestión de Proyectos en Microsoft Project.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gridSpan w:val="2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55417" w:rsidRPr="004A1D54" w:rsidTr="00C55417">
        <w:trPr>
          <w:trHeight w:val="689"/>
        </w:trPr>
        <w:tc>
          <w:tcPr>
            <w:tcW w:w="810" w:type="dxa"/>
            <w:vMerge w:val="restart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  <w:vMerge w:val="restart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55417" w:rsidRPr="00CC6705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 Introducción a la Gestión de Proyectos en  Microsoft Project</w:t>
            </w:r>
          </w:p>
        </w:tc>
        <w:tc>
          <w:tcPr>
            <w:tcW w:w="2409" w:type="dxa"/>
          </w:tcPr>
          <w:p w:rsidR="00C55417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1.1.1 Partes de un</w:t>
            </w:r>
          </w:p>
          <w:p w:rsidR="00C55417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proyecto: Tareas, Hitos,</w:t>
            </w:r>
          </w:p>
          <w:p w:rsidR="00C55417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Recursos.</w:t>
            </w:r>
          </w:p>
          <w:p w:rsidR="00C55417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1.1.2 Herramientas</w:t>
            </w:r>
          </w:p>
          <w:p w:rsidR="00C55417" w:rsidRDefault="00C55417" w:rsidP="00CC670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diagramáticas</w:t>
            </w:r>
          </w:p>
          <w:p w:rsidR="00C55417" w:rsidRPr="00866047" w:rsidRDefault="00C55417" w:rsidP="00CC67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1.1.3 Diagrama de Gantt 1.1.4 Gráfico de Gantt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Laboratorio</w:t>
            </w:r>
          </w:p>
          <w:p w:rsidR="00C55417" w:rsidRPr="00866047" w:rsidRDefault="00C55417" w:rsidP="00C55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Trabajo en      grupo</w:t>
            </w:r>
          </w:p>
        </w:tc>
        <w:tc>
          <w:tcPr>
            <w:tcW w:w="992" w:type="dxa"/>
            <w:gridSpan w:val="2"/>
            <w:vAlign w:val="center"/>
          </w:tcPr>
          <w:p w:rsidR="00C55417" w:rsidRPr="00866047" w:rsidRDefault="00C55417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55417" w:rsidRPr="004A1D54" w:rsidTr="004905A6">
        <w:trPr>
          <w:trHeight w:val="688"/>
        </w:trPr>
        <w:tc>
          <w:tcPr>
            <w:tcW w:w="810" w:type="dxa"/>
            <w:vMerge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1.2 El Entorno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Microsoft Project</w:t>
            </w:r>
          </w:p>
        </w:tc>
        <w:tc>
          <w:tcPr>
            <w:tcW w:w="2409" w:type="dxa"/>
          </w:tcPr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1.2.1 Interfaz Principal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1.2.2 Configuración de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Microsoft Project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1.2.3 Información del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Proyecto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1.2.4 Configuración de</w:t>
            </w:r>
          </w:p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Calendarios de trabajo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55417" w:rsidRDefault="00C55417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55417" w:rsidRDefault="00C55417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C55417" w:rsidRPr="004A1D54" w:rsidTr="004905A6">
        <w:tc>
          <w:tcPr>
            <w:tcW w:w="810" w:type="dxa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55417" w:rsidRPr="00172A90" w:rsidRDefault="00C55417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 Gestió</w:t>
            </w:r>
            <w:r w:rsidR="00172A90">
              <w:rPr>
                <w:rFonts w:ascii="Cambria" w:hAnsi="Cambria" w:cs="Cambria"/>
                <w:sz w:val="20"/>
                <w:szCs w:val="20"/>
                <w:lang w:val="es-ES"/>
              </w:rPr>
              <w:t xml:space="preserve">n de Proyectos en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Microsoft Project</w:t>
            </w:r>
          </w:p>
        </w:tc>
        <w:tc>
          <w:tcPr>
            <w:tcW w:w="2409" w:type="dxa"/>
          </w:tcPr>
          <w:p w:rsidR="00C55417" w:rsidRDefault="00C55417" w:rsidP="00C5541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1.3.1 Asignación de</w:t>
            </w:r>
          </w:p>
          <w:p w:rsidR="00172A90" w:rsidRDefault="00C55417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Calendario</w:t>
            </w:r>
          </w:p>
          <w:p w:rsidR="00C55417" w:rsidRDefault="00C55417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1.3.2 Ingreso de Tareas</w:t>
            </w:r>
          </w:p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1.3.3 Ingreso de Hitos</w:t>
            </w:r>
          </w:p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1.3.4 Vistas del Proyecto</w:t>
            </w:r>
          </w:p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1.3.5 Gestión de Tareas del Proyecto</w:t>
            </w:r>
          </w:p>
          <w:p w:rsidR="00172A90" w:rsidRP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1.3.6 Uso de Tareas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55417" w:rsidRPr="00866047" w:rsidRDefault="00C55417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55417" w:rsidRPr="00866047" w:rsidRDefault="00C55417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55417" w:rsidRPr="004A1D54" w:rsidTr="004905A6">
        <w:tc>
          <w:tcPr>
            <w:tcW w:w="810" w:type="dxa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3</w:t>
            </w:r>
          </w:p>
        </w:tc>
        <w:tc>
          <w:tcPr>
            <w:tcW w:w="1516" w:type="dxa"/>
          </w:tcPr>
          <w:p w:rsidR="00C55417" w:rsidRPr="00866047" w:rsidRDefault="00C55417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C55417" w:rsidRPr="00603526" w:rsidRDefault="00172A90" w:rsidP="00172A9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 Gestión de Proyectos en Microsoft Project</w:t>
            </w:r>
          </w:p>
        </w:tc>
        <w:tc>
          <w:tcPr>
            <w:tcW w:w="2409" w:type="dxa"/>
          </w:tcPr>
          <w:p w:rsidR="00C55417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1.3.7 Gestión de Recursos del Proyecto.</w:t>
            </w:r>
          </w:p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1.3.8 Asignación de recursos a las Tareas</w:t>
            </w:r>
          </w:p>
          <w:p w:rsidR="00172A90" w:rsidRP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1.3.9 Programación condicionada por el esfuerzo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55417" w:rsidRPr="00866047" w:rsidRDefault="00C55417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55417" w:rsidRPr="00866047" w:rsidRDefault="00C55417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172A90" w:rsidRPr="004A1D54" w:rsidTr="00172A90">
        <w:trPr>
          <w:trHeight w:val="1549"/>
        </w:trPr>
        <w:tc>
          <w:tcPr>
            <w:tcW w:w="810" w:type="dxa"/>
          </w:tcPr>
          <w:p w:rsidR="00172A90" w:rsidRPr="00866047" w:rsidRDefault="00172A90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1516" w:type="dxa"/>
          </w:tcPr>
          <w:p w:rsidR="00172A90" w:rsidRPr="00866047" w:rsidRDefault="00172A90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172A90" w:rsidRPr="00603526" w:rsidRDefault="00172A90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 Gestión de Proyectos en Microsoft Project</w:t>
            </w:r>
          </w:p>
        </w:tc>
        <w:tc>
          <w:tcPr>
            <w:tcW w:w="2409" w:type="dxa"/>
          </w:tcPr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1.3.9 Programación condicionada por el esfuerzo</w:t>
            </w:r>
          </w:p>
          <w:p w:rsidR="00172A90" w:rsidRDefault="00172A90" w:rsidP="00172A9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1.3.10 Costos del proyecto</w:t>
            </w:r>
          </w:p>
          <w:p w:rsidR="00172A90" w:rsidRPr="00866047" w:rsidRDefault="00172A90" w:rsidP="00172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1.3.11 Aplicaciones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172A90" w:rsidRPr="00866047" w:rsidRDefault="00172A90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72A90" w:rsidRPr="00866047" w:rsidRDefault="00172A90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7"/>
            <w:shd w:val="clear" w:color="auto" w:fill="C6D9F1" w:themeFill="text2" w:themeFillTint="33"/>
            <w:vAlign w:val="center"/>
          </w:tcPr>
          <w:p w:rsidR="00BD2BF2" w:rsidRPr="004162AB" w:rsidRDefault="00BD2BF2" w:rsidP="008C5361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II: </w:t>
            </w:r>
            <w:r w:rsidR="008C536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Microsoft Excel I</w:t>
            </w:r>
          </w:p>
        </w:tc>
      </w:tr>
      <w:tr w:rsidR="008C5361" w:rsidRPr="004A1D54" w:rsidTr="00287019">
        <w:trPr>
          <w:trHeight w:val="194"/>
        </w:trPr>
        <w:tc>
          <w:tcPr>
            <w:tcW w:w="810" w:type="dxa"/>
            <w:vMerge w:val="restart"/>
          </w:tcPr>
          <w:p w:rsidR="008C5361" w:rsidRPr="00866047" w:rsidRDefault="008C536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  <w:vMerge w:val="restart"/>
          </w:tcPr>
          <w:p w:rsidR="008C5361" w:rsidRPr="00866047" w:rsidRDefault="008C5361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 El entorno de</w:t>
            </w:r>
          </w:p>
          <w:p w:rsidR="008C5361" w:rsidRPr="00603526" w:rsidRDefault="008C5361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Microsoft Excel</w:t>
            </w:r>
          </w:p>
        </w:tc>
        <w:tc>
          <w:tcPr>
            <w:tcW w:w="2409" w:type="dxa"/>
          </w:tcPr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2.1.1 Descripción del Entorno</w:t>
            </w:r>
          </w:p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2.1.2 Creación y Control de Libros y hojas de cálculos</w:t>
            </w:r>
          </w:p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2.1.3 Elementos del entorno de una hoja de cálculo.</w:t>
            </w:r>
          </w:p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2.1.4 Diferencia entre valor y apariencia</w:t>
            </w:r>
          </w:p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2.1.5 Tipos de datos.</w:t>
            </w:r>
          </w:p>
          <w:p w:rsidR="008C5361" w:rsidRPr="00603526" w:rsidRDefault="008C5361" w:rsidP="008C5361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2.1.6 Formatos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Laboratorio</w:t>
            </w:r>
          </w:p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8C5361" w:rsidRDefault="00287019" w:rsidP="00287019">
            <w:pPr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- Trabajo en      grupo</w:t>
            </w:r>
          </w:p>
          <w:p w:rsidR="00287019" w:rsidRPr="00866047" w:rsidRDefault="00287019" w:rsidP="002870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8C5361" w:rsidRPr="00866047" w:rsidRDefault="008C5361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C5361" w:rsidRPr="004A1D54" w:rsidTr="00287019">
        <w:trPr>
          <w:trHeight w:val="194"/>
        </w:trPr>
        <w:tc>
          <w:tcPr>
            <w:tcW w:w="810" w:type="dxa"/>
            <w:vMerge/>
          </w:tcPr>
          <w:p w:rsidR="008C5361" w:rsidRPr="00866047" w:rsidRDefault="008C536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8C5361" w:rsidRPr="00866047" w:rsidRDefault="008C5361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2.2 Formatos</w:t>
            </w:r>
          </w:p>
          <w:p w:rsidR="008C5361" w:rsidRPr="00603526" w:rsidRDefault="008C5361" w:rsidP="008C5361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Condicionales</w:t>
            </w:r>
          </w:p>
        </w:tc>
        <w:tc>
          <w:tcPr>
            <w:tcW w:w="2409" w:type="dxa"/>
          </w:tcPr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2.2.1 Referencias a Celdas</w:t>
            </w:r>
          </w:p>
          <w:p w:rsid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2.2.2 Asignación de nombres a una celda o rangos</w:t>
            </w:r>
          </w:p>
          <w:p w:rsidR="008C5361" w:rsidRPr="008C5361" w:rsidRDefault="008C5361" w:rsidP="008C536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2.2.3 Formato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Condicional por Valor de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Celda, Reglas Superiores 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e Inferiores, Escalas de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Color y Resaltar 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Reglas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de Celda</w:t>
            </w:r>
          </w:p>
        </w:tc>
        <w:tc>
          <w:tcPr>
            <w:tcW w:w="1560" w:type="dxa"/>
            <w:gridSpan w:val="3"/>
            <w:vMerge/>
            <w:vAlign w:val="center"/>
          </w:tcPr>
          <w:p w:rsidR="008C5361" w:rsidRDefault="008C5361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0" w:type="dxa"/>
            <w:vMerge/>
            <w:vAlign w:val="center"/>
          </w:tcPr>
          <w:p w:rsidR="008C5361" w:rsidRDefault="008C5361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87019" w:rsidRPr="004A1D54" w:rsidTr="00287019">
        <w:trPr>
          <w:trHeight w:val="130"/>
        </w:trPr>
        <w:tc>
          <w:tcPr>
            <w:tcW w:w="810" w:type="dxa"/>
            <w:vMerge w:val="restart"/>
          </w:tcPr>
          <w:p w:rsidR="00287019" w:rsidRPr="00866047" w:rsidRDefault="0028701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  <w:vMerge w:val="restart"/>
          </w:tcPr>
          <w:p w:rsidR="00287019" w:rsidRPr="00866047" w:rsidRDefault="00287019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  <w:vMerge w:val="restart"/>
          </w:tcPr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2.3 Formulas</w:t>
            </w:r>
          </w:p>
          <w:p w:rsidR="00287019" w:rsidRPr="00BD2BF2" w:rsidRDefault="00287019" w:rsidP="002870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Básicas</w:t>
            </w:r>
          </w:p>
        </w:tc>
        <w:tc>
          <w:tcPr>
            <w:tcW w:w="2409" w:type="dxa"/>
          </w:tcPr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2.3.1 Fórmulas Básicas</w:t>
            </w:r>
          </w:p>
          <w:p w:rsidR="00287019" w:rsidRPr="00BD2BF2" w:rsidRDefault="00287019" w:rsidP="00287019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Matemáticas y de Texto</w:t>
            </w:r>
          </w:p>
        </w:tc>
        <w:tc>
          <w:tcPr>
            <w:tcW w:w="1560" w:type="dxa"/>
            <w:gridSpan w:val="3"/>
            <w:vMerge w:val="restart"/>
            <w:vAlign w:val="center"/>
          </w:tcPr>
          <w:p w:rsidR="002D49A7" w:rsidRDefault="002D49A7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  <w:p w:rsidR="002D49A7" w:rsidRDefault="002D49A7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  Laboratorio</w:t>
            </w:r>
          </w:p>
          <w:p w:rsidR="00287019" w:rsidRPr="00BD2BF2" w:rsidRDefault="00287019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87019" w:rsidRPr="00BD2BF2" w:rsidRDefault="00287019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287019" w:rsidRPr="004A1D54" w:rsidTr="00287019">
        <w:trPr>
          <w:trHeight w:val="129"/>
        </w:trPr>
        <w:tc>
          <w:tcPr>
            <w:tcW w:w="810" w:type="dxa"/>
            <w:vMerge/>
          </w:tcPr>
          <w:p w:rsidR="00287019" w:rsidRPr="00866047" w:rsidRDefault="0028701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87019" w:rsidRPr="00866047" w:rsidRDefault="00287019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287019" w:rsidRPr="00B7332A" w:rsidRDefault="00287019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2.3.2 Fórmulas Bá</w:t>
            </w:r>
            <w:r w:rsidR="00B7332A">
              <w:rPr>
                <w:rFonts w:ascii="Cambria" w:hAnsi="Cambria" w:cs="Cambria"/>
                <w:sz w:val="20"/>
                <w:szCs w:val="20"/>
                <w:lang w:val="es-ES"/>
              </w:rPr>
              <w:t xml:space="preserve">sicas de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Texto</w:t>
            </w:r>
          </w:p>
        </w:tc>
        <w:tc>
          <w:tcPr>
            <w:tcW w:w="1560" w:type="dxa"/>
            <w:gridSpan w:val="3"/>
            <w:vMerge/>
            <w:vAlign w:val="center"/>
          </w:tcPr>
          <w:p w:rsidR="00287019" w:rsidRDefault="00287019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0" w:type="dxa"/>
            <w:vMerge/>
            <w:vAlign w:val="center"/>
          </w:tcPr>
          <w:p w:rsidR="00287019" w:rsidRDefault="00287019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287019" w:rsidRPr="004A1D54" w:rsidTr="00287019">
        <w:trPr>
          <w:trHeight w:val="129"/>
        </w:trPr>
        <w:tc>
          <w:tcPr>
            <w:tcW w:w="810" w:type="dxa"/>
            <w:vMerge/>
          </w:tcPr>
          <w:p w:rsidR="00287019" w:rsidRPr="00866047" w:rsidRDefault="0028701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287019" w:rsidRPr="00866047" w:rsidRDefault="00287019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287019" w:rsidRDefault="00287019" w:rsidP="0028701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</w:p>
        </w:tc>
        <w:tc>
          <w:tcPr>
            <w:tcW w:w="2409" w:type="dxa"/>
          </w:tcPr>
          <w:p w:rsidR="00287019" w:rsidRPr="00BD2BF2" w:rsidRDefault="00B7332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2.3.3 Formulas Lógicas</w:t>
            </w:r>
          </w:p>
        </w:tc>
        <w:tc>
          <w:tcPr>
            <w:tcW w:w="1560" w:type="dxa"/>
            <w:gridSpan w:val="3"/>
            <w:vMerge/>
            <w:vAlign w:val="center"/>
          </w:tcPr>
          <w:p w:rsidR="00287019" w:rsidRDefault="00287019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50" w:type="dxa"/>
            <w:vMerge/>
            <w:vAlign w:val="center"/>
          </w:tcPr>
          <w:p w:rsidR="00287019" w:rsidRDefault="00287019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866047" w:rsidRPr="004A1D54" w:rsidTr="00287019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 Fórmulas</w:t>
            </w:r>
          </w:p>
          <w:p w:rsidR="001711A0" w:rsidRPr="00BD2BF2" w:rsidRDefault="00B7332A" w:rsidP="00B7332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</w:tc>
        <w:tc>
          <w:tcPr>
            <w:tcW w:w="2409" w:type="dxa"/>
          </w:tcPr>
          <w:p w:rsidR="00735BB6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2.4.1 Fórmulas de Búsqueda y de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lastRenderedPageBreak/>
              <w:t>Referencia</w:t>
            </w:r>
          </w:p>
          <w:p w:rsidR="00B7332A" w:rsidRPr="00B7332A" w:rsidRDefault="00B7332A" w:rsidP="00B7332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2.4.2 Fórmulas   Financieras</w:t>
            </w:r>
          </w:p>
        </w:tc>
        <w:tc>
          <w:tcPr>
            <w:tcW w:w="1560" w:type="dxa"/>
            <w:gridSpan w:val="3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850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B7332A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 Fórmulas</w:t>
            </w:r>
          </w:p>
          <w:p w:rsidR="001711A0" w:rsidRPr="00BD2BF2" w:rsidRDefault="00B7332A" w:rsidP="00B7332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Avanzadas</w:t>
            </w:r>
          </w:p>
        </w:tc>
        <w:tc>
          <w:tcPr>
            <w:tcW w:w="2409" w:type="dxa"/>
          </w:tcPr>
          <w:p w:rsidR="008C5361" w:rsidRDefault="00B7332A" w:rsidP="00B7332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2.4.3 Fórmulas Estadísticas</w:t>
            </w:r>
          </w:p>
          <w:p w:rsidR="00B7332A" w:rsidRPr="00BD2BF2" w:rsidRDefault="00B7332A" w:rsidP="00B733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2.4.4 Formulas de Fecha y Hora</w:t>
            </w:r>
          </w:p>
          <w:p w:rsidR="00A24B9C" w:rsidRPr="00BD2BF2" w:rsidRDefault="00A24B9C" w:rsidP="00B7332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60" w:type="dxa"/>
            <w:gridSpan w:val="3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850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7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="008C536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Microsoft Excel II</w:t>
            </w:r>
          </w:p>
        </w:tc>
      </w:tr>
      <w:tr w:rsidR="00092409" w:rsidRPr="004A1D54" w:rsidTr="00D02BA6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6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7332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2.5 Listas</w:t>
            </w:r>
          </w:p>
        </w:tc>
        <w:tc>
          <w:tcPr>
            <w:tcW w:w="2409" w:type="dxa"/>
          </w:tcPr>
          <w:p w:rsid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2.5.1 Creación de listas.</w:t>
            </w:r>
          </w:p>
          <w:p w:rsid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Ventajas.</w:t>
            </w:r>
          </w:p>
          <w:p w:rsid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2.5.2 Ordenar los datos en una lista.</w:t>
            </w:r>
          </w:p>
          <w:p w:rsidR="003000F3" w:rsidRDefault="00B7332A" w:rsidP="00B7332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2.5.3 Filtrar listas.</w:t>
            </w: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</w:p>
          <w:p w:rsidR="00B7332A" w:rsidRPr="00B7332A" w:rsidRDefault="00B7332A" w:rsidP="00B7332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2.5.4 Gestión de listas con el formulario, validación de datos</w:t>
            </w: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2D49A7" w:rsidP="006A6B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6A6BA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C94D4E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 Tablas en Excel</w:t>
            </w:r>
          </w:p>
        </w:tc>
        <w:tc>
          <w:tcPr>
            <w:tcW w:w="2409" w:type="dxa"/>
          </w:tcPr>
          <w:p w:rsidR="003000F3" w:rsidRDefault="00C94D4E" w:rsidP="003000F3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3.1.1 Tablas dinámicas</w:t>
            </w:r>
          </w:p>
          <w:p w:rsidR="00C94D4E" w:rsidRDefault="00C94D4E" w:rsidP="00C94D4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3.1.2 Tablas de datos con</w:t>
            </w:r>
          </w:p>
          <w:p w:rsidR="00C94D4E" w:rsidRDefault="00C94D4E" w:rsidP="00C94D4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una y dos variables de</w:t>
            </w:r>
          </w:p>
          <w:p w:rsidR="00C94D4E" w:rsidRPr="00BD2BF2" w:rsidRDefault="00C94D4E" w:rsidP="00C94D4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entrada</w:t>
            </w: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11683" w:rsidRPr="004A1D54" w:rsidTr="00511683">
        <w:tc>
          <w:tcPr>
            <w:tcW w:w="810" w:type="dxa"/>
          </w:tcPr>
          <w:p w:rsidR="00511683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</w:t>
            </w:r>
          </w:p>
        </w:tc>
        <w:tc>
          <w:tcPr>
            <w:tcW w:w="1516" w:type="dxa"/>
            <w:vAlign w:val="center"/>
          </w:tcPr>
          <w:p w:rsidR="00511683" w:rsidRPr="00866047" w:rsidRDefault="00511683" w:rsidP="005116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511683" w:rsidRPr="00BD2BF2" w:rsidRDefault="00511683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 Macros</w:t>
            </w:r>
          </w:p>
        </w:tc>
        <w:tc>
          <w:tcPr>
            <w:tcW w:w="2409" w:type="dxa"/>
          </w:tcPr>
          <w:p w:rsidR="00511683" w:rsidRDefault="00511683" w:rsidP="003000F3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3.2.1 Gestión de Macros</w:t>
            </w:r>
          </w:p>
          <w:p w:rsidR="00511683" w:rsidRDefault="00511683" w:rsidP="004444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3.2.2 Funciones</w:t>
            </w:r>
          </w:p>
          <w:p w:rsidR="00511683" w:rsidRPr="00BD2BF2" w:rsidRDefault="00511683" w:rsidP="004444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Personalizadas con Macros</w:t>
            </w:r>
          </w:p>
        </w:tc>
        <w:tc>
          <w:tcPr>
            <w:tcW w:w="1276" w:type="dxa"/>
            <w:vMerge w:val="restart"/>
            <w:vAlign w:val="center"/>
          </w:tcPr>
          <w:p w:rsidR="00511683" w:rsidRPr="00BD2BF2" w:rsidRDefault="0051168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11683" w:rsidRPr="00BD2BF2" w:rsidRDefault="0051168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11683" w:rsidRPr="004A1D54" w:rsidTr="00161EA1">
        <w:tc>
          <w:tcPr>
            <w:tcW w:w="810" w:type="dxa"/>
          </w:tcPr>
          <w:p w:rsidR="00511683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</w:p>
        </w:tc>
        <w:tc>
          <w:tcPr>
            <w:tcW w:w="1516" w:type="dxa"/>
          </w:tcPr>
          <w:p w:rsidR="00511683" w:rsidRPr="00866047" w:rsidRDefault="006A6BA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</w:tcPr>
          <w:p w:rsidR="00511683" w:rsidRDefault="00511683" w:rsidP="00A24B9C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 Gráficos</w:t>
            </w:r>
          </w:p>
        </w:tc>
        <w:tc>
          <w:tcPr>
            <w:tcW w:w="2409" w:type="dxa"/>
          </w:tcPr>
          <w:p w:rsidR="00511683" w:rsidRDefault="00511683" w:rsidP="00A277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3.3.1 Elementos básicos para creación de gráficos.</w:t>
            </w:r>
          </w:p>
          <w:p w:rsidR="00511683" w:rsidRDefault="00511683" w:rsidP="00314B7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3.3.2 Mejora de la presentación de los gráficos.</w:t>
            </w:r>
          </w:p>
          <w:p w:rsidR="00511683" w:rsidRDefault="00511683" w:rsidP="00A277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3.3.3 Edición de datos en gráficos.</w:t>
            </w:r>
          </w:p>
          <w:p w:rsidR="00511683" w:rsidRDefault="00511683" w:rsidP="00A27743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3.3.4 Gráficos dinámicos.</w:t>
            </w:r>
          </w:p>
          <w:p w:rsidR="00511683" w:rsidRDefault="00511683" w:rsidP="00A27743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3.3.5 Taller</w:t>
            </w:r>
          </w:p>
        </w:tc>
        <w:tc>
          <w:tcPr>
            <w:tcW w:w="1276" w:type="dxa"/>
            <w:vMerge/>
            <w:vAlign w:val="center"/>
          </w:tcPr>
          <w:p w:rsidR="00511683" w:rsidRDefault="0051168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11683" w:rsidRDefault="0051168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7"/>
            <w:shd w:val="clear" w:color="auto" w:fill="C6D9F1" w:themeFill="text2" w:themeFillTint="33"/>
          </w:tcPr>
          <w:p w:rsidR="00B57130" w:rsidRPr="004162AB" w:rsidRDefault="00B57130" w:rsidP="008C5361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8C5361" w:rsidRPr="008C536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Análisis Estadístico con SPSS</w:t>
            </w:r>
          </w:p>
        </w:tc>
      </w:tr>
      <w:tr w:rsidR="00633B6E" w:rsidRPr="004A1D54" w:rsidTr="002D49A7">
        <w:trPr>
          <w:trHeight w:val="194"/>
        </w:trPr>
        <w:tc>
          <w:tcPr>
            <w:tcW w:w="810" w:type="dxa"/>
            <w:vMerge w:val="restart"/>
          </w:tcPr>
          <w:p w:rsidR="006A6BAA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</w:t>
            </w:r>
          </w:p>
          <w:p w:rsidR="00633B6E" w:rsidRPr="00866047" w:rsidRDefault="00633B6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 w:val="restart"/>
          </w:tcPr>
          <w:p w:rsidR="00633B6E" w:rsidRPr="00866047" w:rsidRDefault="006A6BAA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 Introducción al</w:t>
            </w:r>
          </w:p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Análisis</w:t>
            </w:r>
          </w:p>
          <w:p w:rsidR="00633B6E" w:rsidRPr="00B9588B" w:rsidRDefault="00633B6E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Estadístico</w:t>
            </w:r>
          </w:p>
        </w:tc>
        <w:tc>
          <w:tcPr>
            <w:tcW w:w="2409" w:type="dxa"/>
          </w:tcPr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4.1 Conceptos Estadísticos</w:t>
            </w:r>
          </w:p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 Unidades de Medidas</w:t>
            </w:r>
          </w:p>
          <w:p w:rsidR="00633B6E" w:rsidRPr="00BD2BF2" w:rsidRDefault="00633B6E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 Variables</w:t>
            </w:r>
          </w:p>
        </w:tc>
        <w:tc>
          <w:tcPr>
            <w:tcW w:w="1276" w:type="dxa"/>
            <w:vMerge w:val="restart"/>
            <w:vAlign w:val="center"/>
          </w:tcPr>
          <w:p w:rsidR="00633B6E" w:rsidRPr="00BD2BF2" w:rsidRDefault="00633B6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633B6E" w:rsidRPr="00BD2BF2" w:rsidRDefault="00633B6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633B6E" w:rsidRPr="004A1D54" w:rsidTr="00161EA1">
        <w:trPr>
          <w:trHeight w:val="194"/>
        </w:trPr>
        <w:tc>
          <w:tcPr>
            <w:tcW w:w="810" w:type="dxa"/>
            <w:vMerge/>
          </w:tcPr>
          <w:p w:rsidR="00633B6E" w:rsidRDefault="00633B6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633B6E" w:rsidRPr="00866047" w:rsidRDefault="00633B6E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 Introducción a</w:t>
            </w:r>
          </w:p>
          <w:p w:rsidR="00633B6E" w:rsidRPr="00B9588B" w:rsidRDefault="00633B6E" w:rsidP="002D49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SPSS</w:t>
            </w:r>
          </w:p>
        </w:tc>
        <w:tc>
          <w:tcPr>
            <w:tcW w:w="2409" w:type="dxa"/>
          </w:tcPr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4.2.1 Entorno SPSS</w:t>
            </w:r>
          </w:p>
          <w:p w:rsidR="00633B6E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4.2.2 Ventanas de Edición</w:t>
            </w:r>
          </w:p>
          <w:p w:rsidR="00633B6E" w:rsidRPr="002D49A7" w:rsidRDefault="00633B6E" w:rsidP="002D49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4.2.3 Barras de Herramientas y Cuadros de Dialogo</w:t>
            </w:r>
          </w:p>
        </w:tc>
        <w:tc>
          <w:tcPr>
            <w:tcW w:w="1276" w:type="dxa"/>
            <w:vMerge/>
            <w:vAlign w:val="center"/>
          </w:tcPr>
          <w:p w:rsidR="00633B6E" w:rsidRDefault="00633B6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633B6E" w:rsidRDefault="00633B6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A6BAA" w:rsidRPr="004A1D54" w:rsidTr="006A6BAA">
        <w:trPr>
          <w:trHeight w:val="489"/>
        </w:trPr>
        <w:tc>
          <w:tcPr>
            <w:tcW w:w="810" w:type="dxa"/>
            <w:vMerge w:val="restart"/>
          </w:tcPr>
          <w:p w:rsidR="006A6BAA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</w:t>
            </w:r>
          </w:p>
        </w:tc>
        <w:tc>
          <w:tcPr>
            <w:tcW w:w="1516" w:type="dxa"/>
            <w:vMerge w:val="restart"/>
          </w:tcPr>
          <w:p w:rsidR="006A6BAA" w:rsidRPr="00866047" w:rsidRDefault="006A6BAA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  <w:vMerge w:val="restart"/>
          </w:tcPr>
          <w:p w:rsidR="006A6BAA" w:rsidRPr="00B9588B" w:rsidRDefault="006A6BAA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Estadísticas en SPSS</w:t>
            </w:r>
          </w:p>
        </w:tc>
        <w:tc>
          <w:tcPr>
            <w:tcW w:w="2409" w:type="dxa"/>
          </w:tcPr>
          <w:p w:rsidR="006A6BAA" w:rsidRDefault="006A6BAA" w:rsidP="00B4192E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4.3.1 Introducción de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mbria" w:hAnsi="Cambria" w:cs="Cambria"/>
                <w:sz w:val="20"/>
                <w:szCs w:val="20"/>
                <w:lang w:val="es-ES"/>
              </w:rPr>
              <w:t>Datos</w:t>
            </w:r>
          </w:p>
          <w:p w:rsidR="006A6BAA" w:rsidRDefault="006A6BAA" w:rsidP="005116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4.3.2 Tipos de Datos</w:t>
            </w:r>
          </w:p>
          <w:p w:rsidR="006A6BAA" w:rsidRPr="00BD2BF2" w:rsidRDefault="006A6BAA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4.3.3 Formatos y Etiquetas</w:t>
            </w:r>
          </w:p>
        </w:tc>
        <w:tc>
          <w:tcPr>
            <w:tcW w:w="1276" w:type="dxa"/>
            <w:vMerge w:val="restart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6A6BAA" w:rsidRPr="004A1D54" w:rsidTr="00161EA1">
        <w:trPr>
          <w:trHeight w:val="488"/>
        </w:trPr>
        <w:tc>
          <w:tcPr>
            <w:tcW w:w="810" w:type="dxa"/>
            <w:vMerge/>
          </w:tcPr>
          <w:p w:rsidR="006A6BAA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6A6BAA" w:rsidRPr="00866047" w:rsidRDefault="006A6BAA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6A6BAA" w:rsidRDefault="006A6BAA" w:rsidP="0051168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4.3.4 Medidas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4.3.5 Uso de Etiquetas de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Valor y Valores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4.3.6 Variables Calculadas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4.3.7 Importación y</w:t>
            </w:r>
          </w:p>
          <w:p w:rsidR="006A6BAA" w:rsidRDefault="006A6BAA" w:rsidP="006A6BAA">
            <w:pPr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Exportación de Datos</w:t>
            </w:r>
          </w:p>
        </w:tc>
        <w:tc>
          <w:tcPr>
            <w:tcW w:w="1276" w:type="dxa"/>
            <w:vMerge/>
            <w:vAlign w:val="center"/>
          </w:tcPr>
          <w:p w:rsidR="006A6BAA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6A6BAA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6A6BAA" w:rsidRPr="004A1D54" w:rsidTr="00E27748">
        <w:tc>
          <w:tcPr>
            <w:tcW w:w="810" w:type="dxa"/>
          </w:tcPr>
          <w:p w:rsidR="006A6BAA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</w:t>
            </w:r>
          </w:p>
        </w:tc>
        <w:tc>
          <w:tcPr>
            <w:tcW w:w="1516" w:type="dxa"/>
          </w:tcPr>
          <w:p w:rsidR="006A6BAA" w:rsidRPr="00866047" w:rsidRDefault="006A6BAA" w:rsidP="00633B6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  <w:vMerge w:val="restart"/>
            <w:vAlign w:val="center"/>
          </w:tcPr>
          <w:p w:rsidR="006A6BAA" w:rsidRDefault="006A6BAA" w:rsidP="00E27748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 Casos Prácticos</w:t>
            </w:r>
          </w:p>
          <w:p w:rsidR="006A6BAA" w:rsidRPr="00B9588B" w:rsidRDefault="006A6BAA" w:rsidP="00E277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en SPSS</w:t>
            </w:r>
          </w:p>
        </w:tc>
        <w:tc>
          <w:tcPr>
            <w:tcW w:w="2409" w:type="dxa"/>
          </w:tcPr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4.4.1 Modelos de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Cuestionario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4.4.2 Diseño de un modelo</w:t>
            </w:r>
          </w:p>
          <w:p w:rsidR="006A6BAA" w:rsidRDefault="006A6BAA" w:rsidP="006A6BAA">
            <w:pPr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de Cuestionario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4.4.3 Codificación de Datos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4.4.4 Definición de</w:t>
            </w:r>
          </w:p>
          <w:p w:rsidR="006A6BAA" w:rsidRPr="00BD2BF2" w:rsidRDefault="006A6BAA" w:rsidP="006A6B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Variables en SPSS</w:t>
            </w:r>
          </w:p>
        </w:tc>
        <w:tc>
          <w:tcPr>
            <w:tcW w:w="1276" w:type="dxa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6A6BAA" w:rsidRPr="004A1D54" w:rsidTr="00161EA1">
        <w:tc>
          <w:tcPr>
            <w:tcW w:w="810" w:type="dxa"/>
          </w:tcPr>
          <w:p w:rsidR="006A6BAA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16</w:t>
            </w:r>
          </w:p>
        </w:tc>
        <w:tc>
          <w:tcPr>
            <w:tcW w:w="1516" w:type="dxa"/>
          </w:tcPr>
          <w:p w:rsidR="006A6BAA" w:rsidRPr="00866047" w:rsidRDefault="006A6BA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  <w:vMerge/>
          </w:tcPr>
          <w:p w:rsidR="006A6BAA" w:rsidRPr="00B9588B" w:rsidRDefault="006A6BAA" w:rsidP="006A6B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4.4.5 Tabulación de Datos</w:t>
            </w:r>
          </w:p>
          <w:p w:rsidR="006A6BAA" w:rsidRDefault="006A6BAA" w:rsidP="006A6BAA">
            <w:pPr>
              <w:jc w:val="both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4.4.6 Análisis Estadístico</w:t>
            </w:r>
          </w:p>
          <w:p w:rsidR="006A6BAA" w:rsidRDefault="006A6BAA" w:rsidP="006A6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0"/>
                <w:szCs w:val="20"/>
                <w:lang w:val="es-ES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4.4.6 Análisis Estadístico</w:t>
            </w:r>
          </w:p>
          <w:p w:rsidR="006A6BAA" w:rsidRPr="00BD2BF2" w:rsidRDefault="006A6BAA" w:rsidP="006A6BA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Cambria" w:hAnsi="Cambria" w:cs="Cambria"/>
                <w:sz w:val="20"/>
                <w:szCs w:val="20"/>
                <w:lang w:val="es-ES"/>
              </w:rPr>
              <w:t>4.4.7 Cruce de Variables.</w:t>
            </w:r>
          </w:p>
        </w:tc>
        <w:tc>
          <w:tcPr>
            <w:tcW w:w="1276" w:type="dxa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3"/>
            <w:vAlign w:val="center"/>
          </w:tcPr>
          <w:p w:rsidR="006A6BAA" w:rsidRPr="00BD2BF2" w:rsidRDefault="006A6BA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633B6E" w:rsidRPr="004A1D54" w:rsidTr="00D02BA6">
        <w:tc>
          <w:tcPr>
            <w:tcW w:w="810" w:type="dxa"/>
          </w:tcPr>
          <w:p w:rsidR="00633B6E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E277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633B6E" w:rsidRPr="00866047" w:rsidRDefault="00633B6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6"/>
          </w:tcPr>
          <w:p w:rsidR="00633B6E" w:rsidRPr="00BD2BF2" w:rsidRDefault="00633B6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633B6E" w:rsidRPr="004A1D54" w:rsidTr="00D02BA6">
        <w:tc>
          <w:tcPr>
            <w:tcW w:w="810" w:type="dxa"/>
          </w:tcPr>
          <w:p w:rsidR="00633B6E" w:rsidRPr="00866047" w:rsidRDefault="006A6BA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 w:rsidR="00E277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633B6E" w:rsidRPr="00866047" w:rsidRDefault="00633B6E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6"/>
          </w:tcPr>
          <w:p w:rsidR="00633B6E" w:rsidRPr="00BD2BF2" w:rsidRDefault="00633B6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633B6E" w:rsidRPr="004A1D54" w:rsidTr="00D02BA6">
        <w:tc>
          <w:tcPr>
            <w:tcW w:w="810" w:type="dxa"/>
          </w:tcPr>
          <w:p w:rsidR="00633B6E" w:rsidRPr="00866047" w:rsidRDefault="00E27748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633B6E" w:rsidRPr="00866047" w:rsidRDefault="00633B6E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6"/>
          </w:tcPr>
          <w:p w:rsidR="00633B6E" w:rsidRPr="00BD2BF2" w:rsidRDefault="00633B6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lastRenderedPageBreak/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</w:t>
      </w:r>
      <w:r w:rsidR="004D7143" w:rsidRPr="004A1D54">
        <w:rPr>
          <w:rFonts w:ascii="Times New Roman" w:hAnsi="Times New Roman" w:cs="Times New Roman"/>
          <w:sz w:val="24"/>
          <w:szCs w:val="24"/>
        </w:rPr>
        <w:lastRenderedPageBreak/>
        <w:t xml:space="preserve">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Default="00635125" w:rsidP="0063512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lang w:val="es-ES"/>
        </w:rPr>
      </w:pPr>
      <w:r>
        <w:rPr>
          <w:rFonts w:ascii="Cambria" w:hAnsi="Cambria" w:cs="Cambria"/>
          <w:sz w:val="20"/>
          <w:szCs w:val="20"/>
          <w:lang w:val="es-ES"/>
        </w:rPr>
        <w:t xml:space="preserve">K.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 xml:space="preserve"> – J. </w:t>
      </w:r>
      <w:proofErr w:type="spellStart"/>
      <w:r>
        <w:rPr>
          <w:rFonts w:ascii="Cambria" w:hAnsi="Cambria" w:cs="Cambria"/>
          <w:sz w:val="20"/>
          <w:szCs w:val="20"/>
          <w:lang w:val="es-ES"/>
        </w:rPr>
        <w:t>Laudon</w:t>
      </w:r>
      <w:proofErr w:type="spellEnd"/>
      <w:r>
        <w:rPr>
          <w:rFonts w:ascii="Cambria" w:hAnsi="Cambria" w:cs="Cambria"/>
          <w:sz w:val="20"/>
          <w:szCs w:val="20"/>
          <w:lang w:val="es-ES"/>
        </w:rPr>
        <w:t>. 2009. Sistemas de Información Gerencial “Administración de la empresa</w:t>
      </w:r>
    </w:p>
    <w:p w:rsidR="00D22EFF" w:rsidRDefault="00635125" w:rsidP="0063512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ambria" w:hAnsi="Cambria" w:cs="Cambria"/>
          <w:sz w:val="20"/>
          <w:szCs w:val="20"/>
          <w:lang w:val="es-ES"/>
        </w:rPr>
        <w:t>digital</w:t>
      </w:r>
      <w:proofErr w:type="gramEnd"/>
      <w:r>
        <w:rPr>
          <w:rFonts w:ascii="Cambria" w:hAnsi="Cambria" w:cs="Cambria"/>
          <w:sz w:val="20"/>
          <w:szCs w:val="20"/>
          <w:lang w:val="es-ES"/>
        </w:rPr>
        <w:t>”-X-Edición. Pearson – Prentice Hill. 856 págs.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35125" w:rsidRPr="00635125" w:rsidRDefault="00635125" w:rsidP="0063512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val="es-ES"/>
        </w:rPr>
      </w:pPr>
      <w:r w:rsidRPr="00635125">
        <w:rPr>
          <w:rFonts w:ascii="Cambria" w:hAnsi="Cambria" w:cs="Cambria"/>
          <w:sz w:val="20"/>
          <w:szCs w:val="20"/>
          <w:lang w:val="es-ES"/>
        </w:rPr>
        <w:t>JACOBSON, Reed. EXCEL: MACROS Y VISUAL BASIC, , McGraw-Hill, 2002</w:t>
      </w:r>
    </w:p>
    <w:p w:rsidR="00635125" w:rsidRPr="00635125" w:rsidRDefault="00635125" w:rsidP="0063512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val="es-ES"/>
        </w:rPr>
      </w:pPr>
      <w:r w:rsidRPr="00635125">
        <w:rPr>
          <w:rFonts w:ascii="Cambria" w:hAnsi="Cambria" w:cs="Cambria"/>
          <w:sz w:val="20"/>
          <w:szCs w:val="20"/>
          <w:lang w:val="es-ES"/>
        </w:rPr>
        <w:t>PACHECO CONTRERAS, Johnny. EXCEL GESTION FINANCIERA, Macro, 2011.</w:t>
      </w:r>
    </w:p>
    <w:p w:rsidR="00635125" w:rsidRPr="00635125" w:rsidRDefault="00635125" w:rsidP="0063512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val="es-ES"/>
        </w:rPr>
      </w:pPr>
      <w:r w:rsidRPr="00635125">
        <w:rPr>
          <w:rFonts w:ascii="Cambria" w:hAnsi="Cambria" w:cs="Cambria"/>
          <w:sz w:val="20"/>
          <w:szCs w:val="20"/>
          <w:lang w:val="es-ES"/>
        </w:rPr>
        <w:t>FERRÁN ARANAZ, Magdalena. CURSO DE SPSS PARA WINDOWS, McGraw-Hill, 2002</w:t>
      </w:r>
    </w:p>
    <w:p w:rsidR="00635125" w:rsidRPr="00635125" w:rsidRDefault="00635125" w:rsidP="0063512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Cambria" w:hAnsi="Cambria" w:cs="Cambria"/>
          <w:sz w:val="20"/>
          <w:szCs w:val="20"/>
          <w:lang w:val="es-ES"/>
        </w:rPr>
      </w:pPr>
      <w:r w:rsidRPr="00635125">
        <w:rPr>
          <w:rFonts w:ascii="Cambria" w:hAnsi="Cambria" w:cs="Cambria"/>
          <w:sz w:val="20"/>
          <w:szCs w:val="20"/>
          <w:lang w:val="es-ES"/>
        </w:rPr>
        <w:t>PARDO MERINO Antonio SPSS 11, GUÍA PARA EL ANÁLISIS DE DATOS, McGraw-Hill, 2002</w:t>
      </w:r>
    </w:p>
    <w:p w:rsidR="00D8186F" w:rsidRPr="00635125" w:rsidRDefault="00635125" w:rsidP="00635125">
      <w:pPr>
        <w:pStyle w:val="Prrafodelista"/>
        <w:numPr>
          <w:ilvl w:val="0"/>
          <w:numId w:val="16"/>
        </w:numPr>
        <w:rPr>
          <w:b/>
          <w:szCs w:val="24"/>
        </w:rPr>
      </w:pPr>
      <w:r w:rsidRPr="00635125">
        <w:rPr>
          <w:rFonts w:ascii="Cambria" w:hAnsi="Cambria" w:cs="Cambria"/>
          <w:sz w:val="20"/>
          <w:szCs w:val="20"/>
          <w:lang w:val="es-ES"/>
        </w:rPr>
        <w:t>PÉREZ César TÉCNICAS ESTADÍSTICAS CON SPSS, Prentice Hall, 2001</w:t>
      </w:r>
    </w:p>
    <w:p w:rsidR="00635125" w:rsidRPr="00635125" w:rsidRDefault="00635125" w:rsidP="00635125">
      <w:pPr>
        <w:pStyle w:val="Prrafodelista"/>
        <w:numPr>
          <w:ilvl w:val="0"/>
          <w:numId w:val="16"/>
        </w:numPr>
        <w:rPr>
          <w:b/>
          <w:szCs w:val="24"/>
        </w:rPr>
      </w:pPr>
      <w:r>
        <w:rPr>
          <w:rFonts w:ascii="Cambria" w:hAnsi="Cambria" w:cs="Cambria"/>
          <w:sz w:val="20"/>
          <w:szCs w:val="20"/>
          <w:lang w:val="es-ES"/>
        </w:rPr>
        <w:lastRenderedPageBreak/>
        <w:t>DODGE, Mark; STINSON, Craig Microsoft Excel 2002, McGraw-Hill, 2002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635125" w:rsidP="00C45439">
      <w:pPr>
        <w:spacing w:before="120"/>
        <w:rPr>
          <w:rFonts w:ascii="Cambria" w:hAnsi="Cambria" w:cs="Cambria"/>
          <w:sz w:val="20"/>
          <w:szCs w:val="20"/>
          <w:lang w:val="es-ES"/>
        </w:rPr>
      </w:pPr>
      <w:hyperlink r:id="rId9" w:history="1">
        <w:r w:rsidRPr="00E961A9">
          <w:rPr>
            <w:rStyle w:val="Hipervnculo"/>
            <w:rFonts w:ascii="Cambria" w:hAnsi="Cambria" w:cs="Cambria"/>
            <w:sz w:val="20"/>
            <w:szCs w:val="20"/>
            <w:lang w:val="es-ES"/>
          </w:rPr>
          <w:t>http://www.aulaclic.es/index.htm</w:t>
        </w:r>
      </w:hyperlink>
      <w:r>
        <w:rPr>
          <w:rFonts w:ascii="Cambria" w:hAnsi="Cambria" w:cs="Cambria"/>
          <w:sz w:val="20"/>
          <w:szCs w:val="20"/>
          <w:lang w:val="es-ES"/>
        </w:rPr>
        <w:t>;</w:t>
      </w:r>
    </w:p>
    <w:p w:rsidR="00635125" w:rsidRDefault="00635125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D8186F" w:rsidRDefault="00D8186F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19E" w:rsidRDefault="00F1219E" w:rsidP="00715660">
      <w:pPr>
        <w:spacing w:after="0" w:line="240" w:lineRule="auto"/>
      </w:pPr>
      <w:r>
        <w:separator/>
      </w:r>
    </w:p>
  </w:endnote>
  <w:endnote w:type="continuationSeparator" w:id="0">
    <w:p w:rsidR="00F1219E" w:rsidRDefault="00F1219E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B6E" w:rsidRPr="00316B04" w:rsidRDefault="00633B6E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>Computación Aplicada II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635125" w:rsidRPr="00635125">
      <w:rPr>
        <w:rFonts w:asciiTheme="majorHAnsi" w:eastAsiaTheme="majorEastAsia" w:hAnsiTheme="majorHAnsi" w:cstheme="majorBidi"/>
        <w:i/>
        <w:noProof/>
        <w:lang w:val="es-ES"/>
      </w:rPr>
      <w:t>10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633B6E" w:rsidRDefault="00633B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19E" w:rsidRDefault="00F1219E" w:rsidP="00715660">
      <w:pPr>
        <w:spacing w:after="0" w:line="240" w:lineRule="auto"/>
      </w:pPr>
      <w:r>
        <w:separator/>
      </w:r>
    </w:p>
  </w:footnote>
  <w:footnote w:type="continuationSeparator" w:id="0">
    <w:p w:rsidR="00F1219E" w:rsidRDefault="00F1219E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B6E" w:rsidRPr="008F4BF0" w:rsidRDefault="00633B6E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633B6E" w:rsidRPr="008F4BF0" w:rsidRDefault="00633B6E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633B6E" w:rsidRDefault="00633B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633B6E" w:rsidRDefault="00633B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633B6E" w:rsidRPr="008F4BF0" w:rsidRDefault="00633B6E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633B6E" w:rsidRDefault="00633B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23AF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10DDD"/>
    <w:multiLevelType w:val="hybridMultilevel"/>
    <w:tmpl w:val="4D8C79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C49EC"/>
    <w:multiLevelType w:val="hybridMultilevel"/>
    <w:tmpl w:val="2DDA82DE"/>
    <w:lvl w:ilvl="0" w:tplc="4A54CDE2">
      <w:start w:val="3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816E6"/>
    <w:multiLevelType w:val="hybridMultilevel"/>
    <w:tmpl w:val="5BD43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F47C4A"/>
    <w:multiLevelType w:val="hybridMultilevel"/>
    <w:tmpl w:val="11926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479DE"/>
    <w:multiLevelType w:val="hybridMultilevel"/>
    <w:tmpl w:val="0B02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1379A6"/>
    <w:multiLevelType w:val="hybridMultilevel"/>
    <w:tmpl w:val="DFCAF70E"/>
    <w:lvl w:ilvl="0" w:tplc="4A54CDE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C76CD"/>
    <w:multiLevelType w:val="hybridMultilevel"/>
    <w:tmpl w:val="C8E6B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6"/>
  </w:num>
  <w:num w:numId="5">
    <w:abstractNumId w:val="10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72A90"/>
    <w:rsid w:val="00173D4E"/>
    <w:rsid w:val="001A1AFB"/>
    <w:rsid w:val="001B5530"/>
    <w:rsid w:val="001C7DF7"/>
    <w:rsid w:val="001E6588"/>
    <w:rsid w:val="0020466B"/>
    <w:rsid w:val="0027077D"/>
    <w:rsid w:val="00287019"/>
    <w:rsid w:val="002C649B"/>
    <w:rsid w:val="002C663E"/>
    <w:rsid w:val="002D49A7"/>
    <w:rsid w:val="003000F3"/>
    <w:rsid w:val="00314B7B"/>
    <w:rsid w:val="00316B04"/>
    <w:rsid w:val="00321A84"/>
    <w:rsid w:val="0035430A"/>
    <w:rsid w:val="00364B5B"/>
    <w:rsid w:val="00376F1A"/>
    <w:rsid w:val="003B50F0"/>
    <w:rsid w:val="003B66DD"/>
    <w:rsid w:val="003E22E3"/>
    <w:rsid w:val="003E7E79"/>
    <w:rsid w:val="0041055A"/>
    <w:rsid w:val="004162AB"/>
    <w:rsid w:val="00421541"/>
    <w:rsid w:val="00425636"/>
    <w:rsid w:val="0043150D"/>
    <w:rsid w:val="004444D0"/>
    <w:rsid w:val="00461F73"/>
    <w:rsid w:val="00470EBB"/>
    <w:rsid w:val="004905A6"/>
    <w:rsid w:val="00492E52"/>
    <w:rsid w:val="004A1D54"/>
    <w:rsid w:val="004B2EF9"/>
    <w:rsid w:val="004C14C1"/>
    <w:rsid w:val="004D7143"/>
    <w:rsid w:val="004E33CD"/>
    <w:rsid w:val="00511683"/>
    <w:rsid w:val="00542A2D"/>
    <w:rsid w:val="005570CC"/>
    <w:rsid w:val="005678B7"/>
    <w:rsid w:val="005B2FE8"/>
    <w:rsid w:val="005C0966"/>
    <w:rsid w:val="00603526"/>
    <w:rsid w:val="006040E0"/>
    <w:rsid w:val="00616CF1"/>
    <w:rsid w:val="00620C37"/>
    <w:rsid w:val="00633B6E"/>
    <w:rsid w:val="00635125"/>
    <w:rsid w:val="00674F0E"/>
    <w:rsid w:val="006A6BAA"/>
    <w:rsid w:val="006B1124"/>
    <w:rsid w:val="006D1026"/>
    <w:rsid w:val="006D7309"/>
    <w:rsid w:val="006F1AB6"/>
    <w:rsid w:val="00714675"/>
    <w:rsid w:val="00715660"/>
    <w:rsid w:val="00735BB6"/>
    <w:rsid w:val="00753383"/>
    <w:rsid w:val="00782F47"/>
    <w:rsid w:val="00792303"/>
    <w:rsid w:val="007A72FC"/>
    <w:rsid w:val="007B7155"/>
    <w:rsid w:val="00833D74"/>
    <w:rsid w:val="00866047"/>
    <w:rsid w:val="00872CD3"/>
    <w:rsid w:val="008766BE"/>
    <w:rsid w:val="008822A2"/>
    <w:rsid w:val="008A140B"/>
    <w:rsid w:val="008C5361"/>
    <w:rsid w:val="008E52B9"/>
    <w:rsid w:val="008E7752"/>
    <w:rsid w:val="00913324"/>
    <w:rsid w:val="00920D9B"/>
    <w:rsid w:val="00931C83"/>
    <w:rsid w:val="00993C03"/>
    <w:rsid w:val="009A198A"/>
    <w:rsid w:val="009A2F70"/>
    <w:rsid w:val="009B2477"/>
    <w:rsid w:val="009B621B"/>
    <w:rsid w:val="009D15BD"/>
    <w:rsid w:val="009E236A"/>
    <w:rsid w:val="009E31E3"/>
    <w:rsid w:val="00A10F59"/>
    <w:rsid w:val="00A24B9C"/>
    <w:rsid w:val="00A27743"/>
    <w:rsid w:val="00A36F40"/>
    <w:rsid w:val="00A75DF1"/>
    <w:rsid w:val="00A94384"/>
    <w:rsid w:val="00AA7714"/>
    <w:rsid w:val="00AB7D3F"/>
    <w:rsid w:val="00AE1A39"/>
    <w:rsid w:val="00B131A2"/>
    <w:rsid w:val="00B369E8"/>
    <w:rsid w:val="00B4192E"/>
    <w:rsid w:val="00B52378"/>
    <w:rsid w:val="00B57130"/>
    <w:rsid w:val="00B71ED7"/>
    <w:rsid w:val="00B7332A"/>
    <w:rsid w:val="00B83866"/>
    <w:rsid w:val="00B9588B"/>
    <w:rsid w:val="00BD2BF2"/>
    <w:rsid w:val="00BD4B69"/>
    <w:rsid w:val="00BD5E4A"/>
    <w:rsid w:val="00C0085B"/>
    <w:rsid w:val="00C21C45"/>
    <w:rsid w:val="00C25931"/>
    <w:rsid w:val="00C45439"/>
    <w:rsid w:val="00C46815"/>
    <w:rsid w:val="00C55417"/>
    <w:rsid w:val="00C62AF4"/>
    <w:rsid w:val="00C94D4E"/>
    <w:rsid w:val="00CA33AD"/>
    <w:rsid w:val="00CB1B33"/>
    <w:rsid w:val="00CC5BEE"/>
    <w:rsid w:val="00CC6705"/>
    <w:rsid w:val="00CC6764"/>
    <w:rsid w:val="00CE0BBE"/>
    <w:rsid w:val="00CF0DD5"/>
    <w:rsid w:val="00CF13D2"/>
    <w:rsid w:val="00D02BA6"/>
    <w:rsid w:val="00D109F1"/>
    <w:rsid w:val="00D22EFF"/>
    <w:rsid w:val="00D33A01"/>
    <w:rsid w:val="00D75969"/>
    <w:rsid w:val="00D8186F"/>
    <w:rsid w:val="00D86775"/>
    <w:rsid w:val="00D92F14"/>
    <w:rsid w:val="00DD65BA"/>
    <w:rsid w:val="00E10E70"/>
    <w:rsid w:val="00E16FC7"/>
    <w:rsid w:val="00E27748"/>
    <w:rsid w:val="00E34CF9"/>
    <w:rsid w:val="00E4318F"/>
    <w:rsid w:val="00E54C21"/>
    <w:rsid w:val="00E54EFB"/>
    <w:rsid w:val="00E55F0F"/>
    <w:rsid w:val="00E62664"/>
    <w:rsid w:val="00E83112"/>
    <w:rsid w:val="00E853E1"/>
    <w:rsid w:val="00ED7B99"/>
    <w:rsid w:val="00EE37F9"/>
    <w:rsid w:val="00F0538D"/>
    <w:rsid w:val="00F1219E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ulaclic.es/index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D105-96D7-4594-9C6B-83A95150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10</Pages>
  <Words>2365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50</cp:revision>
  <dcterms:created xsi:type="dcterms:W3CDTF">2015-04-08T17:45:00Z</dcterms:created>
  <dcterms:modified xsi:type="dcterms:W3CDTF">2015-05-11T20:55:00Z</dcterms:modified>
</cp:coreProperties>
</file>