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  <w:b/>
          <w:sz w:val="32"/>
        </w:rPr>
        <w:t>运输成本分析模型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606060"/>
          <w:sz w:val="18"/>
        </w:rPr>
        <w:t>口径：基于公司『物流运输路径智能优化系统』中既定的成本公式与综合评分公式，所有数值来源于历史数据中位数。</w:t>
      </w:r>
    </w:p>
    <w:p/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一、成本模型与公式</w:t>
      </w:r>
    </w:p>
    <w:p>
      <w:r>
        <w:rPr>
          <w:rFonts w:ascii="Microsoft YaHei" w:hAnsi="Microsoft YaHei" w:eastAsia="Microsoft YaHei"/>
          <w:b w:val="0"/>
          <w:sz w:val="20"/>
        </w:rPr>
        <w:t>根据系统流程定义，出口集装箱的单柜总成本构成如下：</w:t>
      </w:r>
    </w:p>
    <w:p>
      <w:pPr>
        <w:jc w:val="center"/>
      </w:pPr>
      <w:r>
        <w:rPr>
          <w:rFonts w:ascii="Microsoft YaHei" w:hAnsi="Microsoft YaHei" w:eastAsia="Microsoft YaHei"/>
          <w:b/>
          <w:color w:val="2E6CA4"/>
          <w:sz w:val="24"/>
        </w:rPr>
        <w:t>总成本 = 出口起运港拖车费 + 海管家费用 + 港杂费 + 海运费 + 其他费用</w:t>
      </w:r>
    </w:p>
    <w:p/>
    <w:p>
      <w:r>
        <w:rPr>
          <w:rFonts w:ascii="Microsoft YaHei" w:hAnsi="Microsoft YaHei" w:eastAsia="Microsoft YaHei"/>
          <w:b w:val="0"/>
          <w:sz w:val="20"/>
        </w:rPr>
        <w:t>其中：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出口起运港拖车费：按 工厂→起运港、运输方式(直拖/海铁/陆改水/工厂自运) 取历史中位数；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海管家费用：舱单费默认 55 CNY/柜 + VGM费默认 5 CNY/柜 = 60 CNY/柜（出口欧洲另加 ICS2 费；可在面板下拉切换 25/35/80 三个档位 或 自定义）；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港杂费：按 始发港×箱型×贸易条款 取推荐标准(中位数)，口径含 FOB/CIF/DDU 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海运费：按 船公司×起运港×目的港×箱型 取合约参考价，币种 USD，统一按 1USD=7.1CNY 换算（系统当前唯一设定参数，可在面板『其他费用』中调整）；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其他费用：用户在面板中手动增加的实际成本费用（如疫情附加费、目的港滞期费等）。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二、综合评分模型</w:t>
      </w:r>
    </w:p>
    <w:p>
      <w:r>
        <w:rPr>
          <w:rFonts w:ascii="Microsoft YaHei" w:hAnsi="Microsoft YaHei" w:eastAsia="Microsoft YaHei"/>
          <w:b w:val="0"/>
          <w:sz w:val="20"/>
        </w:rPr>
        <w:t>系统在『综合排序』偏好下，使用如下评分公式对每条候选路线打分（0-100）：</w:t>
      </w:r>
    </w:p>
    <w:p>
      <w:pPr>
        <w:jc w:val="center"/>
      </w:pPr>
      <w:r>
        <w:rPr>
          <w:rFonts w:ascii="Microsoft YaHei" w:hAnsi="Microsoft YaHei" w:eastAsia="Microsoft YaHei"/>
          <w:b/>
          <w:color w:val="2E6CA4"/>
          <w:sz w:val="22"/>
        </w:rPr>
        <w:t>综合评分 = 100 × (成本归一化 × 0.7 + 时效归一化 × 0.3) + 调整项(产能匹配、风险评估)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成本归一化：以所有候选路线中最低总成本为基准做线性归一化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时效归一化：以所有候选路线中最短运输周期为基准做线性归一化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调整项：工厂产能匹配度（如 PVC 淮北 PVC 70.8% 优于 山东 29.0%）、承运商风险评分（历史合作次数等）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权重 0.7/0.3 为默认，可在面板『运输偏好』中调整</w:t>
      </w:r>
    </w:p>
    <w:p>
      <w:r>
        <w:rPr>
          <w:rFonts w:ascii="Microsoft YaHei" w:hAnsi="Microsoft YaHei" w:eastAsia="Microsoft YaHei"/>
          <w:b w:val="0"/>
          <w:sz w:val="20"/>
        </w:rPr>
        <w:t>实例参考（系统实测）：安徽英科→上海→洛杉矶，综合评分 92.7；同样路线 改 安徽英科→青岛→洛杉矶，得分 92.4（成本升高但产能匹配度变化导致分差）。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三、起运港港杂费基准</w:t>
      </w:r>
    </w:p>
    <w:p>
      <w:r>
        <w:rPr>
          <w:rFonts w:ascii="Microsoft YaHei" w:hAnsi="Microsoft YaHei" w:eastAsia="Microsoft YaHei"/>
          <w:b w:val="0"/>
          <w:sz w:val="20"/>
        </w:rPr>
        <w:t>图5 展示主要起运港 40HQ、FOB 口径下的港杂费中位数：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53564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port_fe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56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icrosoft YaHei" w:hAnsi="Microsoft YaHei" w:eastAsia="Microsoft YaHei"/>
          <w:b w:val="0"/>
          <w:color w:val="606060"/>
          <w:sz w:val="18"/>
        </w:rPr>
        <w:t>【说明】数据来源：『港杂费标准_贸易条款承运商箱型港口_贸易条款汇总』。连云港 5014 最高、海防 2710 最低，相差 2304 CNY/柜；起运港选择对成本影响显著。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四、成本构成示例（系统实测样例）</w:t>
      </w:r>
    </w:p>
    <w:p>
      <w:r>
        <w:rPr>
          <w:rFonts w:ascii="Microsoft YaHei" w:hAnsi="Microsoft YaHei" w:eastAsia="Microsoft YaHei"/>
          <w:b w:val="0"/>
          <w:sz w:val="20"/>
        </w:rPr>
        <w:t>系统实测一笔订单的完整费用分项（PVC手套 1000箱 / 40GP×1 / 安徽英科→上海→洛杉矶 / FOB）：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费用分项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金额(CNY)</w:t>
            </w:r>
          </w:p>
        </w:tc>
        <w:tc>
          <w:tcPr>
            <w:tcW w:type="dxa" w:w="1701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占总计%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工厂到起运港拖车费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1,800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12.1%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海管家费用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0.4%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港杂费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海运费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12,369.6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83.0%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其他费用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2.5%</w:t>
            </w:r>
          </w:p>
        </w:tc>
      </w:tr>
      <w:tr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费用总计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14,909.6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100% (≈2,071 USD)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844"/>
            <w:shd w:val="clear" w:color="auto" w:fill="FFF8E1"/>
          </w:tcPr>
          <w:p>
            <w:r/>
            <w:r>
              <w:rPr>
                <w:rFonts w:ascii="Microsoft YaHei" w:hAnsi="Microsoft YaHei" w:eastAsia="Microsoft YaHei"/>
                <w:b/>
                <w:color w:val="E08A2B"/>
                <w:sz w:val="20"/>
              </w:rPr>
              <w:t>● 观察</w:t>
            </w:r>
          </w:p>
          <w:p>
            <w:r>
              <w:rPr>
                <w:rFonts w:ascii="Microsoft YaHei" w:hAnsi="Microsoft YaHei" w:eastAsia="Microsoft YaHei"/>
                <w:b w:val="0"/>
                <w:sz w:val="20"/>
              </w:rPr>
              <w:t>海运费占单柜总成本的 83%，是最大的成本变量；港杂费 + 拖车费合计仅约 14%，系统优化空间集中在海运费合约谈判与起运港选择。</w:t>
            </w:r>
          </w:p>
        </w:tc>
      </w:tr>
    </w:tbl>
    <w:p/>
    <w:p>
      <w:r>
        <w:rPr>
          <w:rFonts w:ascii="Microsoft YaHei" w:hAnsi="Microsoft YaHei" w:eastAsia="Microsoft YaHei"/>
          <w:b w:val="0"/>
          <w:sz w:val="20"/>
        </w:rPr>
        <w:t>图6 给出另一组以青岛为起运港、至汉堡 40HQ 直拖的成本构成（海运占比约 75%）：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63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cost_stac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3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五、单厂路线成本表（FOB 口径，40HQ）</w:t>
      </w:r>
    </w:p>
    <w:p>
      <w:r>
        <w:rPr>
          <w:rFonts w:ascii="Microsoft YaHei" w:hAnsi="Microsoft YaHei" w:eastAsia="Microsoft YaHei"/>
          <w:b w:val="0"/>
          <w:sz w:val="20"/>
        </w:rPr>
        <w:t>下表汇总了从『拖车费透视』中能拆解出的单厂路线的成本结构（FOB 口径）：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18"/>
        <w:gridCol w:w="1218"/>
        <w:gridCol w:w="1218"/>
        <w:gridCol w:w="1218"/>
        <w:gridCol w:w="1218"/>
        <w:gridCol w:w="1218"/>
        <w:gridCol w:w="1218"/>
        <w:gridCol w:w="1218"/>
      </w:tblGrid>
      <w:tr>
        <w:tc>
          <w:tcPr>
            <w:tcW w:type="dxa" w:w="181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起运港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拖车费-直拖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拖车费-海铁</w:t>
            </w:r>
          </w:p>
        </w:tc>
        <w:tc>
          <w:tcPr>
            <w:tcW w:type="dxa" w:w="794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港杂费</w:t>
            </w:r>
          </w:p>
        </w:tc>
        <w:tc>
          <w:tcPr>
            <w:tcW w:type="dxa" w:w="680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海管家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直拖-小计</w:t>
            </w:r>
          </w:p>
        </w:tc>
        <w:tc>
          <w:tcPr>
            <w:tcW w:type="dxa" w:w="907"/>
            <w:shd w:val="clear" w:color="auto" w:fill="2E6CA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海铁-小计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10175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13135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7300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7049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10009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4050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9060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上海英科心电图医疗产品有限公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1555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2900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4515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2400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5460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九江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3000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8200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10398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11448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4160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10248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7408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宁波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7700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3188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6348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10948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715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3618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4393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日照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2225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3106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5391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BASIC INTERNAT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海防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1916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2710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4686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连云港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2500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5014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6774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7574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安庆英科医疗有限公司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8500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11610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安徽英科医疗用品有限公司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2708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5818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上海英恩国际贸易有限公司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江西英科医疗有限公司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3800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6910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山东英科卫生用品有限公司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2150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5260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山东英彩印刷科技有限公司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5110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英科医疗科技股份有限公司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1850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4960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山东英科医疗制品有限公司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1700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4810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上海英科心电图医疗产品有限公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1900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5010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  <w:tr>
        <w:tc>
          <w:tcPr>
            <w:tcW w:type="dxa" w:w="1814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山东英科医疗科技有限公司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青岛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1360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  <w:tc>
          <w:tcPr>
            <w:tcW w:type="dxa" w:w="794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3050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4470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-</w:t>
            </w:r>
          </w:p>
        </w:tc>
      </w:tr>
    </w:tbl>
    <w:p>
      <w:r>
        <w:rPr>
          <w:rFonts w:ascii="Microsoft YaHei" w:hAnsi="Microsoft YaHei" w:eastAsia="Microsoft YaHei"/>
          <w:b w:val="0"/>
          <w:color w:val="606060"/>
          <w:sz w:val="18"/>
        </w:rPr>
        <w:t>【说明】成本单位：CNY/柜；不含海运费（因目的港不同而异）；海管家=60 CNY/柜（舱单55+VGM5）。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6"/>
        </w:rPr>
        <w:t>六、模型使用与约束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当用户选择『时间最短』时：忽略成本，按 ETA 升序输出；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当用户选择『费用最少』时：忽略时效，按总成本升序输出；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当用户选择『综合排序』时：按 综合评分 = 100×(成本×0.7+时效×0.3)+调整项 排序；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海运费受合约价、市场波动、附加费等多重影响，建议建立『动态海运费变化表格』月度刷新；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0"/>
        </w:rPr>
        <w:t>本模型不编造任何数据；用户可随时通过面板『其他费用』对最终成本进行人工调整。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