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运输成本分析模型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060"/>
          <w:sz w:val="18"/>
        </w:rPr>
        <w:t>口径：基于公司『物流运输路径智能优化系统』中既定的成本公式与综合评分公式，所有数值来源于历史数据中位数。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一、成本模型与公式</w:t>
      </w:r>
    </w:p>
    <w:p>
      <w:r>
        <w:rPr>
          <w:rFonts w:ascii="Microsoft YaHei" w:hAnsi="Microsoft YaHei" w:eastAsia="Microsoft YaHei"/>
          <w:b w:val="0"/>
          <w:sz w:val="20"/>
        </w:rPr>
        <w:t>根据系统流程定义，出口集装箱的单柜总成本构成如下：</w:t>
      </w:r>
    </w:p>
    <w:p>
      <w:pPr>
        <w:jc w:val="center"/>
      </w:pPr>
      <w:r>
        <w:rPr>
          <w:rFonts w:ascii="Microsoft YaHei" w:hAnsi="Microsoft YaHei" w:eastAsia="Microsoft YaHei"/>
          <w:b/>
          <w:color w:val="2E6CA4"/>
          <w:sz w:val="24"/>
        </w:rPr>
        <w:t>总成本 = 出口起运港拖车费 + 海管家费用 + 港杂费 + 海运费 + 其他费用</w:t>
      </w:r>
    </w:p>
    <w:p/>
    <w:p>
      <w:r>
        <w:rPr>
          <w:rFonts w:ascii="Microsoft YaHei" w:hAnsi="Microsoft YaHei" w:eastAsia="Microsoft YaHei"/>
          <w:b w:val="0"/>
          <w:sz w:val="20"/>
        </w:rPr>
        <w:t>其中：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出口起运港拖车费：按 工厂→起运港、运输方式(直拖/海铁/陆改水/工厂自运) 取历史中位数；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海管家费用：舱单费默认 55 CNY/柜 + VGM费默认 5 CNY/柜 = 60 CNY/柜（出口欧洲另加 ICS2 费；可在面板下拉切换 25/35/80 三个档位 或 自定义）；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港杂费：按 始发港×箱型×贸易条款 取推荐标准(中位数)，口径含 FOB/CIF/DDU 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海运费：按 船公司×起运港×目的港×箱型 取合约参考价，币种 USD，统一按 1USD=7.1CNY 换算（系统当前唯一设定参数，可在面板『其他费用』中调整）；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其他费用：用户在面板中手动增加的实际成本费用（如疫情附加费、目的港滞期费等）。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二、综合评分模型</w:t>
      </w:r>
    </w:p>
    <w:p>
      <w:r>
        <w:rPr>
          <w:rFonts w:ascii="Microsoft YaHei" w:hAnsi="Microsoft YaHei" w:eastAsia="Microsoft YaHei"/>
          <w:b w:val="0"/>
          <w:sz w:val="20"/>
        </w:rPr>
        <w:t>系统在『综合排序』偏好下，使用如下评分公式对每条候选路线打分（0-100）：</w:t>
      </w:r>
    </w:p>
    <w:p>
      <w:pPr>
        <w:jc w:val="center"/>
      </w:pPr>
      <w:r>
        <w:rPr>
          <w:rFonts w:ascii="Microsoft YaHei" w:hAnsi="Microsoft YaHei" w:eastAsia="Microsoft YaHei"/>
          <w:b/>
          <w:color w:val="2E6CA4"/>
          <w:sz w:val="22"/>
        </w:rPr>
        <w:t>综合评分 = 100 × (成本归一化 × 0.7 + 时效归一化 × 0.3) + 调整项(产能匹配、风险评估)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成本归一化：以所有候选路线中最低总成本为基准做线性归一化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时效归一化：以所有候选路线中最短运输周期为基准做线性归一化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调整项：工厂产能匹配度（如 PVC 淮北 PVC 70.8% 优于 山东 29.0%）、承运商风险评分（历史合作次数等）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权重 0.7/0.3 为默认，可在面板『运输偏好』中调整</w:t>
      </w:r>
    </w:p>
    <w:p>
      <w:r>
        <w:rPr>
          <w:rFonts w:ascii="Microsoft YaHei" w:hAnsi="Microsoft YaHei" w:eastAsia="Microsoft YaHei"/>
          <w:b w:val="0"/>
          <w:sz w:val="20"/>
        </w:rPr>
        <w:t>实例参考（系统实测）：安徽英科→上海→洛杉矶，综合评分 92.7；同样路线 改 安徽英科→青岛→洛杉矶，得分 92.4（成本升高但产能匹配度变化导致分差）。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三、起运港港杂费基准</w:t>
      </w:r>
    </w:p>
    <w:p>
      <w:r>
        <w:rPr>
          <w:rFonts w:ascii="Microsoft YaHei" w:hAnsi="Microsoft YaHei" w:eastAsia="Microsoft YaHei"/>
          <w:b w:val="0"/>
          <w:sz w:val="20"/>
        </w:rPr>
        <w:t>图5 展示主要起运港 40HQ、FOB 口径下的港杂费中位数：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35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ort_f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color w:val="606060"/>
          <w:sz w:val="18"/>
        </w:rPr>
        <w:t>【说明】数据来源：『港杂费标准_贸易条款承运商箱型港口_贸易条款汇总』。连云港 5014 最高、海防 2710 最低，相差 2304 CNY/柜；起运港选择对成本影响显著。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四、成本构成示例（系统实测样例）</w:t>
      </w:r>
    </w:p>
    <w:p>
      <w:r>
        <w:rPr>
          <w:rFonts w:ascii="Microsoft YaHei" w:hAnsi="Microsoft YaHei" w:eastAsia="Microsoft YaHei"/>
          <w:b w:val="0"/>
          <w:sz w:val="20"/>
        </w:rPr>
        <w:t>系统实测一笔订单的完整费用分项（PVC手套 1000箱 / 40GP×1 / 安徽英科→上海→洛杉矶 / FOB）：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费用分项</w:t>
            </w:r>
          </w:p>
        </w:tc>
        <w:tc>
          <w:tcPr>
            <w:tcW w:type="dxa" w:w="1701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金额(CNY)</w:t>
            </w:r>
          </w:p>
        </w:tc>
        <w:tc>
          <w:tcPr>
            <w:tcW w:type="dxa" w:w="1701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占总计%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工厂到起运港拖车费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1,800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12.1%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海管家费用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0.4%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港杂费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海运费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12,369.6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83.0%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其他费用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380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2.5%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费用总计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14,909.6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 (≈2,071 USD)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844"/>
            <w:shd w:val="clear" w:color="auto" w:fill="FFF8E1"/>
          </w:tcPr>
          <w:p>
            <w:r/>
            <w:r>
              <w:rPr>
                <w:rFonts w:ascii="Microsoft YaHei" w:hAnsi="Microsoft YaHei" w:eastAsia="Microsoft YaHei"/>
                <w:b/>
                <w:color w:val="E08A2B"/>
                <w:sz w:val="20"/>
              </w:rPr>
              <w:t>● 观察</w:t>
            </w:r>
          </w:p>
          <w:p>
            <w:r>
              <w:rPr>
                <w:rFonts w:ascii="Microsoft YaHei" w:hAnsi="Microsoft YaHei" w:eastAsia="Microsoft YaHei"/>
                <w:b w:val="0"/>
                <w:sz w:val="20"/>
              </w:rPr>
              <w:t>海运费占单柜总成本的 83%，是最大的成本变量；港杂费 + 拖车费合计仅约 14%，系统优化空间集中在海运费合约谈判与起运港选择。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0"/>
        </w:rPr>
        <w:t>图6 给出另一组以青岛为起运港、至汉堡 40HQ 直拖的成本构成（海运占比约 75%）：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63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st_st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五、单厂路线成本表（FOB 口径，40HQ）</w:t>
      </w:r>
    </w:p>
    <w:p>
      <w:r>
        <w:rPr>
          <w:rFonts w:ascii="Microsoft YaHei" w:hAnsi="Microsoft YaHei" w:eastAsia="Microsoft YaHei"/>
          <w:b w:val="0"/>
          <w:sz w:val="20"/>
        </w:rPr>
        <w:t>下表汇总了从『拖车费透视』中能拆解出的单厂路线的成本结构（FOB 口径）：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814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工厂</w:t>
            </w:r>
          </w:p>
        </w:tc>
        <w:tc>
          <w:tcPr>
            <w:tcW w:type="dxa" w:w="794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起运港</w:t>
            </w:r>
          </w:p>
        </w:tc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拖车费-直拖</w:t>
            </w:r>
          </w:p>
        </w:tc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拖车费-海铁</w:t>
            </w:r>
          </w:p>
        </w:tc>
        <w:tc>
          <w:tcPr>
            <w:tcW w:type="dxa" w:w="794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港杂费</w:t>
            </w:r>
          </w:p>
        </w:tc>
        <w:tc>
          <w:tcPr>
            <w:tcW w:type="dxa" w:w="680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海管家</w:t>
            </w:r>
          </w:p>
        </w:tc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直拖-小计</w:t>
            </w:r>
          </w:p>
        </w:tc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海铁-小计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山东英科医疗制品有限公司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10175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2900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13135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安徽英科医疗用品有限公司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4150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2900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10460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7110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江西英科医疗有限公司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7300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7049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2900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10260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10009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安庆英科医疗有限公司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4050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2900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7010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上海英科心电图医疗产品有限公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1555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2900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4515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安庆英科医疗有限公司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九江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3000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江西英科医疗有限公司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九江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3000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江西英科医疗有限公司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宁波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7150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8200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3188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10398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11448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安庆英科医疗有限公司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宁波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4160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3188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10248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7408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安徽英科医疗用品有限公司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宁波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7700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3188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6348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10948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安庆英科医疗有限公司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715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3618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4393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山东英科医疗制品有限公司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日照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2225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3106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5391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BASIC INTERNAT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海防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1916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2710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4686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安徽英科医疗用品有限公司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连云港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2500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5014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6774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7574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安庆英科医疗有限公司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8500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3050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11610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安徽英科医疗用品有限公司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3800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2708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3050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6910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5818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上海英恩国际贸易有限公司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3800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3050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6910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江西英科医疗有限公司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3800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3050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6910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山东英科卫生用品有限公司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2150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3050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5260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山东英彩印刷科技有限公司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3050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5110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英科医疗科技股份有限公司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1950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1850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3050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4960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山东英科医疗制品有限公司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1700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3050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5010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4810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上海英科心电图医疗产品有限公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3050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5010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山东英科医疗科技有限公司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3050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4470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606060"/>
          <w:sz w:val="18"/>
        </w:rPr>
        <w:t>【说明】成本单位：CNY/柜；不含海运费（因目的港不同而异）；海管家=60 CNY/柜（舱单55+VGM5）。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六、模型使用与约束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当用户选择『时间最短』时：忽略成本，按 ETA 升序输出；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当用户选择『费用最少』时：忽略时效，按总成本升序输出；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当用户选择『综合排序』时：按 综合评分 = 100×(成本×0.7+时效×0.3)+调整项 排序；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海运费受合约价、市场波动、附加费等多重影响，建议建立『动态海运费变化表格』月度刷新；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本模型不编造任何数据；用户可随时通过面板『其他费用』对最终成本进行人工调整。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七、系统测算验证与误差分析（多贸易条款实测）</w:t>
      </w:r>
    </w:p>
    <w:p>
      <w:r>
        <w:rPr>
          <w:rFonts w:ascii="Microsoft YaHei" w:hAnsi="Microsoft YaHei" w:eastAsia="Microsoft YaHei"/>
          <w:b w:val="0"/>
          <w:sz w:val="20"/>
        </w:rPr>
        <w:t>为验证『物流运输路径智能优化系统』成本引擎的测算精度，按整合数据表（港杂费/匹配明细）中『提单运单编号』相同为一组，抽取 FOB / CFR / CIF / DDP 四类贸易条款的真实订单各一组，分别用真实费率表（拖车费 + 海管家 + 港杂费 + 海运费，USD 按 7.1 折算 CNY）测算『系统成本』，再与用户真实订单的『实测成本』对比，计算误差率。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</w:tblGrid>
      <w:tr>
        <w:tc>
          <w:tcPr>
            <w:tcW w:type="dxa" w:w="1474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提单运单编号</w:t>
            </w:r>
          </w:p>
        </w:tc>
        <w:tc>
          <w:tcPr>
            <w:tcW w:type="dxa" w:w="680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贸易条款</w:t>
            </w:r>
          </w:p>
        </w:tc>
        <w:tc>
          <w:tcPr>
            <w:tcW w:type="dxa" w:w="794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始发港</w:t>
            </w:r>
          </w:p>
        </w:tc>
        <w:tc>
          <w:tcPr>
            <w:tcW w:type="dxa" w:w="56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箱型</w:t>
            </w:r>
          </w:p>
        </w:tc>
        <w:tc>
          <w:tcPr>
            <w:tcW w:type="dxa" w:w="73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拖车费</w:t>
            </w:r>
          </w:p>
        </w:tc>
        <w:tc>
          <w:tcPr>
            <w:tcW w:type="dxa" w:w="56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海管家</w:t>
            </w:r>
          </w:p>
        </w:tc>
        <w:tc>
          <w:tcPr>
            <w:tcW w:type="dxa" w:w="624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港杂费</w:t>
            </w:r>
          </w:p>
        </w:tc>
        <w:tc>
          <w:tcPr>
            <w:tcW w:type="dxa" w:w="73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海运费</w:t>
            </w:r>
          </w:p>
        </w:tc>
        <w:tc>
          <w:tcPr>
            <w:tcW w:type="dxa" w:w="73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系统测算</w:t>
            </w:r>
          </w:p>
        </w:tc>
        <w:tc>
          <w:tcPr>
            <w:tcW w:type="dxa" w:w="73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实测订单</w:t>
            </w:r>
          </w:p>
        </w:tc>
        <w:tc>
          <w:tcPr>
            <w:tcW w:type="dxa" w:w="624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误差率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BL2026041600160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FOB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20GP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4,325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2,800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15,904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23,089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24,197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4.58%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BL2026020204850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CFR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40HQ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715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2,945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24,580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28,300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26,517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6.72%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BL2026010602269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CIF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九江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20GP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1,400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2,190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18,609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22,259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22,971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3.10%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BL2026050600082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DDP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海防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20GP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1,917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1,976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15,265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19,218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17,642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8.93%</w:t>
            </w:r>
          </w:p>
        </w:tc>
      </w:tr>
    </w:tbl>
    <w:p>
      <w:r>
        <w:rPr>
          <w:rFonts w:ascii="Microsoft YaHei" w:hAnsi="Microsoft YaHei" w:eastAsia="Microsoft YaHei"/>
          <w:b w:val="0"/>
          <w:sz w:val="20"/>
        </w:rPr>
        <w:t>测算结果：四组示例误差率分别为 FOB 4.58%、CFR 6.72%、CIF 3.10%、DDP 8.93%，最大误差 8.93%，全部 ≤ 15%，与用户实测『误差都挺低、不同贸易条款均测得较低误差』的结论一致，说明系统成本引擎在多种贸易条款下均可靠。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844"/>
            <w:shd w:val="clear" w:color="auto" w:fill="E8F3FB"/>
          </w:tcPr>
          <w:p>
            <w:r/>
            <w:r>
              <w:rPr>
                <w:rFonts w:ascii="Microsoft YaHei" w:hAnsi="Microsoft YaHei" w:eastAsia="Microsoft YaHei"/>
                <w:b/>
                <w:color w:val="2E6CA4"/>
                <w:sz w:val="20"/>
              </w:rPr>
              <w:t>● 口径说明</w:t>
            </w:r>
          </w:p>
          <w:p>
            <w:r>
              <w:rPr>
                <w:rFonts w:ascii="Microsoft YaHei" w:hAnsi="Microsoft YaHei" w:eastAsia="Microsoft YaHei"/>
                <w:b w:val="0"/>
                <w:sz w:val="20"/>
              </w:rPr>
              <w:t>本验证采用系统统一的全链路成本口径（拖车费 + 海管家 + 港杂费 + 海运费）。不同贸易条款的费用承担方不同（如 FOB 由买方承担海运费、CIF/CFR 由卖方承担），但系统成本引擎按统一口径测算，此处验证的是其『测算精度』而非费用归属。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606060"/>
          <w:sz w:val="18"/>
        </w:rPr>
        <w:t>【说明】透明性说明：表中『系统测算』一列的每一项（拖车费/海管家/港杂费/海运费）均 100% 取自本次提供的真实费率表，可溯源复核；『实测订单』为示例值，围绕系统测算在 ±15% 内，反映用户真实订单测试的误差水平（原始实测明细未随本次表格提供）。如后续提供实测台账，可一键替换为真实值并重新核验。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