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物流路径优化方案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18"/>
        </w:rPr>
        <w:t>目标：在满足客户到货时间与贸易条款的前提下，最小化单柜综合成本（成本权重 0.7，时效权重 0.3）。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一、优化思路（五步）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Step 1：根据产品类型（PVC手套 / 丁腈手套）+ 箱数区间，按『工厂分配区间规则』锁定首选/备选工厂；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Step 2：在候选工厂集合上枚举『工厂→起运港→目的港』全路径；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Step 3：按成本模型（拖车费 + 海管家 + 港杂费 + 海运费 + 其他费用）计算每条路径总成本；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Step 4：按时效（货好时间 + 内陆运输 + 等待船期 + 海运在途 + ETA）剔除不满足客户到货时间的路径；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Step 5：综合评分 = 100×(成本×0.7 + 时效×0.3) + 调整项(产能匹配、风险)，输出 1 个最优 + 3 个备选 + 15 条全部路线对比。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二、工厂分配规则（仅 PVC手套 + 丁腈手套）</w:t>
      </w:r>
    </w:p>
    <w:p>
      <w:r>
        <w:rPr>
          <w:rFonts w:ascii="Microsoft YaHei" w:hAnsi="Microsoft YaHei" w:eastAsia="Microsoft YaHei"/>
          <w:b w:val="0"/>
          <w:sz w:val="20"/>
        </w:rPr>
        <w:t>下表为『工厂分配区间规则 新.xlsx』中 PVC手套与丁腈手套的箱数区间分配规则（系统当前覆盖范围）：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850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物料</w:t>
            </w:r>
          </w:p>
        </w:tc>
        <w:tc>
          <w:tcPr>
            <w:tcW w:type="dxa" w:w="113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箱数区间</w:t>
            </w:r>
          </w:p>
        </w:tc>
        <w:tc>
          <w:tcPr>
            <w:tcW w:type="dxa" w:w="1361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首选工厂</w:t>
            </w:r>
          </w:p>
        </w:tc>
        <w:tc>
          <w:tcPr>
            <w:tcW w:type="dxa" w:w="124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备选1</w:t>
            </w:r>
          </w:p>
        </w:tc>
        <w:tc>
          <w:tcPr>
            <w:tcW w:type="dxa" w:w="124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备选2</w:t>
            </w:r>
          </w:p>
        </w:tc>
        <w:tc>
          <w:tcPr>
            <w:tcW w:type="dxa" w:w="2551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依据</w:t>
            </w:r>
          </w:p>
        </w:tc>
      </w:tr>
      <w:tr>
        <w:tc>
          <w:tcPr>
            <w:tcW w:type="dxa" w:w="51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PVC手套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1-300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淮北PVC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青州PVC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淄博PVC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淮北PVC占比66%, 产能最大, 小批量响应快</w:t>
            </w:r>
          </w:p>
        </w:tc>
      </w:tr>
      <w:tr>
        <w:tc>
          <w:tcPr>
            <w:tcW w:type="dxa" w:w="51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PVC手套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301-1000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淮北PVC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青州PVC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淄博PVC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淮北PVC占比65%, 青州PVC备选23%</w:t>
            </w:r>
          </w:p>
        </w:tc>
      </w:tr>
      <w:tr>
        <w:tc>
          <w:tcPr>
            <w:tcW w:type="dxa" w:w="51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PVC手套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1001-3000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淮北PVC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青州PVC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淄博PVC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淮北PVC占比62%, 3000箱以上青州PVC升至23%</w:t>
            </w:r>
          </w:p>
        </w:tc>
      </w:tr>
      <w:tr>
        <w:tc>
          <w:tcPr>
            <w:tcW w:type="dxa" w:w="51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PVC手套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3001-5000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淮北PVC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青州PVC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淄博PVC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淮北PVC占比52%, 青州PVC升至30%, 大订单淮北仍首选</w:t>
            </w:r>
          </w:p>
        </w:tc>
      </w:tr>
      <w:tr>
        <w:tc>
          <w:tcPr>
            <w:tcW w:type="dxa" w:w="51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PVC手套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5001-10000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淄博PVC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淮北PVC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青州PVC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淄博PVC占比48%反超, 大批量经验最丰富, 淮北PVC备选41%</w:t>
            </w:r>
          </w:p>
        </w:tc>
      </w:tr>
      <w:tr>
        <w:tc>
          <w:tcPr>
            <w:tcW w:type="dxa" w:w="51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丁腈手套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1-300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淮北丁腈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江西丁腈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青州丁腈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淮北丁腈占比50%, 产能最大, 江西丁腈备选32%</w:t>
            </w:r>
          </w:p>
        </w:tc>
      </w:tr>
      <w:tr>
        <w:tc>
          <w:tcPr>
            <w:tcW w:type="dxa" w:w="51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丁腈手套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301-1000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淮北丁腈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江西丁腈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安庆丁腈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淮北丁腈占比42%, 江西丁腈32%, 安庆丁腈16%</w:t>
            </w:r>
          </w:p>
        </w:tc>
      </w:tr>
      <w:tr>
        <w:tc>
          <w:tcPr>
            <w:tcW w:type="dxa" w:w="51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丁腈手套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1001-3000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淮北丁腈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江西丁腈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安庆丁腈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淮北丁腈占比38%, 江西丁腈24%, 安庆丁腈23%(欧洲标准专长)</w:t>
            </w:r>
          </w:p>
        </w:tc>
      </w:tr>
      <w:tr>
        <w:tc>
          <w:tcPr>
            <w:tcW w:type="dxa" w:w="51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丁腈手套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3001-5000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淮北丁腈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安庆丁腈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江西丁腈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淮北丁腈占比46%, 安庆丁腈22%(单行规模大中位1078箱)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606060"/>
          <w:sz w:val="18"/>
        </w:rPr>
        <w:t>【说明】表外其他产品类别（PE手套、轮椅、小日化等）暂不进入系统分配规则；如未来需扩展，规则表需补充对应区间与依据。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三、路径优化示例（系统实测：至洛杉矶）</w:t>
      </w:r>
    </w:p>
    <w:p>
      <w:r>
        <w:rPr>
          <w:rFonts w:ascii="Microsoft YaHei" w:hAnsi="Microsoft YaHei" w:eastAsia="Microsoft YaHei"/>
          <w:b w:val="0"/>
          <w:sz w:val="20"/>
        </w:rPr>
        <w:t>依据系统实测（PVC手套 ×1000箱 / 40GP×1 / 安徽英科 / FOB / 终到港 洛杉矶），15 条候选路线按综合评分排序，最优 4 条如下：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79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124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工厂</w:t>
            </w:r>
          </w:p>
        </w:tc>
        <w:tc>
          <w:tcPr>
            <w:tcW w:type="dxa" w:w="113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起运港</w:t>
            </w:r>
          </w:p>
        </w:tc>
        <w:tc>
          <w:tcPr>
            <w:tcW w:type="dxa" w:w="56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贸易条款</w:t>
            </w:r>
          </w:p>
        </w:tc>
        <w:tc>
          <w:tcPr>
            <w:tcW w:type="dxa" w:w="96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总费用(CNY)</w:t>
            </w:r>
          </w:p>
        </w:tc>
        <w:tc>
          <w:tcPr>
            <w:tcW w:type="dxa" w:w="56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时效</w:t>
            </w:r>
          </w:p>
        </w:tc>
        <w:tc>
          <w:tcPr>
            <w:tcW w:type="dxa" w:w="680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综合评分</w:t>
            </w:r>
          </w:p>
        </w:tc>
        <w:tc>
          <w:tcPr>
            <w:tcW w:type="dxa" w:w="680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价格来源</w:t>
            </w:r>
          </w:p>
        </w:tc>
        <w:tc>
          <w:tcPr>
            <w:tcW w:type="dxa" w:w="56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数据质量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1（最优）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安徽英科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上海/SHANGHAI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FOB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17,674.4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21天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92.7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合约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山东英科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青岛/QINGDAO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FOB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18,064.4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21天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92.6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合约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英科医疗科技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青岛/QINGDAO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FOB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18,064.4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21天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82.6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合约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山东英科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上海/SHANGHAI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FOB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18,214.4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21天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92.5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合约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</w:tbl>
    <w:p>
      <w:r>
        <w:rPr>
          <w:rFonts w:ascii="Microsoft YaHei" w:hAnsi="Microsoft YaHei" w:eastAsia="Microsoft YaHei"/>
          <w:b w:val="0"/>
          <w:sz w:val="20"/>
        </w:rPr>
        <w:t>另外，图11 给出至汉堡（HAMBURG）的候选路线成本构成：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70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ath_o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844"/>
            <w:shd w:val="clear" w:color="auto" w:fill="FFF8E1"/>
          </w:tcPr>
          <w:p>
            <w:r/>
            <w:r>
              <w:rPr>
                <w:rFonts w:ascii="Microsoft YaHei" w:hAnsi="Microsoft YaHei" w:eastAsia="Microsoft YaHei"/>
                <w:b/>
                <w:color w:val="E08A2B"/>
                <w:sz w:val="20"/>
              </w:rPr>
              <w:t>● AI 推荐理由（系统实测）</w:t>
            </w:r>
          </w:p>
          <w:p>
            <w:r>
              <w:rPr>
                <w:rFonts w:ascii="Microsoft YaHei" w:hAnsi="Microsoft YaHei" w:eastAsia="Microsoft YaHei"/>
                <w:b w:val="0"/>
                <w:sz w:val="20"/>
              </w:rPr>
              <w:t>方案1（安徽英科→上海）与方案2（山东英科→青岛）综合评分仅差 0.1 分（92.7 vs 92.6），但方案1总费用更低（17,674.4 CNY vs 18,064.4 CNY），节省 390 元；两者运输周期相同（21 天），ETD/ETA 一致，均采用 MSC 船公司、FOB 条款。方案1工厂 PVC 产能占比 70.8%，远高于方案2的 29.0%，更匹配 PVC 手套需求。综合成本、产能匹配及评分，优先选择方案1。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844"/>
            <w:shd w:val="clear" w:color="auto" w:fill="FFF8E1"/>
          </w:tcPr>
          <w:p>
            <w:r/>
            <w:r>
              <w:rPr>
                <w:rFonts w:ascii="Microsoft YaHei" w:hAnsi="Microsoft YaHei" w:eastAsia="Microsoft YaHei"/>
                <w:b/>
                <w:color w:val="E08A2B"/>
                <w:sz w:val="20"/>
              </w:rPr>
              <w:t>● 风险提示（系统实测）</w:t>
            </w:r>
          </w:p>
          <w:p>
            <w:r>
              <w:rPr>
                <w:rFonts w:ascii="Microsoft YaHei" w:hAnsi="Microsoft YaHei" w:eastAsia="Microsoft YaHei"/>
                <w:b w:val="0"/>
                <w:sz w:val="20"/>
              </w:rPr>
              <w:t>该路线承运商为外仓且历史合作 0 次、自有比 0%，可能存在运输时效或服务质量不确定性。建议提前与物流公司确认运力及应急预案。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844"/>
            <w:shd w:val="clear" w:color="auto" w:fill="FFF8E1"/>
          </w:tcPr>
          <w:p>
            <w:r/>
            <w:r>
              <w:rPr>
                <w:rFonts w:ascii="Microsoft YaHei" w:hAnsi="Microsoft YaHei" w:eastAsia="Microsoft YaHei"/>
                <w:b/>
                <w:color w:val="E08A2B"/>
                <w:sz w:val="20"/>
              </w:rPr>
              <w:t>● 优化建议（系统实测）</w:t>
            </w:r>
          </w:p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可考虑与安徽英科工厂协商批量运输以降低拖车费分摊成本；同时关注 MSC 合约价波动，若海运费下调可进一步压缩总费用。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四、推荐优化动作清单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928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工厂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起运港</w:t>
            </w:r>
          </w:p>
        </w:tc>
        <w:tc>
          <w:tcPr>
            <w:tcW w:type="dxa" w:w="79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原方式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原成本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建议方式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建议成本</w:t>
            </w:r>
          </w:p>
        </w:tc>
        <w:tc>
          <w:tcPr>
            <w:tcW w:type="dxa" w:w="850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节省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安徽英科医疗用品有限公司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直拖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10460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海铁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3350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安庆英科医疗有限公司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宁波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直拖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10248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海铁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7408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2840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安庆英科医疗有限公司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直拖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海铁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2050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安徽英科医疗用品有限公司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直拖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海铁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5818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1091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江西英科医疗有限公司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直拖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10260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海铁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10009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251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山东英科医疗制品有限公司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直拖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海铁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4810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</w:t>
            </w:r>
          </w:p>
        </w:tc>
      </w:tr>
    </w:tbl>
    <w:p>
      <w:r>
        <w:rPr>
          <w:rFonts w:ascii="Microsoft YaHei" w:hAnsi="Microsoft YaHei" w:eastAsia="Microsoft YaHei"/>
          <w:b w:val="0"/>
          <w:sz w:val="20"/>
        </w:rPr>
        <w:t>（以上仅为系统根据历史中位数计算的建议；具体执行时需结合实时报价、舱位、铁路班列可用性、承运商风险评估等。）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五、约束条件应用（对应面板高级选项）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贸易条款：FOB / CIF / DDU 等；不同条款下 港杂费/海运费的归属方不同，影响『系统推荐结果』的费用结构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运输偏好：时间最短 / 费用最少 / 综合排序；切换后 输出排序立即刷新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特殊约束：FDA 资质产品强制选择合规工厂/港口；欧洲订单可优先匹配欧洲标准专长工厂（如安庆丁腈）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844"/>
            <w:shd w:val="clear" w:color="auto" w:fill="E8F3FB"/>
          </w:tcPr>
          <w:p>
            <w:r/>
            <w:r>
              <w:rPr>
                <w:rFonts w:ascii="Microsoft YaHei" w:hAnsi="Microsoft YaHei" w:eastAsia="Microsoft YaHei"/>
                <w:b/>
                <w:color w:val="2E6CA4"/>
                <w:sz w:val="20"/>
              </w:rPr>
              <w:t>● 系统测算精度验证</w:t>
            </w:r>
          </w:p>
          <w:p>
            <w:r>
              <w:rPr>
                <w:rFonts w:ascii="Microsoft YaHei" w:hAnsi="Microsoft YaHei" w:eastAsia="Microsoft YaHei"/>
                <w:b w:val="0"/>
                <w:sz w:val="20"/>
              </w:rPr>
              <w:t>已用 FOB/CFR/CIF/DDP 四类贸易条款的真实订单（按『提单运单编号』分组，取自整合数据表）进行系统测算与实测成本对比，四组误差率均 ≤15%（最大 8.93%），详见《运输成本分析模型》第七章。验证表明系统成本引擎在不同贸易条款下均具备较高测算精度，可作为方案比选的可靠依据。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