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F5D" w:rsidRPr="00481F5D" w:rsidRDefault="00481F5D" w:rsidP="00481F5D">
      <w:pPr>
        <w:shd w:val="clear" w:color="auto" w:fill="BBDDFF"/>
        <w:spacing w:line="270" w:lineRule="atLeast"/>
        <w:outlineLvl w:val="1"/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lang w:eastAsia="fr-FR"/>
        </w:rPr>
      </w:pPr>
      <w:r w:rsidRPr="00481F5D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lang w:eastAsia="fr-FR"/>
        </w:rPr>
        <w:t xml:space="preserve">Séquence n°3 - Composition d'une barrière </w:t>
      </w:r>
      <w:proofErr w:type="spellStart"/>
      <w:r w:rsidRPr="00481F5D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lang w:eastAsia="fr-FR"/>
        </w:rPr>
        <w:t>levante</w:t>
      </w:r>
      <w:proofErr w:type="spellEnd"/>
    </w:p>
    <w:p w:rsidR="00481F5D" w:rsidRPr="00481F5D" w:rsidRDefault="00481F5D" w:rsidP="00481F5D">
      <w:pPr>
        <w:shd w:val="clear" w:color="auto" w:fill="FFFFFF"/>
        <w:spacing w:before="150" w:after="150" w:line="240" w:lineRule="auto"/>
        <w:ind w:left="-150" w:right="-150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</w:pPr>
      <w:r w:rsidRPr="00481F5D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  <w:t>Objectif :</w:t>
      </w:r>
    </w:p>
    <w:p w:rsidR="00481F5D" w:rsidRPr="00481F5D" w:rsidRDefault="00481F5D" w:rsidP="00481F5D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</w:pPr>
      <w:r w:rsidRPr="00481F5D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 xml:space="preserve">L'établissement scolaire a finalement opté pour l'installation d'une barrière </w:t>
      </w:r>
      <w:proofErr w:type="spellStart"/>
      <w:r w:rsidRPr="00481F5D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levante</w:t>
      </w:r>
      <w:proofErr w:type="spellEnd"/>
      <w:r w:rsidRPr="00481F5D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 xml:space="preserve"> automatique de type Miami (BCA). Dans cette séquence vous identifierez les principaux composants d'une barrière </w:t>
      </w:r>
      <w:proofErr w:type="spellStart"/>
      <w:r w:rsidRPr="00481F5D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levante</w:t>
      </w:r>
      <w:proofErr w:type="spellEnd"/>
      <w:r w:rsidRPr="00481F5D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 xml:space="preserve"> afin de vous familiariser avec le système retenu.</w:t>
      </w:r>
    </w:p>
    <w:p w:rsidR="00481F5D" w:rsidRPr="00481F5D" w:rsidRDefault="00481F5D" w:rsidP="00481F5D">
      <w:pPr>
        <w:shd w:val="clear" w:color="auto" w:fill="FFFFFF"/>
        <w:spacing w:before="150" w:after="150" w:line="240" w:lineRule="auto"/>
        <w:ind w:left="-150" w:right="-150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</w:pPr>
      <w:proofErr w:type="gramStart"/>
      <w:r w:rsidRPr="00481F5D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  <w:t>Ressources</w:t>
      </w:r>
      <w:proofErr w:type="gramEnd"/>
      <w:r w:rsidRPr="00481F5D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  <w:t xml:space="preserve"> :</w:t>
      </w:r>
    </w:p>
    <w:p w:rsidR="00481F5D" w:rsidRPr="00481F5D" w:rsidRDefault="00481F5D" w:rsidP="00481F5D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</w:pPr>
      <w:r w:rsidRPr="00481F5D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 xml:space="preserve">Pour vous </w:t>
      </w:r>
      <w:proofErr w:type="spellStart"/>
      <w:r w:rsidRPr="00481F5D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>aidez</w:t>
      </w:r>
      <w:proofErr w:type="spellEnd"/>
      <w:r w:rsidRPr="00481F5D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 xml:space="preserve"> à répondre aux questions de cette séquence, vous disposez des ressources suivantes :</w:t>
      </w:r>
    </w:p>
    <w:p w:rsidR="00481F5D" w:rsidRPr="00481F5D" w:rsidRDefault="00481F5D" w:rsidP="00481F5D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</w:pPr>
      <w:r w:rsidRPr="00481F5D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fr-FR"/>
        </w:rPr>
        <w:drawing>
          <wp:inline distT="0" distB="0" distL="0" distR="0" wp14:anchorId="395FD2BE" wp14:editId="2C2499CB">
            <wp:extent cx="304800" cy="304800"/>
            <wp:effectExtent l="0" t="0" r="0" b="0"/>
            <wp:docPr id="11" name="Image 11" descr="ico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co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tgtFrame="_blank" w:history="1">
        <w:r w:rsidRPr="00481F5D">
          <w:rPr>
            <w:rFonts w:ascii="Arial" w:eastAsia="Times New Roman" w:hAnsi="Arial" w:cs="Arial"/>
            <w:color w:val="000000" w:themeColor="text1"/>
            <w:sz w:val="18"/>
            <w:szCs w:val="18"/>
            <w:lang w:eastAsia="fr-FR"/>
          </w:rPr>
          <w:t>Barrière Miami (BCA)</w:t>
        </w:r>
      </w:hyperlink>
      <w:r w:rsidRPr="00481F5D"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  <w:t xml:space="preserve"> - </w:t>
      </w:r>
    </w:p>
    <w:p w:rsidR="00481F5D" w:rsidRPr="00481F5D" w:rsidRDefault="00481F5D" w:rsidP="00481F5D">
      <w:pPr>
        <w:shd w:val="clear" w:color="auto" w:fill="FFFFFF"/>
        <w:spacing w:before="75" w:line="240" w:lineRule="auto"/>
        <w:rPr>
          <w:rFonts w:ascii="Arial" w:eastAsia="Times New Roman" w:hAnsi="Arial" w:cs="Arial"/>
          <w:color w:val="000000" w:themeColor="text1"/>
          <w:sz w:val="18"/>
          <w:szCs w:val="18"/>
          <w:lang w:eastAsia="fr-FR"/>
        </w:rPr>
      </w:pPr>
      <w:r w:rsidRPr="00481F5D">
        <w:rPr>
          <w:rFonts w:ascii="Arial" w:eastAsia="Times New Roman" w:hAnsi="Arial" w:cs="Arial"/>
          <w:noProof/>
          <w:color w:val="000000" w:themeColor="text1"/>
          <w:sz w:val="18"/>
          <w:szCs w:val="18"/>
          <w:lang w:eastAsia="fr-FR"/>
        </w:rPr>
        <w:drawing>
          <wp:inline distT="0" distB="0" distL="0" distR="0" wp14:anchorId="132CC143" wp14:editId="36FEE9E1">
            <wp:extent cx="304800" cy="304800"/>
            <wp:effectExtent l="0" t="0" r="0" b="0"/>
            <wp:docPr id="10" name="Image 10" descr="ico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coliv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tgtFrame="_blank" w:history="1">
        <w:r w:rsidRPr="00481F5D">
          <w:rPr>
            <w:rFonts w:ascii="Arial" w:eastAsia="Times New Roman" w:hAnsi="Arial" w:cs="Arial"/>
            <w:color w:val="000000" w:themeColor="text1"/>
            <w:sz w:val="18"/>
            <w:szCs w:val="18"/>
            <w:lang w:eastAsia="fr-FR"/>
          </w:rPr>
          <w:t>Les systèmes automatiques</w:t>
        </w:r>
      </w:hyperlink>
    </w:p>
    <w:p w:rsidR="00481F5D" w:rsidRPr="00481F5D" w:rsidRDefault="00481F5D" w:rsidP="00481F5D">
      <w:pPr>
        <w:pBdr>
          <w:bottom w:val="single" w:sz="6" w:space="0" w:color="99CCFF"/>
        </w:pBdr>
        <w:shd w:val="clear" w:color="auto" w:fill="FFFFFF"/>
        <w:spacing w:before="225" w:after="150" w:line="240" w:lineRule="auto"/>
        <w:ind w:left="-150" w:right="-150"/>
        <w:outlineLvl w:val="2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fr-FR"/>
        </w:rPr>
      </w:pPr>
      <w:r w:rsidRPr="00481F5D">
        <w:rPr>
          <w:rFonts w:ascii="Arial" w:eastAsia="Times New Roman" w:hAnsi="Arial" w:cs="Arial"/>
          <w:b/>
          <w:bCs/>
          <w:noProof/>
          <w:color w:val="000000" w:themeColor="text1"/>
          <w:sz w:val="18"/>
          <w:szCs w:val="18"/>
          <w:lang w:eastAsia="fr-FR"/>
        </w:rPr>
        <w:drawing>
          <wp:anchor distT="0" distB="0" distL="0" distR="0" simplePos="0" relativeHeight="251659264" behindDoc="0" locked="0" layoutInCell="1" allowOverlap="0" wp14:anchorId="6C5F1B9A" wp14:editId="17B2CBFF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28600" cy="152400"/>
            <wp:effectExtent l="0" t="0" r="0" b="0"/>
            <wp:wrapSquare wrapText="bothSides"/>
            <wp:docPr id="12" name="Image 12" descr="Bin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no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F5D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fr-FR"/>
        </w:rPr>
        <w:t>Identification et localisation des composants</w:t>
      </w:r>
    </w:p>
    <w:p w:rsidR="00481F5D" w:rsidRPr="00481F5D" w:rsidRDefault="00481F5D" w:rsidP="00481F5D">
      <w:pPr>
        <w:shd w:val="clear" w:color="auto" w:fill="FFFFFF"/>
        <w:spacing w:before="150" w:after="150" w:line="240" w:lineRule="auto"/>
        <w:ind w:left="-150" w:right="-150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</w:pPr>
      <w:r w:rsidRPr="00481F5D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  <w:t>Problématique :</w:t>
      </w:r>
    </w:p>
    <w:p w:rsidR="00481F5D" w:rsidRPr="00481F5D" w:rsidRDefault="00481F5D" w:rsidP="00481F5D">
      <w:pPr>
        <w:shd w:val="clear" w:color="auto" w:fill="DDEEFF"/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fr-FR"/>
        </w:rPr>
      </w:pPr>
      <w:r w:rsidRPr="00481F5D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fr-FR"/>
        </w:rPr>
        <w:t xml:space="preserve">Quels sont les différents éléments qui composent une barrière </w:t>
      </w:r>
      <w:proofErr w:type="spellStart"/>
      <w:r w:rsidRPr="00481F5D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fr-FR"/>
        </w:rPr>
        <w:t>levante</w:t>
      </w:r>
      <w:proofErr w:type="spellEnd"/>
      <w:r w:rsidRPr="00481F5D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fr-FR"/>
        </w:rPr>
        <w:t xml:space="preserve"> ?</w:t>
      </w:r>
    </w:p>
    <w:p w:rsidR="00481F5D" w:rsidRPr="00481F5D" w:rsidRDefault="00481F5D" w:rsidP="00481F5D">
      <w:pPr>
        <w:shd w:val="clear" w:color="auto" w:fill="FFFFFF"/>
        <w:spacing w:before="150" w:after="150" w:line="240" w:lineRule="auto"/>
        <w:ind w:left="-150" w:right="-150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</w:pPr>
      <w:r w:rsidRPr="00481F5D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  <w:t>Questions (travail en binôme) :</w:t>
      </w:r>
    </w:p>
    <w:p w:rsidR="00481F5D" w:rsidRPr="00481F5D" w:rsidRDefault="00481F5D" w:rsidP="00481F5D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  <w:r w:rsidRPr="00481F5D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fr-FR"/>
        </w:rPr>
        <w:t>Q.3.1.</w:t>
      </w:r>
      <w:r w:rsidRPr="00481F5D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  <w:t> Expliquez ce qu'est la lisse et la lyre (description et rôle).</w:t>
      </w:r>
    </w:p>
    <w:p w:rsidR="00481F5D" w:rsidRPr="00481F5D" w:rsidRDefault="00481F5D" w:rsidP="00481F5D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</w:p>
    <w:p w:rsidR="00481F5D" w:rsidRPr="00481F5D" w:rsidRDefault="00481F5D" w:rsidP="00481F5D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</w:p>
    <w:p w:rsidR="00481F5D" w:rsidRPr="00481F5D" w:rsidRDefault="00481F5D" w:rsidP="00481F5D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  <w:r w:rsidRPr="00481F5D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  <w:br/>
      </w:r>
      <w:r w:rsidRPr="00481F5D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fr-FR"/>
        </w:rPr>
        <w:t>Q.3.2.</w:t>
      </w:r>
      <w:r w:rsidRPr="00481F5D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  <w:t> Donnez l'utilité d'une ventouse électromagnétique ou d'un verrou électromécanique.</w:t>
      </w:r>
    </w:p>
    <w:p w:rsidR="00481F5D" w:rsidRPr="00481F5D" w:rsidRDefault="00481F5D" w:rsidP="00481F5D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</w:p>
    <w:p w:rsidR="00481F5D" w:rsidRPr="00481F5D" w:rsidRDefault="00481F5D" w:rsidP="00481F5D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</w:p>
    <w:p w:rsidR="00481F5D" w:rsidRPr="00481F5D" w:rsidRDefault="00481F5D" w:rsidP="00481F5D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  <w:r w:rsidRPr="00481F5D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  <w:br/>
      </w:r>
    </w:p>
    <w:p w:rsidR="00481F5D" w:rsidRPr="00481F5D" w:rsidRDefault="00481F5D" w:rsidP="00481F5D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</w:p>
    <w:p w:rsidR="00481F5D" w:rsidRPr="00481F5D" w:rsidRDefault="00481F5D" w:rsidP="00481F5D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</w:p>
    <w:p w:rsidR="00481F5D" w:rsidRPr="00481F5D" w:rsidRDefault="00481F5D" w:rsidP="00481F5D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  <w:r w:rsidRPr="00481F5D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  <w:br/>
      </w:r>
      <w:r w:rsidR="00F911ED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fr-FR"/>
        </w:rPr>
        <w:t xml:space="preserve">Q.3.3 </w:t>
      </w:r>
      <w:r w:rsidRPr="00481F5D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  <w:t> Complétez le tableau suivant en précisant la localisation des éléments puis recopiez-le sur votre document-réponse.</w:t>
      </w:r>
    </w:p>
    <w:p w:rsidR="00481F5D" w:rsidRPr="00481F5D" w:rsidRDefault="00481F5D" w:rsidP="00481F5D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</w:p>
    <w:tbl>
      <w:tblPr>
        <w:tblW w:w="0" w:type="auto"/>
        <w:tblCellSpacing w:w="15" w:type="dxa"/>
        <w:shd w:val="clear" w:color="auto" w:fill="DDEE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4065"/>
      </w:tblGrid>
      <w:tr w:rsidR="00481F5D" w:rsidRPr="00481F5D" w:rsidTr="007C596D">
        <w:trPr>
          <w:tblCellSpacing w:w="15" w:type="dxa"/>
        </w:trPr>
        <w:tc>
          <w:tcPr>
            <w:tcW w:w="2250" w:type="dxa"/>
            <w:shd w:val="clear" w:color="auto" w:fill="DDEEFF"/>
            <w:vAlign w:val="center"/>
            <w:hideMark/>
          </w:tcPr>
          <w:p w:rsidR="00481F5D" w:rsidRPr="00481F5D" w:rsidRDefault="00481F5D" w:rsidP="007C596D">
            <w:pPr>
              <w:spacing w:before="30"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fr-FR"/>
              </w:rPr>
            </w:pPr>
            <w:r w:rsidRPr="00481F5D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fr-FR"/>
              </w:rPr>
              <w:t>Automobiliste</w:t>
            </w:r>
          </w:p>
        </w:tc>
        <w:tc>
          <w:tcPr>
            <w:tcW w:w="0" w:type="auto"/>
            <w:shd w:val="clear" w:color="auto" w:fill="DDEEFF"/>
            <w:vAlign w:val="center"/>
            <w:hideMark/>
          </w:tcPr>
          <w:p w:rsidR="00481F5D" w:rsidRPr="00481F5D" w:rsidRDefault="00481F5D" w:rsidP="007C596D">
            <w:pPr>
              <w:spacing w:before="30"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fr-FR"/>
              </w:rPr>
            </w:pPr>
            <w:r w:rsidRPr="00481F5D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object w:dxaOrig="40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2" type="#_x0000_t75" style="width:201pt;height:18pt" o:ole="">
                  <v:imagedata r:id="rId9" o:title=""/>
                </v:shape>
                <w:control r:id="rId10" w:name="DefaultOcxName" w:shapeid="_x0000_i1052"/>
              </w:object>
            </w:r>
          </w:p>
        </w:tc>
      </w:tr>
      <w:tr w:rsidR="00481F5D" w:rsidRPr="00481F5D" w:rsidTr="007C596D">
        <w:trPr>
          <w:tblCellSpacing w:w="15" w:type="dxa"/>
        </w:trPr>
        <w:tc>
          <w:tcPr>
            <w:tcW w:w="0" w:type="auto"/>
            <w:shd w:val="clear" w:color="auto" w:fill="DDEEFF"/>
            <w:vAlign w:val="center"/>
            <w:hideMark/>
          </w:tcPr>
          <w:p w:rsidR="00481F5D" w:rsidRPr="00481F5D" w:rsidRDefault="00481F5D" w:rsidP="007C596D">
            <w:pPr>
              <w:spacing w:before="30"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fr-FR"/>
              </w:rPr>
            </w:pPr>
            <w:r w:rsidRPr="00481F5D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fr-FR"/>
              </w:rPr>
              <w:t>Bouton-poussoir</w:t>
            </w:r>
          </w:p>
        </w:tc>
        <w:tc>
          <w:tcPr>
            <w:tcW w:w="0" w:type="auto"/>
            <w:shd w:val="clear" w:color="auto" w:fill="DDEEFF"/>
            <w:vAlign w:val="center"/>
            <w:hideMark/>
          </w:tcPr>
          <w:p w:rsidR="00481F5D" w:rsidRPr="00481F5D" w:rsidRDefault="00481F5D" w:rsidP="007C596D">
            <w:pPr>
              <w:spacing w:before="30"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fr-FR"/>
              </w:rPr>
            </w:pPr>
            <w:r w:rsidRPr="00481F5D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object w:dxaOrig="4020" w:dyaOrig="360">
                <v:shape id="_x0000_i1055" type="#_x0000_t75" style="width:201pt;height:18pt" o:ole="">
                  <v:imagedata r:id="rId9" o:title=""/>
                </v:shape>
                <w:control r:id="rId11" w:name="DefaultOcxName1" w:shapeid="_x0000_i1055"/>
              </w:object>
            </w:r>
          </w:p>
        </w:tc>
      </w:tr>
      <w:tr w:rsidR="00481F5D" w:rsidRPr="00481F5D" w:rsidTr="007C596D">
        <w:trPr>
          <w:tblCellSpacing w:w="15" w:type="dxa"/>
        </w:trPr>
        <w:tc>
          <w:tcPr>
            <w:tcW w:w="0" w:type="auto"/>
            <w:shd w:val="clear" w:color="auto" w:fill="DDEEFF"/>
            <w:vAlign w:val="center"/>
            <w:hideMark/>
          </w:tcPr>
          <w:p w:rsidR="00481F5D" w:rsidRPr="00481F5D" w:rsidRDefault="00481F5D" w:rsidP="007C596D">
            <w:pPr>
              <w:spacing w:before="30"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fr-FR"/>
              </w:rPr>
            </w:pPr>
            <w:r w:rsidRPr="00481F5D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fr-FR"/>
              </w:rPr>
              <w:t>Carte électronique</w:t>
            </w:r>
          </w:p>
        </w:tc>
        <w:tc>
          <w:tcPr>
            <w:tcW w:w="0" w:type="auto"/>
            <w:shd w:val="clear" w:color="auto" w:fill="DDEEFF"/>
            <w:vAlign w:val="center"/>
            <w:hideMark/>
          </w:tcPr>
          <w:p w:rsidR="00481F5D" w:rsidRPr="00481F5D" w:rsidRDefault="00481F5D" w:rsidP="007C596D">
            <w:pPr>
              <w:spacing w:before="30"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fr-FR"/>
              </w:rPr>
            </w:pPr>
            <w:r w:rsidRPr="00481F5D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object w:dxaOrig="4020" w:dyaOrig="360">
                <v:shape id="_x0000_i1058" type="#_x0000_t75" style="width:201pt;height:18pt" o:ole="">
                  <v:imagedata r:id="rId9" o:title=""/>
                </v:shape>
                <w:control r:id="rId12" w:name="DefaultOcxName2" w:shapeid="_x0000_i1058"/>
              </w:object>
            </w:r>
          </w:p>
        </w:tc>
      </w:tr>
      <w:tr w:rsidR="00481F5D" w:rsidRPr="00481F5D" w:rsidTr="007C596D">
        <w:trPr>
          <w:tblCellSpacing w:w="15" w:type="dxa"/>
        </w:trPr>
        <w:tc>
          <w:tcPr>
            <w:tcW w:w="0" w:type="auto"/>
            <w:shd w:val="clear" w:color="auto" w:fill="DDEEFF"/>
            <w:vAlign w:val="center"/>
            <w:hideMark/>
          </w:tcPr>
          <w:p w:rsidR="00481F5D" w:rsidRPr="00481F5D" w:rsidRDefault="00481F5D" w:rsidP="007C596D">
            <w:pPr>
              <w:spacing w:before="30"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fr-FR"/>
              </w:rPr>
            </w:pPr>
            <w:r w:rsidRPr="00481F5D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fr-FR"/>
              </w:rPr>
              <w:t>Cellule photo-électrique</w:t>
            </w:r>
          </w:p>
        </w:tc>
        <w:tc>
          <w:tcPr>
            <w:tcW w:w="0" w:type="auto"/>
            <w:shd w:val="clear" w:color="auto" w:fill="DDEEFF"/>
            <w:vAlign w:val="center"/>
            <w:hideMark/>
          </w:tcPr>
          <w:p w:rsidR="00481F5D" w:rsidRPr="00481F5D" w:rsidRDefault="00481F5D" w:rsidP="007C596D">
            <w:pPr>
              <w:spacing w:before="30"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fr-FR"/>
              </w:rPr>
            </w:pPr>
            <w:r w:rsidRPr="00481F5D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object w:dxaOrig="4020" w:dyaOrig="360">
                <v:shape id="_x0000_i1061" type="#_x0000_t75" style="width:201pt;height:18pt" o:ole="">
                  <v:imagedata r:id="rId9" o:title=""/>
                </v:shape>
                <w:control r:id="rId13" w:name="DefaultOcxName3" w:shapeid="_x0000_i1061"/>
              </w:object>
            </w:r>
          </w:p>
        </w:tc>
      </w:tr>
      <w:tr w:rsidR="00481F5D" w:rsidRPr="00481F5D" w:rsidTr="007C596D">
        <w:trPr>
          <w:tblCellSpacing w:w="15" w:type="dxa"/>
        </w:trPr>
        <w:tc>
          <w:tcPr>
            <w:tcW w:w="0" w:type="auto"/>
            <w:shd w:val="clear" w:color="auto" w:fill="DDEEFF"/>
            <w:vAlign w:val="center"/>
            <w:hideMark/>
          </w:tcPr>
          <w:p w:rsidR="00481F5D" w:rsidRPr="00481F5D" w:rsidRDefault="00481F5D" w:rsidP="007C596D">
            <w:pPr>
              <w:spacing w:before="30"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fr-FR"/>
              </w:rPr>
            </w:pPr>
            <w:r w:rsidRPr="00481F5D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fr-FR"/>
              </w:rPr>
              <w:t>Flash clignotant</w:t>
            </w:r>
          </w:p>
        </w:tc>
        <w:tc>
          <w:tcPr>
            <w:tcW w:w="0" w:type="auto"/>
            <w:shd w:val="clear" w:color="auto" w:fill="DDEEFF"/>
            <w:vAlign w:val="center"/>
            <w:hideMark/>
          </w:tcPr>
          <w:p w:rsidR="00481F5D" w:rsidRPr="00481F5D" w:rsidRDefault="00481F5D" w:rsidP="007C596D">
            <w:pPr>
              <w:spacing w:before="30"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fr-FR"/>
              </w:rPr>
            </w:pPr>
            <w:r w:rsidRPr="00481F5D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object w:dxaOrig="4020" w:dyaOrig="360">
                <v:shape id="_x0000_i1064" type="#_x0000_t75" style="width:201pt;height:18pt" o:ole="">
                  <v:imagedata r:id="rId9" o:title=""/>
                </v:shape>
                <w:control r:id="rId14" w:name="DefaultOcxName4" w:shapeid="_x0000_i1064"/>
              </w:object>
            </w:r>
          </w:p>
        </w:tc>
      </w:tr>
      <w:tr w:rsidR="00481F5D" w:rsidRPr="00481F5D" w:rsidTr="007C596D">
        <w:trPr>
          <w:tblCellSpacing w:w="15" w:type="dxa"/>
        </w:trPr>
        <w:tc>
          <w:tcPr>
            <w:tcW w:w="0" w:type="auto"/>
            <w:shd w:val="clear" w:color="auto" w:fill="DDEEFF"/>
            <w:vAlign w:val="center"/>
            <w:hideMark/>
          </w:tcPr>
          <w:p w:rsidR="00481F5D" w:rsidRPr="00481F5D" w:rsidRDefault="00481F5D" w:rsidP="007C596D">
            <w:pPr>
              <w:spacing w:before="30"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fr-FR"/>
              </w:rPr>
            </w:pPr>
            <w:r w:rsidRPr="00481F5D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fr-FR"/>
              </w:rPr>
              <w:t>Lisse</w:t>
            </w:r>
          </w:p>
        </w:tc>
        <w:tc>
          <w:tcPr>
            <w:tcW w:w="0" w:type="auto"/>
            <w:shd w:val="clear" w:color="auto" w:fill="DDEEFF"/>
            <w:vAlign w:val="center"/>
            <w:hideMark/>
          </w:tcPr>
          <w:p w:rsidR="00481F5D" w:rsidRPr="00481F5D" w:rsidRDefault="00481F5D" w:rsidP="007C596D">
            <w:pPr>
              <w:spacing w:before="30"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fr-FR"/>
              </w:rPr>
            </w:pPr>
            <w:r w:rsidRPr="00481F5D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object w:dxaOrig="4020" w:dyaOrig="360">
                <v:shape id="_x0000_i1067" type="#_x0000_t75" style="width:201pt;height:18pt" o:ole="">
                  <v:imagedata r:id="rId9" o:title=""/>
                </v:shape>
                <w:control r:id="rId15" w:name="DefaultOcxName5" w:shapeid="_x0000_i1067"/>
              </w:object>
            </w:r>
          </w:p>
        </w:tc>
      </w:tr>
      <w:tr w:rsidR="00481F5D" w:rsidRPr="00481F5D" w:rsidTr="007C596D">
        <w:trPr>
          <w:tblCellSpacing w:w="15" w:type="dxa"/>
        </w:trPr>
        <w:tc>
          <w:tcPr>
            <w:tcW w:w="0" w:type="auto"/>
            <w:shd w:val="clear" w:color="auto" w:fill="DDEEFF"/>
            <w:vAlign w:val="center"/>
            <w:hideMark/>
          </w:tcPr>
          <w:p w:rsidR="00481F5D" w:rsidRPr="00481F5D" w:rsidRDefault="00481F5D" w:rsidP="007C596D">
            <w:pPr>
              <w:spacing w:before="30"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fr-FR"/>
              </w:rPr>
            </w:pPr>
            <w:r w:rsidRPr="00481F5D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fr-FR"/>
              </w:rPr>
              <w:t>Moteur électrique</w:t>
            </w:r>
          </w:p>
        </w:tc>
        <w:tc>
          <w:tcPr>
            <w:tcW w:w="0" w:type="auto"/>
            <w:shd w:val="clear" w:color="auto" w:fill="DDEEFF"/>
            <w:vAlign w:val="center"/>
            <w:hideMark/>
          </w:tcPr>
          <w:p w:rsidR="00481F5D" w:rsidRPr="00481F5D" w:rsidRDefault="00481F5D" w:rsidP="007C596D">
            <w:pPr>
              <w:spacing w:before="30"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fr-FR"/>
              </w:rPr>
            </w:pPr>
            <w:r w:rsidRPr="00481F5D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object w:dxaOrig="4020" w:dyaOrig="360">
                <v:shape id="_x0000_i1070" type="#_x0000_t75" style="width:201pt;height:18pt" o:ole="">
                  <v:imagedata r:id="rId9" o:title=""/>
                </v:shape>
                <w:control r:id="rId16" w:name="DefaultOcxName6" w:shapeid="_x0000_i1070"/>
              </w:object>
            </w:r>
          </w:p>
        </w:tc>
      </w:tr>
      <w:tr w:rsidR="00481F5D" w:rsidRPr="00481F5D" w:rsidTr="007C596D">
        <w:trPr>
          <w:tblCellSpacing w:w="15" w:type="dxa"/>
        </w:trPr>
        <w:tc>
          <w:tcPr>
            <w:tcW w:w="0" w:type="auto"/>
            <w:shd w:val="clear" w:color="auto" w:fill="DDEEFF"/>
            <w:vAlign w:val="center"/>
            <w:hideMark/>
          </w:tcPr>
          <w:p w:rsidR="00481F5D" w:rsidRPr="00481F5D" w:rsidRDefault="00481F5D" w:rsidP="007C596D">
            <w:pPr>
              <w:spacing w:before="30"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fr-FR"/>
              </w:rPr>
            </w:pPr>
            <w:r w:rsidRPr="00481F5D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fr-FR"/>
              </w:rPr>
              <w:t>Voiture</w:t>
            </w:r>
          </w:p>
        </w:tc>
        <w:tc>
          <w:tcPr>
            <w:tcW w:w="0" w:type="auto"/>
            <w:shd w:val="clear" w:color="auto" w:fill="DDEEFF"/>
            <w:vAlign w:val="center"/>
            <w:hideMark/>
          </w:tcPr>
          <w:p w:rsidR="00481F5D" w:rsidRPr="00481F5D" w:rsidRDefault="00481F5D" w:rsidP="007C596D">
            <w:pPr>
              <w:spacing w:before="3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</w:p>
        </w:tc>
      </w:tr>
    </w:tbl>
    <w:p w:rsidR="00481F5D" w:rsidRPr="00481F5D" w:rsidRDefault="00481F5D" w:rsidP="00481F5D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</w:p>
    <w:p w:rsidR="00481F5D" w:rsidRPr="00481F5D" w:rsidRDefault="00481F5D" w:rsidP="00481F5D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</w:p>
    <w:p w:rsidR="00481F5D" w:rsidRPr="00481F5D" w:rsidRDefault="00481F5D" w:rsidP="00481F5D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</w:p>
    <w:p w:rsidR="00481F5D" w:rsidRPr="00481F5D" w:rsidRDefault="00481F5D" w:rsidP="00481F5D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</w:p>
    <w:p w:rsidR="00481F5D" w:rsidRPr="00481F5D" w:rsidRDefault="00481F5D" w:rsidP="00481F5D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fr-FR"/>
        </w:rPr>
      </w:pPr>
    </w:p>
    <w:p w:rsidR="00481F5D" w:rsidRPr="00481F5D" w:rsidRDefault="00F911ED" w:rsidP="00481F5D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  <w:r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fr-FR"/>
        </w:rPr>
        <w:lastRenderedPageBreak/>
        <w:t>Q.3.4</w:t>
      </w:r>
      <w:bookmarkStart w:id="0" w:name="_GoBack"/>
      <w:bookmarkEnd w:id="0"/>
      <w:r w:rsidR="00481F5D" w:rsidRPr="00481F5D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fr-FR"/>
        </w:rPr>
        <w:t>.</w:t>
      </w:r>
      <w:r w:rsidR="00481F5D" w:rsidRPr="00481F5D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  <w:t> En vous aidant du tableau de la question précédente, complétez les phrases suivantes puis recopiez-les sur votre document-réponse en écrivant les parties manquantes en vert.</w:t>
      </w:r>
    </w:p>
    <w:p w:rsidR="00481F5D" w:rsidRPr="00481F5D" w:rsidRDefault="00481F5D" w:rsidP="00481F5D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</w:p>
    <w:p w:rsidR="00481F5D" w:rsidRPr="00481F5D" w:rsidRDefault="00481F5D" w:rsidP="00481F5D">
      <w:pPr>
        <w:shd w:val="clear" w:color="auto" w:fill="FFFFFF"/>
        <w:spacing w:after="75" w:line="240" w:lineRule="auto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fr-FR"/>
        </w:rPr>
      </w:pPr>
    </w:p>
    <w:p w:rsidR="00481F5D" w:rsidRPr="00481F5D" w:rsidRDefault="00481F5D" w:rsidP="00481F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 w:themeColor="text1"/>
          <w:sz w:val="18"/>
          <w:szCs w:val="18"/>
        </w:rPr>
      </w:pPr>
      <w:r w:rsidRPr="00481F5D">
        <w:rPr>
          <w:rFonts w:ascii="Arial" w:hAnsi="Arial" w:cs="Arial"/>
          <w:color w:val="000000" w:themeColor="text1"/>
          <w:sz w:val="18"/>
          <w:szCs w:val="18"/>
        </w:rPr>
        <w:object w:dxaOrig="4020" w:dyaOrig="360">
          <v:shape id="_x0000_i1073" type="#_x0000_t75" style="width:129pt;height:18pt" o:ole="">
            <v:imagedata r:id="rId17" o:title=""/>
          </v:shape>
          <w:control r:id="rId18" w:name="DefaultOcxName7" w:shapeid="_x0000_i1073"/>
        </w:object>
      </w:r>
      <w:r w:rsidRPr="00481F5D">
        <w:rPr>
          <w:rFonts w:ascii="Arial" w:hAnsi="Arial" w:cs="Arial"/>
          <w:color w:val="000000" w:themeColor="text1"/>
          <w:sz w:val="18"/>
          <w:szCs w:val="18"/>
        </w:rPr>
        <w:t> </w:t>
      </w:r>
      <w:proofErr w:type="gramStart"/>
      <w:r w:rsidRPr="00481F5D">
        <w:rPr>
          <w:rFonts w:ascii="Arial" w:hAnsi="Arial" w:cs="Arial"/>
          <w:color w:val="000000" w:themeColor="text1"/>
          <w:sz w:val="18"/>
          <w:szCs w:val="18"/>
        </w:rPr>
        <w:t>est</w:t>
      </w:r>
      <w:proofErr w:type="gramEnd"/>
      <w:r w:rsidRPr="00481F5D">
        <w:rPr>
          <w:rFonts w:ascii="Arial" w:hAnsi="Arial" w:cs="Arial"/>
          <w:color w:val="000000" w:themeColor="text1"/>
          <w:sz w:val="18"/>
          <w:szCs w:val="18"/>
        </w:rPr>
        <w:t xml:space="preserve"> un capteur qui </w:t>
      </w:r>
      <w:r w:rsidRPr="00481F5D">
        <w:rPr>
          <w:rFonts w:ascii="Arial" w:hAnsi="Arial" w:cs="Arial"/>
          <w:color w:val="000000" w:themeColor="text1"/>
          <w:sz w:val="18"/>
          <w:szCs w:val="18"/>
        </w:rPr>
        <w:object w:dxaOrig="4020" w:dyaOrig="360">
          <v:shape id="_x0000_i1076" type="#_x0000_t75" style="width:70.5pt;height:18pt" o:ole="">
            <v:imagedata r:id="rId19" o:title=""/>
          </v:shape>
          <w:control r:id="rId20" w:name="DefaultOcxName11" w:shapeid="_x0000_i1076"/>
        </w:object>
      </w:r>
      <w:r w:rsidRPr="00481F5D">
        <w:rPr>
          <w:rFonts w:ascii="Arial" w:hAnsi="Arial" w:cs="Arial"/>
          <w:color w:val="000000" w:themeColor="text1"/>
          <w:sz w:val="18"/>
          <w:szCs w:val="18"/>
        </w:rPr>
        <w:t> un phénomène physique.</w:t>
      </w:r>
    </w:p>
    <w:p w:rsidR="00481F5D" w:rsidRPr="00481F5D" w:rsidRDefault="00481F5D" w:rsidP="00481F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 w:themeColor="text1"/>
          <w:sz w:val="18"/>
          <w:szCs w:val="18"/>
        </w:rPr>
      </w:pPr>
      <w:r w:rsidRPr="00481F5D">
        <w:rPr>
          <w:rFonts w:ascii="Arial" w:hAnsi="Arial" w:cs="Arial"/>
          <w:color w:val="000000" w:themeColor="text1"/>
          <w:sz w:val="18"/>
          <w:szCs w:val="18"/>
        </w:rPr>
        <w:object w:dxaOrig="4020" w:dyaOrig="360">
          <v:shape id="_x0000_i1079" type="#_x0000_t75" style="width:129pt;height:18pt" o:ole="">
            <v:imagedata r:id="rId17" o:title=""/>
          </v:shape>
          <w:control r:id="rId21" w:name="DefaultOcxName21" w:shapeid="_x0000_i1079"/>
        </w:object>
      </w:r>
      <w:r w:rsidRPr="00481F5D">
        <w:rPr>
          <w:rFonts w:ascii="Arial" w:hAnsi="Arial" w:cs="Arial"/>
          <w:color w:val="000000" w:themeColor="text1"/>
          <w:sz w:val="18"/>
          <w:szCs w:val="18"/>
        </w:rPr>
        <w:t> </w:t>
      </w:r>
      <w:proofErr w:type="gramStart"/>
      <w:r w:rsidRPr="00481F5D">
        <w:rPr>
          <w:rFonts w:ascii="Arial" w:hAnsi="Arial" w:cs="Arial"/>
          <w:color w:val="000000" w:themeColor="text1"/>
          <w:sz w:val="18"/>
          <w:szCs w:val="18"/>
        </w:rPr>
        <w:t>est</w:t>
      </w:r>
      <w:proofErr w:type="gramEnd"/>
      <w:r w:rsidRPr="00481F5D">
        <w:rPr>
          <w:rFonts w:ascii="Arial" w:hAnsi="Arial" w:cs="Arial"/>
          <w:color w:val="000000" w:themeColor="text1"/>
          <w:sz w:val="18"/>
          <w:szCs w:val="18"/>
        </w:rPr>
        <w:t xml:space="preserve"> un actionneur qui </w:t>
      </w:r>
      <w:r w:rsidRPr="00481F5D">
        <w:rPr>
          <w:rFonts w:ascii="Arial" w:hAnsi="Arial" w:cs="Arial"/>
          <w:color w:val="000000" w:themeColor="text1"/>
          <w:sz w:val="18"/>
          <w:szCs w:val="18"/>
        </w:rPr>
        <w:object w:dxaOrig="4020" w:dyaOrig="360">
          <v:shape id="_x0000_i1082" type="#_x0000_t75" style="width:70.5pt;height:18pt" o:ole="">
            <v:imagedata r:id="rId19" o:title=""/>
          </v:shape>
          <w:control r:id="rId22" w:name="DefaultOcxName31" w:shapeid="_x0000_i1082"/>
        </w:object>
      </w:r>
      <w:r w:rsidRPr="00481F5D">
        <w:rPr>
          <w:rFonts w:ascii="Arial" w:hAnsi="Arial" w:cs="Arial"/>
          <w:color w:val="000000" w:themeColor="text1"/>
          <w:sz w:val="18"/>
          <w:szCs w:val="18"/>
        </w:rPr>
        <w:t> un phénomène physique.</w:t>
      </w:r>
    </w:p>
    <w:p w:rsidR="00481F5D" w:rsidRPr="00481F5D" w:rsidRDefault="00481F5D" w:rsidP="00481F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 w:themeColor="text1"/>
          <w:sz w:val="18"/>
          <w:szCs w:val="18"/>
        </w:rPr>
      </w:pPr>
      <w:r w:rsidRPr="00481F5D">
        <w:rPr>
          <w:rFonts w:ascii="Arial" w:hAnsi="Arial" w:cs="Arial"/>
          <w:color w:val="000000" w:themeColor="text1"/>
          <w:sz w:val="18"/>
          <w:szCs w:val="18"/>
        </w:rPr>
        <w:object w:dxaOrig="4020" w:dyaOrig="360">
          <v:shape id="_x0000_i1085" type="#_x0000_t75" style="width:129pt;height:18pt" o:ole="">
            <v:imagedata r:id="rId17" o:title=""/>
          </v:shape>
          <w:control r:id="rId23" w:name="DefaultOcxName41" w:shapeid="_x0000_i1085"/>
        </w:object>
      </w:r>
      <w:r w:rsidRPr="00481F5D">
        <w:rPr>
          <w:rFonts w:ascii="Arial" w:hAnsi="Arial" w:cs="Arial"/>
          <w:color w:val="000000" w:themeColor="text1"/>
          <w:sz w:val="18"/>
          <w:szCs w:val="18"/>
        </w:rPr>
        <w:t> </w:t>
      </w:r>
      <w:proofErr w:type="gramStart"/>
      <w:r w:rsidRPr="00481F5D">
        <w:rPr>
          <w:rFonts w:ascii="Arial" w:hAnsi="Arial" w:cs="Arial"/>
          <w:color w:val="000000" w:themeColor="text1"/>
          <w:sz w:val="18"/>
          <w:szCs w:val="18"/>
        </w:rPr>
        <w:t>est</w:t>
      </w:r>
      <w:proofErr w:type="gramEnd"/>
      <w:r w:rsidRPr="00481F5D">
        <w:rPr>
          <w:rFonts w:ascii="Arial" w:hAnsi="Arial" w:cs="Arial"/>
          <w:color w:val="000000" w:themeColor="text1"/>
          <w:sz w:val="18"/>
          <w:szCs w:val="18"/>
        </w:rPr>
        <w:t xml:space="preserve"> un effecteur qui </w:t>
      </w:r>
      <w:r w:rsidRPr="00481F5D">
        <w:rPr>
          <w:rFonts w:ascii="Arial" w:hAnsi="Arial" w:cs="Arial"/>
          <w:color w:val="000000" w:themeColor="text1"/>
          <w:sz w:val="18"/>
          <w:szCs w:val="18"/>
        </w:rPr>
        <w:object w:dxaOrig="4020" w:dyaOrig="360">
          <v:shape id="_x0000_i1088" type="#_x0000_t75" style="width:70.5pt;height:18pt" o:ole="">
            <v:imagedata r:id="rId19" o:title=""/>
          </v:shape>
          <w:control r:id="rId24" w:name="DefaultOcxName51" w:shapeid="_x0000_i1088"/>
        </w:object>
      </w:r>
      <w:r w:rsidRPr="00481F5D">
        <w:rPr>
          <w:rFonts w:ascii="Arial" w:hAnsi="Arial" w:cs="Arial"/>
          <w:color w:val="000000" w:themeColor="text1"/>
          <w:sz w:val="18"/>
          <w:szCs w:val="18"/>
        </w:rPr>
        <w:t> un phénomène physique.</w:t>
      </w:r>
    </w:p>
    <w:p w:rsidR="00A31C5C" w:rsidRPr="00481F5D" w:rsidRDefault="00DE3519">
      <w:pPr>
        <w:rPr>
          <w:color w:val="000000" w:themeColor="text1"/>
        </w:rPr>
      </w:pPr>
    </w:p>
    <w:sectPr w:rsidR="00A31C5C" w:rsidRPr="00481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F5D"/>
    <w:rsid w:val="00405A68"/>
    <w:rsid w:val="00481F5D"/>
    <w:rsid w:val="008D6788"/>
    <w:rsid w:val="00F9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chartTrackingRefBased/>
  <w15:docId w15:val="{02BCD3C2-D718-4803-95F0-44C273B0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0.xml"/><Relationship Id="rId7" Type="http://schemas.openxmlformats.org/officeDocument/2006/relationships/hyperlink" Target="http://www.techno-logique.com/AUT-systemes-automatiques.shtml" TargetMode="External"/><Relationship Id="rId12" Type="http://schemas.openxmlformats.org/officeDocument/2006/relationships/control" Target="activeX/activeX3.xml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control" Target="activeX/activeX2.xml"/><Relationship Id="rId24" Type="http://schemas.openxmlformats.org/officeDocument/2006/relationships/control" Target="activeX/activeX13.xml"/><Relationship Id="rId5" Type="http://schemas.openxmlformats.org/officeDocument/2006/relationships/hyperlink" Target="http://www.techno-logique.com/pdf/TP-barriere-BCA.pdf" TargetMode="External"/><Relationship Id="rId15" Type="http://schemas.openxmlformats.org/officeDocument/2006/relationships/control" Target="activeX/activeX6.xml"/><Relationship Id="rId23" Type="http://schemas.openxmlformats.org/officeDocument/2006/relationships/control" Target="activeX/activeX12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4" Type="http://schemas.openxmlformats.org/officeDocument/2006/relationships/image" Target="media/image1.gif"/><Relationship Id="rId9" Type="http://schemas.openxmlformats.org/officeDocument/2006/relationships/image" Target="media/image4.wmf"/><Relationship Id="rId14" Type="http://schemas.openxmlformats.org/officeDocument/2006/relationships/control" Target="activeX/activeX5.xml"/><Relationship Id="rId22" Type="http://schemas.openxmlformats.org/officeDocument/2006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Philippe FUSILLIER</dc:creator>
  <cp:keywords/>
  <dc:description/>
  <cp:lastModifiedBy>philippe Fusillier</cp:lastModifiedBy>
  <cp:revision>3</cp:revision>
  <dcterms:created xsi:type="dcterms:W3CDTF">2018-07-04T08:38:00Z</dcterms:created>
  <dcterms:modified xsi:type="dcterms:W3CDTF">2019-06-01T07:23:00Z</dcterms:modified>
</cp:coreProperties>
</file>