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32833">
      <w:pPr>
        <w:pBdr>
          <w:bottom w:val="single" w:color="000000" w:sz="18" w:space="1"/>
        </w:pBdr>
        <w:spacing w:after="360"/>
      </w:pPr>
    </w:p>
    <w:p w14:paraId="1BE0007C">
      <w:pPr>
        <w:spacing w:after="200"/>
      </w:pPr>
      <w:r>
        <w:rPr>
          <w:b/>
          <w:sz w:val="52"/>
        </w:rPr>
        <w:t>RMIT UNIVERSITY</w:t>
      </w:r>
    </w:p>
    <w:p w14:paraId="090813B1">
      <w:pPr>
        <w:spacing w:after="2400"/>
      </w:pPr>
      <w:r>
        <w:rPr>
          <w:rFonts w:hint="default"/>
          <w:sz w:val="32"/>
        </w:rPr>
        <w:t>School of Science, Engineering &amp; Technology</w:t>
      </w:r>
    </w:p>
    <w:p w14:paraId="567AB5B8">
      <w:pPr>
        <w:pBdr>
          <w:bottom w:val="single" w:color="000000" w:sz="6" w:space="1"/>
        </w:pBdr>
        <w:spacing w:after="360"/>
      </w:pPr>
    </w:p>
    <w:p w14:paraId="546005AA">
      <w:pPr>
        <w:spacing w:after="400"/>
      </w:pPr>
      <w:r>
        <w:rPr>
          <w:b/>
          <w:sz w:val="52"/>
        </w:rPr>
        <w:t>RMIT Society</w:t>
      </w:r>
      <w:r>
        <w:rPr>
          <w:b/>
          <w:sz w:val="52"/>
        </w:rPr>
        <w:br w:type="textWrapping"/>
      </w:r>
      <w:r>
        <w:rPr>
          <w:b/>
          <w:sz w:val="52"/>
        </w:rPr>
        <w:t>Cloud Solution Architecture</w:t>
      </w:r>
      <w:bookmarkStart w:id="23" w:name="_GoBack"/>
      <w:bookmarkEnd w:id="23"/>
    </w:p>
    <w:p w14:paraId="083912C5">
      <w:r>
        <w:rPr>
          <w:sz w:val="32"/>
        </w:rPr>
        <w:t>Assessment 3 — Cloud Computing</w:t>
      </w:r>
    </w:p>
    <w:p w14:paraId="700A265C">
      <w:pPr>
        <w:spacing w:after="700"/>
      </w:pPr>
    </w:p>
    <w:tbl>
      <w:tblPr>
        <w:tblStyle w:val="12"/>
        <w:tblW w:w="0" w:type="auto"/>
        <w:jc w:val="center"/>
        <w:tblLayout w:type="fixed"/>
        <w:tblCellMar>
          <w:top w:w="0" w:type="dxa"/>
          <w:left w:w="108" w:type="dxa"/>
          <w:bottom w:w="0" w:type="dxa"/>
          <w:right w:w="108" w:type="dxa"/>
        </w:tblCellMar>
      </w:tblPr>
      <w:tblGrid>
        <w:gridCol w:w="4592"/>
        <w:gridCol w:w="4592"/>
      </w:tblGrid>
      <w:tr w14:paraId="50439B30">
        <w:trPr>
          <w:jc w:val="center"/>
        </w:trPr>
        <w:tc>
          <w:tcPr>
            <w:tcW w:w="4592" w:type="dxa"/>
            <w:tcMar>
              <w:top w:w="30" w:type="dxa"/>
              <w:left w:w="30" w:type="dxa"/>
              <w:bottom w:w="30" w:type="dxa"/>
              <w:right w:w="30" w:type="dxa"/>
            </w:tcMar>
          </w:tcPr>
          <w:p w14:paraId="6672D981">
            <w:pPr>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Course code and name:</w:t>
            </w:r>
          </w:p>
        </w:tc>
        <w:tc>
          <w:tcPr>
            <w:tcW w:w="4592" w:type="dxa"/>
            <w:tcMar>
              <w:top w:w="30" w:type="dxa"/>
              <w:left w:w="30" w:type="dxa"/>
              <w:bottom w:w="30" w:type="dxa"/>
              <w:right w:w="30" w:type="dxa"/>
            </w:tcMar>
          </w:tcPr>
          <w:p w14:paraId="59228583">
            <w:pPr>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COSC2980 - Cloud Computing</w:t>
            </w:r>
          </w:p>
        </w:tc>
      </w:tr>
      <w:tr w14:paraId="104F14D9">
        <w:trPr>
          <w:jc w:val="center"/>
        </w:trPr>
        <w:tc>
          <w:tcPr>
            <w:tcW w:w="4592" w:type="dxa"/>
            <w:tcMar>
              <w:top w:w="30" w:type="dxa"/>
              <w:left w:w="30" w:type="dxa"/>
              <w:bottom w:w="30" w:type="dxa"/>
              <w:right w:w="30" w:type="dxa"/>
            </w:tcMar>
          </w:tcPr>
          <w:p w14:paraId="213646F3">
            <w:pPr>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Student name:</w:t>
            </w:r>
          </w:p>
        </w:tc>
        <w:tc>
          <w:tcPr>
            <w:tcW w:w="4592" w:type="dxa"/>
            <w:tcMar>
              <w:top w:w="30" w:type="dxa"/>
              <w:left w:w="30" w:type="dxa"/>
              <w:bottom w:w="30" w:type="dxa"/>
              <w:right w:w="30" w:type="dxa"/>
            </w:tcMar>
          </w:tcPr>
          <w:p w14:paraId="640C1141">
            <w:pPr>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Tran Nam Thai</w:t>
            </w:r>
          </w:p>
        </w:tc>
      </w:tr>
      <w:tr w14:paraId="73AF7EC2">
        <w:trPr>
          <w:jc w:val="center"/>
        </w:trPr>
        <w:tc>
          <w:tcPr>
            <w:tcW w:w="4592" w:type="dxa"/>
            <w:tcMar>
              <w:top w:w="30" w:type="dxa"/>
              <w:left w:w="30" w:type="dxa"/>
              <w:bottom w:w="30" w:type="dxa"/>
              <w:right w:w="30" w:type="dxa"/>
            </w:tcMar>
          </w:tcPr>
          <w:p w14:paraId="75E02A80">
            <w:pPr>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Student ID:</w:t>
            </w:r>
          </w:p>
        </w:tc>
        <w:tc>
          <w:tcPr>
            <w:tcW w:w="4592" w:type="dxa"/>
            <w:tcMar>
              <w:top w:w="30" w:type="dxa"/>
              <w:left w:w="30" w:type="dxa"/>
              <w:bottom w:w="30" w:type="dxa"/>
              <w:right w:w="30" w:type="dxa"/>
            </w:tcMar>
          </w:tcPr>
          <w:p w14:paraId="4223E80E">
            <w:pPr>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S3891890</w:t>
            </w:r>
          </w:p>
        </w:tc>
      </w:tr>
      <w:tr w14:paraId="3A55A206">
        <w:trPr>
          <w:jc w:val="center"/>
        </w:trPr>
        <w:tc>
          <w:tcPr>
            <w:tcW w:w="4592" w:type="dxa"/>
            <w:tcMar>
              <w:top w:w="30" w:type="dxa"/>
              <w:left w:w="30" w:type="dxa"/>
              <w:bottom w:w="30" w:type="dxa"/>
              <w:right w:w="30" w:type="dxa"/>
            </w:tcMar>
          </w:tcPr>
          <w:p w14:paraId="49CBBD83">
            <w:pPr>
              <w:rPr>
                <w:rFonts w:hint="default" w:ascii="Times New Roman Regular" w:hAnsi="Times New Roman Regular" w:cs="Times New Roman Regular"/>
                <w:color w:val="auto"/>
              </w:rPr>
            </w:pPr>
            <w:r>
              <w:rPr>
                <w:rFonts w:hint="default" w:ascii="Times New Roman Regular" w:hAnsi="Times New Roman Regular" w:cs="Times New Roman Regular"/>
                <w:b/>
                <w:color w:val="auto"/>
                <w:lang w:val="en-US"/>
              </w:rPr>
              <w:t>Lecturer</w:t>
            </w:r>
            <w:r>
              <w:rPr>
                <w:rFonts w:hint="default" w:ascii="Times New Roman Regular" w:hAnsi="Times New Roman Regular" w:cs="Times New Roman Regular"/>
                <w:b/>
                <w:color w:val="auto"/>
              </w:rPr>
              <w:t>:</w:t>
            </w:r>
          </w:p>
        </w:tc>
        <w:tc>
          <w:tcPr>
            <w:tcW w:w="4592" w:type="dxa"/>
            <w:tcMar>
              <w:top w:w="30" w:type="dxa"/>
              <w:left w:w="30" w:type="dxa"/>
              <w:bottom w:w="30" w:type="dxa"/>
              <w:right w:w="30" w:type="dxa"/>
            </w:tcMar>
          </w:tcPr>
          <w:p w14:paraId="50F0E411">
            <w:pPr>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Dr.Ginel Dorleon</w:t>
            </w:r>
          </w:p>
        </w:tc>
      </w:tr>
      <w:tr w14:paraId="0C1B219D">
        <w:trPr>
          <w:jc w:val="center"/>
        </w:trPr>
        <w:tc>
          <w:tcPr>
            <w:tcW w:w="4592" w:type="dxa"/>
            <w:tcMar>
              <w:top w:w="30" w:type="dxa"/>
              <w:left w:w="30" w:type="dxa"/>
              <w:bottom w:w="30" w:type="dxa"/>
              <w:right w:w="30" w:type="dxa"/>
            </w:tcMar>
          </w:tcPr>
          <w:p w14:paraId="1716AA49">
            <w:pPr>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Submission date:</w:t>
            </w:r>
          </w:p>
        </w:tc>
        <w:tc>
          <w:tcPr>
            <w:tcW w:w="4592" w:type="dxa"/>
            <w:tcMar>
              <w:top w:w="30" w:type="dxa"/>
              <w:left w:w="30" w:type="dxa"/>
              <w:bottom w:w="30" w:type="dxa"/>
              <w:right w:w="30" w:type="dxa"/>
            </w:tcMar>
          </w:tcPr>
          <w:p w14:paraId="175E0F1E">
            <w:pPr>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Sep 12</w:t>
            </w:r>
            <w:r>
              <w:rPr>
                <w:rFonts w:hint="default" w:ascii="Times New Roman Regular" w:hAnsi="Times New Roman Regular" w:cs="Times New Roman Regular"/>
                <w:color w:val="auto"/>
                <w:vertAlign w:val="superscript"/>
                <w:lang w:val="en-US"/>
              </w:rPr>
              <w:t>th</w:t>
            </w:r>
            <w:r>
              <w:rPr>
                <w:rFonts w:hint="default" w:ascii="Times New Roman Regular" w:hAnsi="Times New Roman Regular" w:cs="Times New Roman Regular"/>
                <w:color w:val="auto"/>
                <w:lang w:val="en-US"/>
              </w:rPr>
              <w:t>, 2026</w:t>
            </w:r>
            <w:r>
              <w:rPr>
                <w:rFonts w:hint="default" w:ascii="Times New Roman Regular" w:hAnsi="Times New Roman Regular" w:cs="Times New Roman Regular"/>
                <w:color w:val="auto"/>
                <w:vertAlign w:val="superscript"/>
                <w:lang w:val="en-US"/>
              </w:rPr>
              <w:t xml:space="preserve"> </w:t>
            </w:r>
          </w:p>
        </w:tc>
      </w:tr>
    </w:tbl>
    <w:p w14:paraId="73602590">
      <w:pPr>
        <w:spacing w:after="1400"/>
      </w:pPr>
    </w:p>
    <w:p w14:paraId="0EC06AA9">
      <w:r>
        <w:br w:type="page"/>
      </w:r>
    </w:p>
    <w:p w14:paraId="54894683">
      <w:pPr>
        <w:sectPr>
          <w:pgSz w:w="11906" w:h="16838"/>
          <w:pgMar w:top="1361" w:right="1361" w:bottom="1361" w:left="1361" w:header="720" w:footer="720" w:gutter="0"/>
          <w:cols w:space="720" w:num="1"/>
          <w:titlePg/>
          <w:docGrid w:linePitch="360" w:charSpace="0"/>
        </w:sectPr>
      </w:pPr>
    </w:p>
    <w:p w14:paraId="66F813D4">
      <w:pPr>
        <w:pStyle w:val="2"/>
      </w:pPr>
      <w:bookmarkStart w:id="0" w:name="_Toc1759739851"/>
      <w:r>
        <w:t>Table of Contents</w:t>
      </w:r>
      <w:bookmarkEnd w:id="0"/>
    </w:p>
    <w:p w14:paraId="53866BF2">
      <w:pPr>
        <w:pStyle w:val="38"/>
        <w:tabs>
          <w:tab w:val="right" w:leader="dot" w:pos="9184"/>
        </w:tabs>
      </w:pPr>
      <w:r>
        <w:fldChar w:fldCharType="begin"/>
      </w:r>
      <w:r>
        <w:instrText xml:space="preserve">TOC \o "1-3" \h \u </w:instrText>
      </w:r>
      <w:r>
        <w:fldChar w:fldCharType="separate"/>
      </w:r>
      <w:r>
        <w:fldChar w:fldCharType="begin"/>
      </w:r>
      <w:r>
        <w:instrText xml:space="preserve"> HYPERLINK \l _Toc1759739851 </w:instrText>
      </w:r>
      <w:r>
        <w:fldChar w:fldCharType="separate"/>
      </w:r>
      <w:r>
        <w:t>Table of Contents</w:t>
      </w:r>
      <w:r>
        <w:tab/>
      </w:r>
      <w:r>
        <w:fldChar w:fldCharType="begin"/>
      </w:r>
      <w:r>
        <w:instrText xml:space="preserve"> PAGEREF _Toc1759739851 \h </w:instrText>
      </w:r>
      <w:r>
        <w:fldChar w:fldCharType="separate"/>
      </w:r>
      <w:r>
        <w:t>i</w:t>
      </w:r>
      <w:r>
        <w:fldChar w:fldCharType="end"/>
      </w:r>
      <w:r>
        <w:fldChar w:fldCharType="end"/>
      </w:r>
    </w:p>
    <w:p w14:paraId="15D24872">
      <w:pPr>
        <w:pStyle w:val="38"/>
        <w:tabs>
          <w:tab w:val="right" w:leader="dot" w:pos="9184"/>
        </w:tabs>
      </w:pPr>
      <w:r>
        <w:fldChar w:fldCharType="begin"/>
      </w:r>
      <w:r>
        <w:instrText xml:space="preserve"> HYPERLINK \l _Toc802889273 </w:instrText>
      </w:r>
      <w:r>
        <w:fldChar w:fldCharType="separate"/>
      </w:r>
      <w:r>
        <w:t>Project links and summary</w:t>
      </w:r>
      <w:r>
        <w:tab/>
      </w:r>
      <w:r>
        <w:fldChar w:fldCharType="begin"/>
      </w:r>
      <w:r>
        <w:instrText xml:space="preserve"> PAGEREF _Toc802889273 \h </w:instrText>
      </w:r>
      <w:r>
        <w:fldChar w:fldCharType="separate"/>
      </w:r>
      <w:r>
        <w:t>1</w:t>
      </w:r>
      <w:r>
        <w:fldChar w:fldCharType="end"/>
      </w:r>
      <w:r>
        <w:fldChar w:fldCharType="end"/>
      </w:r>
    </w:p>
    <w:p w14:paraId="52555588">
      <w:pPr>
        <w:pStyle w:val="38"/>
        <w:tabs>
          <w:tab w:val="right" w:leader="dot" w:pos="9184"/>
        </w:tabs>
      </w:pPr>
      <w:r>
        <w:fldChar w:fldCharType="begin"/>
      </w:r>
      <w:r>
        <w:instrText xml:space="preserve"> HYPERLINK \l _Toc1520257210 </w:instrText>
      </w:r>
      <w:r>
        <w:fldChar w:fldCharType="separate"/>
      </w:r>
      <w:r>
        <w:t>Introduction</w:t>
      </w:r>
      <w:r>
        <w:tab/>
      </w:r>
      <w:r>
        <w:fldChar w:fldCharType="begin"/>
      </w:r>
      <w:r>
        <w:instrText xml:space="preserve"> PAGEREF _Toc1520257210 \h </w:instrText>
      </w:r>
      <w:r>
        <w:fldChar w:fldCharType="separate"/>
      </w:r>
      <w:r>
        <w:t>1</w:t>
      </w:r>
      <w:r>
        <w:fldChar w:fldCharType="end"/>
      </w:r>
      <w:r>
        <w:fldChar w:fldCharType="end"/>
      </w:r>
    </w:p>
    <w:p w14:paraId="37DCDF4E">
      <w:pPr>
        <w:pStyle w:val="39"/>
        <w:tabs>
          <w:tab w:val="right" w:leader="dot" w:pos="9184"/>
        </w:tabs>
      </w:pPr>
      <w:r>
        <w:fldChar w:fldCharType="begin"/>
      </w:r>
      <w:r>
        <w:instrText xml:space="preserve"> HYPERLINK \l _Toc202496464 </w:instrText>
      </w:r>
      <w:r>
        <w:fldChar w:fldCharType="separate"/>
      </w:r>
      <w:r>
        <w:t>Motivation and product view</w:t>
      </w:r>
      <w:r>
        <w:tab/>
      </w:r>
      <w:r>
        <w:fldChar w:fldCharType="begin"/>
      </w:r>
      <w:r>
        <w:instrText xml:space="preserve"> PAGEREF _Toc202496464 \h </w:instrText>
      </w:r>
      <w:r>
        <w:fldChar w:fldCharType="separate"/>
      </w:r>
      <w:r>
        <w:t>1</w:t>
      </w:r>
      <w:r>
        <w:fldChar w:fldCharType="end"/>
      </w:r>
      <w:r>
        <w:fldChar w:fldCharType="end"/>
      </w:r>
    </w:p>
    <w:p w14:paraId="1D9EDD49">
      <w:pPr>
        <w:pStyle w:val="39"/>
        <w:tabs>
          <w:tab w:val="right" w:leader="dot" w:pos="9184"/>
        </w:tabs>
      </w:pPr>
      <w:r>
        <w:fldChar w:fldCharType="begin"/>
      </w:r>
      <w:r>
        <w:instrText xml:space="preserve"> HYPERLINK \l _Toc1743973600 </w:instrText>
      </w:r>
      <w:r>
        <w:fldChar w:fldCharType="separate"/>
      </w:r>
      <w:r>
        <w:t>Beneficiaries</w:t>
      </w:r>
      <w:r>
        <w:tab/>
      </w:r>
      <w:r>
        <w:fldChar w:fldCharType="begin"/>
      </w:r>
      <w:r>
        <w:instrText xml:space="preserve"> PAGEREF _Toc1743973600 \h </w:instrText>
      </w:r>
      <w:r>
        <w:fldChar w:fldCharType="separate"/>
      </w:r>
      <w:r>
        <w:t>2</w:t>
      </w:r>
      <w:r>
        <w:fldChar w:fldCharType="end"/>
      </w:r>
      <w:r>
        <w:fldChar w:fldCharType="end"/>
      </w:r>
    </w:p>
    <w:p w14:paraId="37B5AD43">
      <w:pPr>
        <w:pStyle w:val="38"/>
        <w:tabs>
          <w:tab w:val="right" w:leader="dot" w:pos="9184"/>
        </w:tabs>
      </w:pPr>
      <w:r>
        <w:fldChar w:fldCharType="begin"/>
      </w:r>
      <w:r>
        <w:instrText xml:space="preserve"> HYPERLINK \l _Toc2107480944 </w:instrText>
      </w:r>
      <w:r>
        <w:fldChar w:fldCharType="separate"/>
      </w:r>
      <w:r>
        <w:t>Related work</w:t>
      </w:r>
      <w:r>
        <w:tab/>
      </w:r>
      <w:r>
        <w:fldChar w:fldCharType="begin"/>
      </w:r>
      <w:r>
        <w:instrText xml:space="preserve"> PAGEREF _Toc2107480944 \h </w:instrText>
      </w:r>
      <w:r>
        <w:fldChar w:fldCharType="separate"/>
      </w:r>
      <w:r>
        <w:t>3</w:t>
      </w:r>
      <w:r>
        <w:fldChar w:fldCharType="end"/>
      </w:r>
      <w:r>
        <w:fldChar w:fldCharType="end"/>
      </w:r>
    </w:p>
    <w:p w14:paraId="236F383B">
      <w:pPr>
        <w:pStyle w:val="39"/>
        <w:tabs>
          <w:tab w:val="right" w:leader="dot" w:pos="9184"/>
        </w:tabs>
      </w:pPr>
      <w:r>
        <w:fldChar w:fldCharType="begin"/>
      </w:r>
      <w:r>
        <w:instrText xml:space="preserve"> HYPERLINK \l _Toc1984435837 </w:instrText>
      </w:r>
      <w:r>
        <w:fldChar w:fldCharType="separate"/>
      </w:r>
      <w:r>
        <w:t>Community discussion platforms</w:t>
      </w:r>
      <w:r>
        <w:tab/>
      </w:r>
      <w:r>
        <w:fldChar w:fldCharType="begin"/>
      </w:r>
      <w:r>
        <w:instrText xml:space="preserve"> PAGEREF _Toc1984435837 \h </w:instrText>
      </w:r>
      <w:r>
        <w:fldChar w:fldCharType="separate"/>
      </w:r>
      <w:r>
        <w:t>3</w:t>
      </w:r>
      <w:r>
        <w:fldChar w:fldCharType="end"/>
      </w:r>
      <w:r>
        <w:fldChar w:fldCharType="end"/>
      </w:r>
    </w:p>
    <w:p w14:paraId="7740A2CE">
      <w:pPr>
        <w:pStyle w:val="39"/>
        <w:tabs>
          <w:tab w:val="right" w:leader="dot" w:pos="9184"/>
        </w:tabs>
      </w:pPr>
      <w:r>
        <w:fldChar w:fldCharType="begin"/>
      </w:r>
      <w:r>
        <w:instrText xml:space="preserve"> HYPERLINK \l _Toc1992074549 </w:instrText>
      </w:r>
      <w:r>
        <w:fldChar w:fldCharType="separate"/>
      </w:r>
      <w:r>
        <w:t>Institution-oriented communication platforms</w:t>
      </w:r>
      <w:r>
        <w:tab/>
      </w:r>
      <w:r>
        <w:fldChar w:fldCharType="begin"/>
      </w:r>
      <w:r>
        <w:instrText xml:space="preserve"> PAGEREF _Toc1992074549 \h </w:instrText>
      </w:r>
      <w:r>
        <w:fldChar w:fldCharType="separate"/>
      </w:r>
      <w:r>
        <w:t>3</w:t>
      </w:r>
      <w:r>
        <w:fldChar w:fldCharType="end"/>
      </w:r>
      <w:r>
        <w:fldChar w:fldCharType="end"/>
      </w:r>
    </w:p>
    <w:p w14:paraId="71563C35">
      <w:pPr>
        <w:pStyle w:val="39"/>
        <w:tabs>
          <w:tab w:val="right" w:leader="dot" w:pos="9184"/>
        </w:tabs>
      </w:pPr>
      <w:r>
        <w:fldChar w:fldCharType="begin"/>
      </w:r>
      <w:r>
        <w:instrText xml:space="preserve"> HYPERLINK \l _Toc1526888313 </w:instrText>
      </w:r>
      <w:r>
        <w:fldChar w:fldCharType="separate"/>
      </w:r>
      <w:r>
        <w:t>Design distinction</w:t>
      </w:r>
      <w:r>
        <w:tab/>
      </w:r>
      <w:r>
        <w:fldChar w:fldCharType="begin"/>
      </w:r>
      <w:r>
        <w:instrText xml:space="preserve"> PAGEREF _Toc1526888313 \h </w:instrText>
      </w:r>
      <w:r>
        <w:fldChar w:fldCharType="separate"/>
      </w:r>
      <w:r>
        <w:t>3</w:t>
      </w:r>
      <w:r>
        <w:fldChar w:fldCharType="end"/>
      </w:r>
      <w:r>
        <w:fldChar w:fldCharType="end"/>
      </w:r>
    </w:p>
    <w:p w14:paraId="5ED36A8F">
      <w:pPr>
        <w:pStyle w:val="38"/>
        <w:tabs>
          <w:tab w:val="right" w:leader="dot" w:pos="9184"/>
        </w:tabs>
      </w:pPr>
      <w:r>
        <w:fldChar w:fldCharType="begin"/>
      </w:r>
      <w:r>
        <w:instrText xml:space="preserve"> HYPERLINK \l _Toc2129778588 </w:instrText>
      </w:r>
      <w:r>
        <w:fldChar w:fldCharType="separate"/>
      </w:r>
      <w:r>
        <w:t>System architecture</w:t>
      </w:r>
      <w:r>
        <w:tab/>
      </w:r>
      <w:r>
        <w:fldChar w:fldCharType="begin"/>
      </w:r>
      <w:r>
        <w:instrText xml:space="preserve"> PAGEREF _Toc2129778588 \h </w:instrText>
      </w:r>
      <w:r>
        <w:fldChar w:fldCharType="separate"/>
      </w:r>
      <w:r>
        <w:t>3</w:t>
      </w:r>
      <w:r>
        <w:fldChar w:fldCharType="end"/>
      </w:r>
      <w:r>
        <w:fldChar w:fldCharType="end"/>
      </w:r>
    </w:p>
    <w:p w14:paraId="1D407869">
      <w:pPr>
        <w:pStyle w:val="39"/>
        <w:tabs>
          <w:tab w:val="right" w:leader="dot" w:pos="9184"/>
        </w:tabs>
      </w:pPr>
      <w:r>
        <w:fldChar w:fldCharType="begin"/>
      </w:r>
      <w:r>
        <w:instrText xml:space="preserve"> HYPERLINK \l _Toc931300320 </w:instrText>
      </w:r>
      <w:r>
        <w:fldChar w:fldCharType="separate"/>
      </w:r>
      <w:r>
        <w:t>Architecture reading guide</w:t>
      </w:r>
      <w:r>
        <w:tab/>
      </w:r>
      <w:r>
        <w:fldChar w:fldCharType="begin"/>
      </w:r>
      <w:r>
        <w:instrText xml:space="preserve"> PAGEREF _Toc931300320 \h </w:instrText>
      </w:r>
      <w:r>
        <w:fldChar w:fldCharType="separate"/>
      </w:r>
      <w:r>
        <w:t>3</w:t>
      </w:r>
      <w:r>
        <w:fldChar w:fldCharType="end"/>
      </w:r>
      <w:r>
        <w:fldChar w:fldCharType="end"/>
      </w:r>
    </w:p>
    <w:p w14:paraId="7205B446">
      <w:pPr>
        <w:pStyle w:val="39"/>
        <w:tabs>
          <w:tab w:val="right" w:leader="dot" w:pos="9184"/>
        </w:tabs>
      </w:pPr>
      <w:r>
        <w:fldChar w:fldCharType="begin"/>
      </w:r>
      <w:r>
        <w:instrText xml:space="preserve"> HYPERLINK \l _Toc1503658904 </w:instrText>
      </w:r>
      <w:r>
        <w:fldChar w:fldCharType="separate"/>
      </w:r>
      <w:r>
        <w:t>Core authentication and community request flow</w:t>
      </w:r>
      <w:r>
        <w:tab/>
      </w:r>
      <w:r>
        <w:fldChar w:fldCharType="begin"/>
      </w:r>
      <w:r>
        <w:instrText xml:space="preserve"> PAGEREF _Toc1503658904 \h </w:instrText>
      </w:r>
      <w:r>
        <w:fldChar w:fldCharType="separate"/>
      </w:r>
      <w:r>
        <w:t>4</w:t>
      </w:r>
      <w:r>
        <w:fldChar w:fldCharType="end"/>
      </w:r>
      <w:r>
        <w:fldChar w:fldCharType="end"/>
      </w:r>
    </w:p>
    <w:p w14:paraId="100399D1">
      <w:pPr>
        <w:pStyle w:val="39"/>
        <w:tabs>
          <w:tab w:val="right" w:leader="dot" w:pos="9184"/>
        </w:tabs>
      </w:pPr>
      <w:r>
        <w:fldChar w:fldCharType="begin"/>
      </w:r>
      <w:r>
        <w:instrText xml:space="preserve"> HYPERLINK \l _Toc407641632 </w:instrText>
      </w:r>
      <w:r>
        <w:fldChar w:fldCharType="separate"/>
      </w:r>
      <w:r>
        <w:t>Media upload and verified location flow</w:t>
      </w:r>
      <w:r>
        <w:tab/>
      </w:r>
      <w:r>
        <w:fldChar w:fldCharType="begin"/>
      </w:r>
      <w:r>
        <w:instrText xml:space="preserve"> PAGEREF _Toc407641632 \h </w:instrText>
      </w:r>
      <w:r>
        <w:fldChar w:fldCharType="separate"/>
      </w:r>
      <w:r>
        <w:t>5</w:t>
      </w:r>
      <w:r>
        <w:fldChar w:fldCharType="end"/>
      </w:r>
      <w:r>
        <w:fldChar w:fldCharType="end"/>
      </w:r>
    </w:p>
    <w:p w14:paraId="5FD9AAB0">
      <w:pPr>
        <w:pStyle w:val="39"/>
        <w:tabs>
          <w:tab w:val="right" w:leader="dot" w:pos="9184"/>
        </w:tabs>
      </w:pPr>
      <w:r>
        <w:fldChar w:fldCharType="begin"/>
      </w:r>
      <w:r>
        <w:instrText xml:space="preserve"> HYPERLINK \l _Toc760075094 </w:instrText>
      </w:r>
      <w:r>
        <w:fldChar w:fldCharType="separate"/>
      </w:r>
      <w:r>
        <w:t>Moderation and optional content analysis</w:t>
      </w:r>
      <w:r>
        <w:tab/>
      </w:r>
      <w:r>
        <w:fldChar w:fldCharType="begin"/>
      </w:r>
      <w:r>
        <w:instrText xml:space="preserve"> PAGEREF _Toc760075094 \h </w:instrText>
      </w:r>
      <w:r>
        <w:fldChar w:fldCharType="separate"/>
      </w:r>
      <w:r>
        <w:t>5</w:t>
      </w:r>
      <w:r>
        <w:fldChar w:fldCharType="end"/>
      </w:r>
      <w:r>
        <w:fldChar w:fldCharType="end"/>
      </w:r>
    </w:p>
    <w:p w14:paraId="29207B1A">
      <w:pPr>
        <w:pStyle w:val="39"/>
        <w:tabs>
          <w:tab w:val="right" w:leader="dot" w:pos="9184"/>
        </w:tabs>
      </w:pPr>
      <w:r>
        <w:fldChar w:fldCharType="begin"/>
      </w:r>
      <w:r>
        <w:instrText xml:space="preserve"> HYPERLINK \l _Toc1349372502 </w:instrText>
      </w:r>
      <w:r>
        <w:fldChar w:fldCharType="separate"/>
      </w:r>
      <w:r>
        <w:t>Optional analytics refresh and reporting</w:t>
      </w:r>
      <w:r>
        <w:tab/>
      </w:r>
      <w:r>
        <w:fldChar w:fldCharType="begin"/>
      </w:r>
      <w:r>
        <w:instrText xml:space="preserve"> PAGEREF _Toc1349372502 \h </w:instrText>
      </w:r>
      <w:r>
        <w:fldChar w:fldCharType="separate"/>
      </w:r>
      <w:r>
        <w:t>5</w:t>
      </w:r>
      <w:r>
        <w:fldChar w:fldCharType="end"/>
      </w:r>
      <w:r>
        <w:fldChar w:fldCharType="end"/>
      </w:r>
    </w:p>
    <w:p w14:paraId="0684EA35">
      <w:pPr>
        <w:pStyle w:val="38"/>
        <w:tabs>
          <w:tab w:val="right" w:leader="dot" w:pos="9184"/>
        </w:tabs>
      </w:pPr>
      <w:r>
        <w:fldChar w:fldCharType="begin"/>
      </w:r>
      <w:r>
        <w:instrText xml:space="preserve"> HYPERLINK \l _Toc1476328794 </w:instrText>
      </w:r>
      <w:r>
        <w:fldChar w:fldCharType="separate"/>
      </w:r>
      <w:r>
        <w:t>System descriptions</w:t>
      </w:r>
      <w:r>
        <w:tab/>
      </w:r>
      <w:r>
        <w:fldChar w:fldCharType="begin"/>
      </w:r>
      <w:r>
        <w:instrText xml:space="preserve"> PAGEREF _Toc1476328794 \h </w:instrText>
      </w:r>
      <w:r>
        <w:fldChar w:fldCharType="separate"/>
      </w:r>
      <w:r>
        <w:t>6</w:t>
      </w:r>
      <w:r>
        <w:fldChar w:fldCharType="end"/>
      </w:r>
      <w:r>
        <w:fldChar w:fldCharType="end"/>
      </w:r>
    </w:p>
    <w:p w14:paraId="67A3E209">
      <w:pPr>
        <w:pStyle w:val="38"/>
        <w:tabs>
          <w:tab w:val="right" w:leader="dot" w:pos="9184"/>
        </w:tabs>
      </w:pPr>
      <w:r>
        <w:fldChar w:fldCharType="begin"/>
      </w:r>
      <w:r>
        <w:instrText xml:space="preserve"> HYPERLINK \l _Toc631983320 </w:instrText>
      </w:r>
      <w:r>
        <w:fldChar w:fldCharType="separate"/>
      </w:r>
      <w:r>
        <w:t>Datasets, data structures, and APIs</w:t>
      </w:r>
      <w:r>
        <w:tab/>
      </w:r>
      <w:r>
        <w:fldChar w:fldCharType="begin"/>
      </w:r>
      <w:r>
        <w:instrText xml:space="preserve"> PAGEREF _Toc631983320 \h </w:instrText>
      </w:r>
      <w:r>
        <w:fldChar w:fldCharType="separate"/>
      </w:r>
      <w:r>
        <w:t>7</w:t>
      </w:r>
      <w:r>
        <w:fldChar w:fldCharType="end"/>
      </w:r>
      <w:r>
        <w:fldChar w:fldCharType="end"/>
      </w:r>
    </w:p>
    <w:p w14:paraId="1B45E292">
      <w:pPr>
        <w:pStyle w:val="39"/>
        <w:tabs>
          <w:tab w:val="right" w:leader="dot" w:pos="9184"/>
        </w:tabs>
      </w:pPr>
      <w:r>
        <w:fldChar w:fldCharType="begin"/>
      </w:r>
      <w:r>
        <w:instrText xml:space="preserve"> HYPERLINK \l _Toc289541178 </w:instrText>
      </w:r>
      <w:r>
        <w:fldChar w:fldCharType="separate"/>
      </w:r>
      <w:r>
        <w:t>Data origin and classification</w:t>
      </w:r>
      <w:r>
        <w:tab/>
      </w:r>
      <w:r>
        <w:fldChar w:fldCharType="begin"/>
      </w:r>
      <w:r>
        <w:instrText xml:space="preserve"> PAGEREF _Toc289541178 \h </w:instrText>
      </w:r>
      <w:r>
        <w:fldChar w:fldCharType="separate"/>
      </w:r>
      <w:r>
        <w:t>7</w:t>
      </w:r>
      <w:r>
        <w:fldChar w:fldCharType="end"/>
      </w:r>
      <w:r>
        <w:fldChar w:fldCharType="end"/>
      </w:r>
    </w:p>
    <w:p w14:paraId="7CDA4837">
      <w:pPr>
        <w:pStyle w:val="39"/>
        <w:tabs>
          <w:tab w:val="right" w:leader="dot" w:pos="9184"/>
        </w:tabs>
      </w:pPr>
      <w:r>
        <w:fldChar w:fldCharType="begin"/>
      </w:r>
      <w:r>
        <w:instrText xml:space="preserve"> HYPERLINK \l _Toc120634544 </w:instrText>
      </w:r>
      <w:r>
        <w:fldChar w:fldCharType="separate"/>
      </w:r>
      <w:r>
        <w:t>Logical data invariants</w:t>
      </w:r>
      <w:r>
        <w:tab/>
      </w:r>
      <w:r>
        <w:fldChar w:fldCharType="begin"/>
      </w:r>
      <w:r>
        <w:instrText xml:space="preserve"> PAGEREF _Toc120634544 \h </w:instrText>
      </w:r>
      <w:r>
        <w:fldChar w:fldCharType="separate"/>
      </w:r>
      <w:r>
        <w:t>9</w:t>
      </w:r>
      <w:r>
        <w:fldChar w:fldCharType="end"/>
      </w:r>
      <w:r>
        <w:fldChar w:fldCharType="end"/>
      </w:r>
    </w:p>
    <w:p w14:paraId="647DB7D5">
      <w:pPr>
        <w:pStyle w:val="39"/>
        <w:tabs>
          <w:tab w:val="right" w:leader="dot" w:pos="9184"/>
        </w:tabs>
      </w:pPr>
      <w:r>
        <w:fldChar w:fldCharType="begin"/>
      </w:r>
      <w:r>
        <w:instrText xml:space="preserve"> HYPERLINK \l _Toc280218240 </w:instrText>
      </w:r>
      <w:r>
        <w:fldChar w:fldCharType="separate"/>
      </w:r>
      <w:r>
        <w:t>API catalogue and boundaries</w:t>
      </w:r>
      <w:r>
        <w:tab/>
      </w:r>
      <w:r>
        <w:fldChar w:fldCharType="begin"/>
      </w:r>
      <w:r>
        <w:instrText xml:space="preserve"> PAGEREF _Toc280218240 \h </w:instrText>
      </w:r>
      <w:r>
        <w:fldChar w:fldCharType="separate"/>
      </w:r>
      <w:r>
        <w:t>9</w:t>
      </w:r>
      <w:r>
        <w:fldChar w:fldCharType="end"/>
      </w:r>
      <w:r>
        <w:fldChar w:fldCharType="end"/>
      </w:r>
    </w:p>
    <w:p w14:paraId="4B691F0B">
      <w:pPr>
        <w:pStyle w:val="38"/>
        <w:tabs>
          <w:tab w:val="right" w:leader="dot" w:pos="9184"/>
        </w:tabs>
      </w:pPr>
      <w:r>
        <w:fldChar w:fldCharType="begin"/>
      </w:r>
      <w:r>
        <w:instrText xml:space="preserve"> HYPERLINK \l _Toc196321809 </w:instrText>
      </w:r>
      <w:r>
        <w:fldChar w:fldCharType="separate"/>
      </w:r>
      <w:r>
        <w:t>Evidence register and finalisation checklist</w:t>
      </w:r>
      <w:r>
        <w:tab/>
      </w:r>
      <w:r>
        <w:fldChar w:fldCharType="begin"/>
      </w:r>
      <w:r>
        <w:instrText xml:space="preserve"> PAGEREF _Toc196321809 \h </w:instrText>
      </w:r>
      <w:r>
        <w:fldChar w:fldCharType="separate"/>
      </w:r>
      <w:r>
        <w:t>9</w:t>
      </w:r>
      <w:r>
        <w:fldChar w:fldCharType="end"/>
      </w:r>
      <w:r>
        <w:fldChar w:fldCharType="end"/>
      </w:r>
    </w:p>
    <w:p w14:paraId="6DA0597A">
      <w:pPr>
        <w:pStyle w:val="38"/>
        <w:tabs>
          <w:tab w:val="right" w:leader="dot" w:pos="9184"/>
        </w:tabs>
      </w:pPr>
      <w:r>
        <w:fldChar w:fldCharType="begin"/>
      </w:r>
      <w:r>
        <w:instrText xml:space="preserve"> HYPERLINK \l _Toc1045762071 </w:instrText>
      </w:r>
      <w:r>
        <w:fldChar w:fldCharType="separate"/>
      </w:r>
      <w:r>
        <w:t>Detailed operation sequences</w:t>
      </w:r>
      <w:r>
        <w:tab/>
      </w:r>
      <w:r>
        <w:fldChar w:fldCharType="begin"/>
      </w:r>
      <w:r>
        <w:instrText xml:space="preserve"> PAGEREF _Toc1045762071 \h </w:instrText>
      </w:r>
      <w:r>
        <w:fldChar w:fldCharType="separate"/>
      </w:r>
      <w:r>
        <w:t>10</w:t>
      </w:r>
      <w:r>
        <w:fldChar w:fldCharType="end"/>
      </w:r>
      <w:r>
        <w:fldChar w:fldCharType="end"/>
      </w:r>
    </w:p>
    <w:p w14:paraId="2A38EC71">
      <w:pPr>
        <w:pStyle w:val="38"/>
        <w:tabs>
          <w:tab w:val="right" w:leader="dot" w:pos="9184"/>
        </w:tabs>
      </w:pPr>
      <w:r>
        <w:fldChar w:fldCharType="begin"/>
      </w:r>
      <w:r>
        <w:instrText xml:space="preserve"> HYPERLINK \l _Toc1116960249 </w:instrText>
      </w:r>
      <w:r>
        <w:fldChar w:fldCharType="separate"/>
      </w:r>
      <w:r>
        <w:t>References</w:t>
      </w:r>
      <w:r>
        <w:tab/>
      </w:r>
      <w:r>
        <w:fldChar w:fldCharType="begin"/>
      </w:r>
      <w:r>
        <w:instrText xml:space="preserve"> PAGEREF _Toc1116960249 \h </w:instrText>
      </w:r>
      <w:r>
        <w:fldChar w:fldCharType="separate"/>
      </w:r>
      <w:r>
        <w:t>12</w:t>
      </w:r>
      <w:r>
        <w:fldChar w:fldCharType="end"/>
      </w:r>
      <w:r>
        <w:fldChar w:fldCharType="end"/>
      </w:r>
    </w:p>
    <w:p w14:paraId="34B1FF21">
      <w:r>
        <w:fldChar w:fldCharType="end"/>
      </w:r>
    </w:p>
    <w:p w14:paraId="55EBDF91">
      <w:r>
        <w:br w:type="page"/>
      </w:r>
    </w:p>
    <w:p w14:paraId="1FA4D3B8">
      <w:pPr>
        <w:sectPr>
          <w:footerReference r:id="rId6" w:type="first"/>
          <w:footerReference r:id="rId5" w:type="default"/>
          <w:type w:val="continuous"/>
          <w:pgSz w:w="11906" w:h="16838"/>
          <w:pgMar w:top="1361" w:right="1361" w:bottom="1361" w:left="1361" w:header="720" w:footer="720" w:gutter="0"/>
          <w:pgNumType w:fmt="lowerRoman" w:start="1"/>
          <w:cols w:space="720" w:num="1"/>
          <w:titlePg/>
          <w:docGrid w:linePitch="360" w:charSpace="0"/>
        </w:sectPr>
      </w:pPr>
    </w:p>
    <w:p w14:paraId="5C1E4A52">
      <w:pPr>
        <w:pStyle w:val="2"/>
      </w:pPr>
      <w:bookmarkStart w:id="1" w:name="_Toc802889273"/>
      <w:r>
        <w:t>Project links and summary</w:t>
      </w:r>
      <w:bookmarkEnd w:id="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92"/>
        <w:gridCol w:w="4681"/>
      </w:tblGrid>
      <w:tr w14:paraId="1DD5BB76">
        <w:trPr>
          <w:tblHeader/>
          <w:jc w:val="center"/>
        </w:trPr>
        <w:tc>
          <w:tcPr>
            <w:tcW w:w="4592" w:type="dxa"/>
            <w:shd w:val="clear" w:color="auto" w:fill="E7E6E6"/>
            <w:tcMar>
              <w:top w:w="70" w:type="dxa"/>
              <w:left w:w="70" w:type="dxa"/>
              <w:bottom w:w="70" w:type="dxa"/>
              <w:right w:w="70" w:type="dxa"/>
            </w:tcMar>
            <w:vAlign w:val="top"/>
          </w:tcPr>
          <w:p w14:paraId="525E697B">
            <w:pPr>
              <w:spacing w:after="0" w:line="240" w:lineRule="auto"/>
            </w:pPr>
            <w:r>
              <w:rPr>
                <w:b/>
                <w:i w:val="0"/>
                <w:sz w:val="18"/>
              </w:rPr>
              <w:t>Item</w:t>
            </w:r>
          </w:p>
        </w:tc>
        <w:tc>
          <w:tcPr>
            <w:tcW w:w="4592" w:type="dxa"/>
            <w:shd w:val="clear" w:color="auto" w:fill="E7E6E6"/>
            <w:tcMar>
              <w:top w:w="70" w:type="dxa"/>
              <w:left w:w="70" w:type="dxa"/>
              <w:bottom w:w="70" w:type="dxa"/>
              <w:right w:w="70" w:type="dxa"/>
            </w:tcMar>
            <w:vAlign w:val="top"/>
          </w:tcPr>
          <w:p w14:paraId="58D23F16">
            <w:pPr>
              <w:spacing w:after="0" w:line="240" w:lineRule="auto"/>
            </w:pPr>
            <w:r>
              <w:rPr>
                <w:b/>
                <w:i w:val="0"/>
                <w:sz w:val="18"/>
              </w:rPr>
              <w:t>Final value</w:t>
            </w:r>
          </w:p>
        </w:tc>
      </w:tr>
      <w:tr w14:paraId="7129951C">
        <w:trPr>
          <w:jc w:val="center"/>
        </w:trPr>
        <w:tc>
          <w:tcPr>
            <w:tcW w:w="4592" w:type="dxa"/>
            <w:tcMar>
              <w:top w:w="70" w:type="dxa"/>
              <w:left w:w="70" w:type="dxa"/>
              <w:bottom w:w="70" w:type="dxa"/>
              <w:right w:w="70" w:type="dxa"/>
            </w:tcMar>
            <w:vAlign w:val="top"/>
          </w:tcPr>
          <w:p w14:paraId="13CF3BBC">
            <w:pPr>
              <w:spacing w:after="0" w:line="240" w:lineRule="auto"/>
            </w:pPr>
            <w:r>
              <w:rPr>
                <w:b w:val="0"/>
                <w:i w:val="0"/>
                <w:sz w:val="18"/>
              </w:rPr>
              <w:t>Live application</w:t>
            </w:r>
          </w:p>
        </w:tc>
        <w:tc>
          <w:tcPr>
            <w:tcW w:w="4592" w:type="dxa"/>
            <w:tcMar>
              <w:top w:w="70" w:type="dxa"/>
              <w:left w:w="70" w:type="dxa"/>
              <w:bottom w:w="70" w:type="dxa"/>
              <w:right w:w="70" w:type="dxa"/>
            </w:tcMar>
            <w:vAlign w:val="top"/>
          </w:tcPr>
          <w:p w14:paraId="2145E4F0">
            <w:pPr>
              <w:spacing w:after="0" w:line="240" w:lineRule="auto"/>
              <w:jc w:val="both"/>
              <w:rPr>
                <w:color w:val="1F497D" w:themeColor="text2"/>
                <w14:textFill>
                  <w14:solidFill>
                    <w14:schemeClr w14:val="tx2"/>
                  </w14:solidFill>
                </w14:textFill>
              </w:rPr>
            </w:pPr>
            <w:r>
              <w:rPr>
                <w:rFonts w:hint="default"/>
                <w:color w:val="4F81BD" w:themeColor="accent1"/>
                <w14:textFill>
                  <w14:solidFill>
                    <w14:schemeClr w14:val="accent1"/>
                  </w14:solidFill>
                </w14:textFill>
              </w:rPr>
              <w:fldChar w:fldCharType="begin"/>
            </w:r>
            <w:r>
              <w:rPr>
                <w:rFonts w:hint="default"/>
                <w:color w:val="4F81BD" w:themeColor="accent1"/>
                <w14:textFill>
                  <w14:solidFill>
                    <w14:schemeClr w14:val="accent1"/>
                  </w14:solidFill>
                </w14:textFill>
              </w:rPr>
              <w:instrText xml:space="preserve"> HYPERLINK "https://production.d2lnnsjmvh6ln3.amplifyapp.com" </w:instrText>
            </w:r>
            <w:r>
              <w:rPr>
                <w:rFonts w:hint="default"/>
                <w:color w:val="4F81BD" w:themeColor="accent1"/>
                <w14:textFill>
                  <w14:solidFill>
                    <w14:schemeClr w14:val="accent1"/>
                  </w14:solidFill>
                </w14:textFill>
              </w:rPr>
              <w:fldChar w:fldCharType="separate"/>
            </w:r>
            <w:r>
              <w:rPr>
                <w:rStyle w:val="20"/>
                <w:rFonts w:hint="default"/>
                <w:color w:val="4F81BD" w:themeColor="accent1"/>
                <w14:textFill>
                  <w14:solidFill>
                    <w14:schemeClr w14:val="accent1"/>
                  </w14:solidFill>
                </w14:textFill>
              </w:rPr>
              <w:t>https://production.d2lnnsjmvh6ln3.amplifyapp.com</w:t>
            </w:r>
            <w:r>
              <w:rPr>
                <w:rFonts w:hint="default"/>
                <w:color w:val="4F81BD" w:themeColor="accent1"/>
                <w14:textFill>
                  <w14:solidFill>
                    <w14:schemeClr w14:val="accent1"/>
                  </w14:solidFill>
                </w14:textFill>
              </w:rPr>
              <w:fldChar w:fldCharType="end"/>
            </w:r>
          </w:p>
        </w:tc>
      </w:tr>
      <w:tr w14:paraId="4EFD70A6">
        <w:trPr>
          <w:jc w:val="center"/>
        </w:trPr>
        <w:tc>
          <w:tcPr>
            <w:tcW w:w="4592" w:type="dxa"/>
            <w:tcMar>
              <w:top w:w="70" w:type="dxa"/>
              <w:left w:w="70" w:type="dxa"/>
              <w:bottom w:w="70" w:type="dxa"/>
              <w:right w:w="70" w:type="dxa"/>
            </w:tcMar>
            <w:vAlign w:val="top"/>
          </w:tcPr>
          <w:p w14:paraId="4058D81E">
            <w:pPr>
              <w:spacing w:after="0" w:line="240" w:lineRule="auto"/>
            </w:pPr>
            <w:r>
              <w:rPr>
                <w:b w:val="0"/>
                <w:i w:val="0"/>
                <w:sz w:val="18"/>
              </w:rPr>
              <w:t>Source repository</w:t>
            </w:r>
          </w:p>
        </w:tc>
        <w:tc>
          <w:tcPr>
            <w:tcW w:w="4592" w:type="dxa"/>
            <w:tcMar>
              <w:top w:w="70" w:type="dxa"/>
              <w:left w:w="70" w:type="dxa"/>
              <w:bottom w:w="70" w:type="dxa"/>
              <w:right w:w="70" w:type="dxa"/>
            </w:tcMar>
            <w:vAlign w:val="top"/>
          </w:tcPr>
          <w:p w14:paraId="64321E88">
            <w:pPr>
              <w:spacing w:after="0" w:line="240" w:lineRule="auto"/>
            </w:pPr>
            <w:r>
              <w:rPr>
                <w:color w:val="4F81BD" w:themeColor="accent1"/>
                <w14:textFill>
                  <w14:solidFill>
                    <w14:schemeClr w14:val="accent1"/>
                  </w14:solidFill>
                </w14:textFill>
              </w:rPr>
              <w:fldChar w:fldCharType="begin"/>
            </w:r>
            <w:r>
              <w:rPr>
                <w:color w:val="4F81BD" w:themeColor="accent1"/>
                <w14:textFill>
                  <w14:solidFill>
                    <w14:schemeClr w14:val="accent1"/>
                  </w14:solidFill>
                </w14:textFill>
              </w:rPr>
              <w:instrText xml:space="preserve"> HYPERLINK "https://github.com/klenathan/ASM3" \h </w:instrText>
            </w:r>
            <w:r>
              <w:rPr>
                <w:color w:val="4F81BD" w:themeColor="accent1"/>
                <w14:textFill>
                  <w14:solidFill>
                    <w14:schemeClr w14:val="accent1"/>
                  </w14:solidFill>
                </w14:textFill>
              </w:rPr>
              <w:fldChar w:fldCharType="separate"/>
            </w:r>
            <w:r>
              <w:rPr>
                <w:color w:val="4F81BD" w:themeColor="accent1"/>
                <w:u w:val="single"/>
                <w14:textFill>
                  <w14:solidFill>
                    <w14:schemeClr w14:val="accent1"/>
                  </w14:solidFill>
                </w14:textFill>
              </w:rPr>
              <w:t>https://github.com/klenathan/ASM3</w:t>
            </w:r>
            <w:r>
              <w:rPr>
                <w:color w:val="4F81BD" w:themeColor="accent1"/>
                <w:u w:val="single"/>
                <w14:textFill>
                  <w14:solidFill>
                    <w14:schemeClr w14:val="accent1"/>
                  </w14:solidFill>
                </w14:textFill>
              </w:rPr>
              <w:fldChar w:fldCharType="end"/>
            </w:r>
          </w:p>
        </w:tc>
      </w:tr>
      <w:tr w14:paraId="1F910791">
        <w:trPr>
          <w:jc w:val="center"/>
        </w:trPr>
        <w:tc>
          <w:tcPr>
            <w:tcW w:w="4592" w:type="dxa"/>
            <w:tcMar>
              <w:top w:w="70" w:type="dxa"/>
              <w:left w:w="70" w:type="dxa"/>
              <w:bottom w:w="70" w:type="dxa"/>
              <w:right w:w="70" w:type="dxa"/>
            </w:tcMar>
            <w:vAlign w:val="top"/>
          </w:tcPr>
          <w:p w14:paraId="1545823D">
            <w:pPr>
              <w:spacing w:after="0" w:line="240" w:lineRule="auto"/>
            </w:pPr>
            <w:r>
              <w:rPr>
                <w:b w:val="0"/>
                <w:i w:val="0"/>
                <w:sz w:val="18"/>
              </w:rPr>
              <w:t>Editable architecture sources</w:t>
            </w:r>
          </w:p>
        </w:tc>
        <w:tc>
          <w:tcPr>
            <w:tcW w:w="4592" w:type="dxa"/>
            <w:tcMar>
              <w:top w:w="70" w:type="dxa"/>
              <w:left w:w="70" w:type="dxa"/>
              <w:bottom w:w="70" w:type="dxa"/>
              <w:right w:w="70" w:type="dxa"/>
            </w:tcMar>
            <w:vAlign w:val="top"/>
          </w:tcPr>
          <w:p w14:paraId="399984B3">
            <w:pPr>
              <w:spacing w:after="0" w:line="240" w:lineRule="auto"/>
            </w:pPr>
            <w:r>
              <w:rPr>
                <w:rFonts w:ascii="Courier New" w:hAnsi="Courier New" w:eastAsia="Courier New"/>
                <w:b w:val="0"/>
                <w:i w:val="0"/>
                <w:sz w:val="18"/>
              </w:rPr>
              <w:t>docs/architecture/report/figures/</w:t>
            </w:r>
            <w:r>
              <w:rPr>
                <w:b w:val="0"/>
                <w:i w:val="0"/>
                <w:sz w:val="18"/>
              </w:rPr>
              <w:t xml:space="preserve">; existing infrastructure reference: </w:t>
            </w:r>
            <w:r>
              <w:rPr>
                <w:rFonts w:ascii="Courier New" w:hAnsi="Courier New" w:eastAsia="Courier New"/>
                <w:b w:val="0"/>
                <w:i w:val="0"/>
                <w:sz w:val="18"/>
              </w:rPr>
              <w:t>infras/rmit_society_aws_architecture.py</w:t>
            </w:r>
          </w:p>
        </w:tc>
      </w:tr>
      <w:tr w14:paraId="1EB844D5">
        <w:trPr>
          <w:jc w:val="center"/>
        </w:trPr>
        <w:tc>
          <w:tcPr>
            <w:tcW w:w="4592" w:type="dxa"/>
            <w:tcMar>
              <w:top w:w="70" w:type="dxa"/>
              <w:left w:w="70" w:type="dxa"/>
              <w:bottom w:w="70" w:type="dxa"/>
              <w:right w:w="70" w:type="dxa"/>
            </w:tcMar>
            <w:vAlign w:val="top"/>
          </w:tcPr>
          <w:p w14:paraId="59D4D145">
            <w:pPr>
              <w:spacing w:after="0" w:line="240" w:lineRule="auto"/>
            </w:pPr>
            <w:r>
              <w:rPr>
                <w:b w:val="0"/>
                <w:i w:val="0"/>
                <w:sz w:val="18"/>
              </w:rPr>
              <w:t>Public dataset</w:t>
            </w:r>
          </w:p>
        </w:tc>
        <w:tc>
          <w:tcPr>
            <w:tcW w:w="4592" w:type="dxa"/>
            <w:tcMar>
              <w:top w:w="70" w:type="dxa"/>
              <w:left w:w="70" w:type="dxa"/>
              <w:bottom w:w="70" w:type="dxa"/>
              <w:right w:w="70" w:type="dxa"/>
            </w:tcMar>
            <w:vAlign w:val="top"/>
          </w:tcPr>
          <w:p w14:paraId="1E6F8F93">
            <w:pPr>
              <w:spacing w:after="0" w:line="240" w:lineRule="auto"/>
            </w:pPr>
            <w:r>
              <w:rPr>
                <w:b w:val="0"/>
                <w:i w:val="0"/>
                <w:sz w:val="18"/>
              </w:rPr>
              <w:t>No public dataset; deterministic user-generated demonstration data.</w:t>
            </w:r>
          </w:p>
        </w:tc>
      </w:tr>
      <w:tr w14:paraId="7E196A02">
        <w:trPr>
          <w:jc w:val="center"/>
        </w:trPr>
        <w:tc>
          <w:tcPr>
            <w:tcW w:w="4592" w:type="dxa"/>
            <w:tcMar>
              <w:top w:w="70" w:type="dxa"/>
              <w:left w:w="70" w:type="dxa"/>
              <w:bottom w:w="70" w:type="dxa"/>
              <w:right w:w="70" w:type="dxa"/>
            </w:tcMar>
            <w:vAlign w:val="top"/>
          </w:tcPr>
          <w:p w14:paraId="2EA9AE3D">
            <w:pPr>
              <w:spacing w:after="0" w:line="240" w:lineRule="auto"/>
            </w:pPr>
            <w:r>
              <w:rPr>
                <w:b w:val="0"/>
                <w:i w:val="0"/>
                <w:sz w:val="18"/>
              </w:rPr>
              <w:t>Deployment environment</w:t>
            </w:r>
          </w:p>
        </w:tc>
        <w:tc>
          <w:tcPr>
            <w:tcW w:w="4592" w:type="dxa"/>
            <w:tcMar>
              <w:top w:w="70" w:type="dxa"/>
              <w:left w:w="70" w:type="dxa"/>
              <w:bottom w:w="70" w:type="dxa"/>
              <w:right w:w="70" w:type="dxa"/>
            </w:tcMar>
            <w:vAlign w:val="top"/>
          </w:tcPr>
          <w:p w14:paraId="4A6DFF17">
            <w:pPr>
              <w:spacing w:after="0" w:line="240" w:lineRule="auto"/>
            </w:pPr>
            <w:r>
              <w:rPr>
                <w:b w:val="0"/>
                <w:i w:val="0"/>
                <w:sz w:val="18"/>
              </w:rPr>
              <w:t xml:space="preserve">AWS Academy Learner Lab, </w:t>
            </w:r>
            <w:r>
              <w:rPr>
                <w:rFonts w:ascii="Courier New" w:hAnsi="Courier New" w:eastAsia="Courier New"/>
                <w:b w:val="0"/>
                <w:i w:val="0"/>
                <w:sz w:val="18"/>
              </w:rPr>
              <w:t>us-east-1</w:t>
            </w:r>
            <w:r>
              <w:rPr>
                <w:b w:val="0"/>
                <w:i w:val="0"/>
                <w:sz w:val="18"/>
              </w:rPr>
              <w:t>.</w:t>
            </w:r>
          </w:p>
        </w:tc>
      </w:tr>
    </w:tbl>
    <w:p w14:paraId="146187D9">
      <w:pPr>
        <w:spacing w:after="40"/>
      </w:pPr>
    </w:p>
    <w:p w14:paraId="5F440200">
      <w:pPr>
        <w:spacing w:after="100" w:line="259" w:lineRule="auto"/>
      </w:pPr>
      <w:r>
        <w:rPr>
          <w:b w:val="0"/>
          <w:i w:val="0"/>
        </w:rPr>
        <w:t xml:space="preserve">RMIT Society is an RMIT-only discussion forum that gives students a common place to discover communities, publish threads, comment, vote, attach media, attach a verified place, and report content. A </w:t>
      </w:r>
      <w:r>
        <w:rPr>
          <w:b w:val="0"/>
          <w:i/>
        </w:rPr>
        <w:t>Society</w:t>
      </w:r>
      <w:r>
        <w:rPr>
          <w:b w:val="0"/>
          <w:i w:val="0"/>
        </w:rPr>
        <w:t xml:space="preserve"> is a community and a </w:t>
      </w:r>
      <w:r>
        <w:rPr>
          <w:b w:val="0"/>
          <w:i/>
        </w:rPr>
        <w:t>Thread</w:t>
      </w:r>
      <w:r>
        <w:rPr>
          <w:b w:val="0"/>
          <w:i w:val="0"/>
        </w:rPr>
        <w:t xml:space="preserve"> is a post in a society. The application distinguishes students, society-scoped moderators, and the globally elevated </w:t>
      </w:r>
      <w:r>
        <w:rPr>
          <w:rFonts w:ascii="Courier New" w:hAnsi="Courier New" w:eastAsia="Courier New"/>
          <w:b w:val="0"/>
          <w:i w:val="0"/>
        </w:rPr>
        <w:t>system_admin</w:t>
      </w:r>
      <w:r>
        <w:rPr>
          <w:b w:val="0"/>
          <w:i w:val="0"/>
        </w:rPr>
        <w:t xml:space="preserve"> role. Its cloud objective is not simply to host a web application: a visible user operation must invoke the appropriate supporting service across web hosting, networking, containers, compute, storage, transactional persistence, and, when enabled and demonstrated, asynchronous content analysis and analytics.</w:t>
      </w:r>
    </w:p>
    <w:p w14:paraId="7B0B47E4">
      <w:pPr>
        <w:spacing w:after="100" w:line="259" w:lineRule="auto"/>
      </w:pPr>
      <w:r>
        <w:rPr>
          <w:b w:val="0"/>
          <w:i w:val="0"/>
        </w:rPr>
        <w:t xml:space="preserve">The core demonstration path is a React/Vite single-page application (SPA) served by Amplify Hosting. Its </w:t>
      </w:r>
      <w:r>
        <w:rPr>
          <w:rFonts w:ascii="Courier New" w:hAnsi="Courier New" w:eastAsia="Courier New"/>
          <w:b w:val="0"/>
          <w:i w:val="0"/>
        </w:rPr>
        <w:t>/api/*</w:t>
      </w:r>
      <w:r>
        <w:rPr>
          <w:b w:val="0"/>
          <w:i w:val="0"/>
        </w:rPr>
        <w:t xml:space="preserve"> requests are rewritten to an API Gateway HTTP API, which proxies to a domain-oriented modular-monolith backend running as an ECS service on one EC2 container instance. PostgreSQL on Amazon RDS is the authoritative transactional store; S3 retains media binaries while RDS retains only their metadata and object keys. This report separates deployed demonstration evidence from feature-gated optional pipelines. It is therefore an architecture explanation for the assessed environment, not an implementation manual or a claim that every provisionable service is active. AWS component characteristics cited in this report are documented by AWS [1, 2, 3, 4, 5].</w:t>
      </w:r>
    </w:p>
    <w:p w14:paraId="1D73C290">
      <w:pPr>
        <w:pStyle w:val="2"/>
      </w:pPr>
      <w:bookmarkStart w:id="2" w:name="_Toc1520257210"/>
      <w:r>
        <w:t>Introduction</w:t>
      </w:r>
      <w:bookmarkEnd w:id="2"/>
    </w:p>
    <w:p w14:paraId="30231873">
      <w:pPr>
        <w:pStyle w:val="3"/>
      </w:pPr>
      <w:bookmarkStart w:id="3" w:name="_Toc202496464"/>
      <w:r>
        <w:t>Motivation and product view</w:t>
      </w:r>
      <w:bookmarkEnd w:id="3"/>
    </w:p>
    <w:p w14:paraId="4928CD84">
      <w:pPr>
        <w:spacing w:after="100" w:line="259" w:lineRule="auto"/>
      </w:pPr>
      <w:r>
        <w:rPr>
          <w:b w:val="0"/>
          <w:i w:val="0"/>
        </w:rPr>
        <w:t xml:space="preserve">Student discussion is commonly fragmented across broad social channels, course Q&amp;A tools, and informal groups. RMIT Society narrows that context to an institution-specific forum, while preserving familiar community discussion patterns. Registration is restricted by a configurable approved RMIT email-domain policy. A student can join societies, create and manage their own discussions, vote, attach media, associate one server-verified location, and report content. A moderator has authority only through an active membership in the society concerned. A </w:t>
      </w:r>
      <w:r>
        <w:rPr>
          <w:rFonts w:ascii="Courier New" w:hAnsi="Courier New" w:eastAsia="Courier New"/>
          <w:b w:val="0"/>
          <w:i w:val="0"/>
        </w:rPr>
        <w:t>system_admin</w:t>
      </w:r>
      <w:r>
        <w:rPr>
          <w:b w:val="0"/>
          <w:i w:val="0"/>
        </w:rPr>
        <w:t xml:space="preserve"> is the only globally elevated role.</w:t>
      </w:r>
    </w:p>
    <w:p w14:paraId="02013FC6">
      <w:pPr>
        <w:spacing w:after="100" w:line="259" w:lineRule="auto"/>
      </w:pPr>
      <w:r>
        <w:rPr>
          <w:b w:val="0"/>
          <w:i w:val="0"/>
        </w:rPr>
        <w:t>The implementation is deliberately a modular monolith rather than a collection of independently deployed microservices. A single backend keeps transaction handling, demonstration operations, and cost proportionate to the coursework deployment; explicit domain boundaries retain a future extraction path if usage justifies it. Browser route guards improve navigation but do not authorize an operation: application services enforce ownership, membership, moderator scope, suspension, and platform-administrator policy.</w:t>
      </w:r>
    </w:p>
    <w:p w14:paraId="3F279DEC">
      <w:pPr>
        <w:pStyle w:val="3"/>
      </w:pPr>
      <w:bookmarkStart w:id="4" w:name="_Toc1743973600"/>
      <w:r>
        <w:t>Beneficiaries</w:t>
      </w:r>
      <w:bookmarkEnd w:id="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92"/>
        <w:gridCol w:w="4592"/>
      </w:tblGrid>
      <w:tr w14:paraId="6A8B8BD5">
        <w:trPr>
          <w:tblHeader/>
          <w:jc w:val="center"/>
        </w:trPr>
        <w:tc>
          <w:tcPr>
            <w:tcW w:w="4592" w:type="dxa"/>
            <w:shd w:val="clear" w:color="auto" w:fill="E7E6E6"/>
            <w:tcMar>
              <w:top w:w="70" w:type="dxa"/>
              <w:left w:w="70" w:type="dxa"/>
              <w:bottom w:w="70" w:type="dxa"/>
              <w:right w:w="70" w:type="dxa"/>
            </w:tcMar>
            <w:vAlign w:val="top"/>
          </w:tcPr>
          <w:p w14:paraId="33B51FA8">
            <w:pPr>
              <w:spacing w:after="0" w:line="240" w:lineRule="auto"/>
              <w:rPr>
                <w:sz w:val="22"/>
                <w:szCs w:val="22"/>
              </w:rPr>
            </w:pPr>
            <w:r>
              <w:rPr>
                <w:b/>
                <w:i w:val="0"/>
                <w:sz w:val="22"/>
                <w:szCs w:val="22"/>
              </w:rPr>
              <w:t>Beneficiary</w:t>
            </w:r>
          </w:p>
        </w:tc>
        <w:tc>
          <w:tcPr>
            <w:tcW w:w="4592" w:type="dxa"/>
            <w:shd w:val="clear" w:color="auto" w:fill="E7E6E6"/>
            <w:tcMar>
              <w:top w:w="70" w:type="dxa"/>
              <w:left w:w="70" w:type="dxa"/>
              <w:bottom w:w="70" w:type="dxa"/>
              <w:right w:w="70" w:type="dxa"/>
            </w:tcMar>
            <w:vAlign w:val="top"/>
          </w:tcPr>
          <w:p w14:paraId="1D5C7F80">
            <w:pPr>
              <w:spacing w:after="0" w:line="240" w:lineRule="auto"/>
              <w:rPr>
                <w:sz w:val="22"/>
                <w:szCs w:val="22"/>
              </w:rPr>
            </w:pPr>
            <w:r>
              <w:rPr>
                <w:b/>
                <w:i w:val="0"/>
                <w:sz w:val="22"/>
                <w:szCs w:val="22"/>
              </w:rPr>
              <w:t>Benefit</w:t>
            </w:r>
          </w:p>
        </w:tc>
      </w:tr>
      <w:tr w14:paraId="1481BC35">
        <w:trPr>
          <w:jc w:val="center"/>
        </w:trPr>
        <w:tc>
          <w:tcPr>
            <w:tcW w:w="4592" w:type="dxa"/>
            <w:tcMar>
              <w:top w:w="70" w:type="dxa"/>
              <w:left w:w="70" w:type="dxa"/>
              <w:bottom w:w="70" w:type="dxa"/>
              <w:right w:w="70" w:type="dxa"/>
            </w:tcMar>
            <w:vAlign w:val="top"/>
          </w:tcPr>
          <w:p w14:paraId="5897C009">
            <w:pPr>
              <w:spacing w:after="0" w:line="240" w:lineRule="auto"/>
              <w:rPr>
                <w:sz w:val="22"/>
                <w:szCs w:val="22"/>
              </w:rPr>
            </w:pPr>
            <w:r>
              <w:rPr>
                <w:b w:val="0"/>
                <w:i w:val="0"/>
                <w:sz w:val="22"/>
                <w:szCs w:val="22"/>
              </w:rPr>
              <w:t>Students</w:t>
            </w:r>
          </w:p>
        </w:tc>
        <w:tc>
          <w:tcPr>
            <w:tcW w:w="4592" w:type="dxa"/>
            <w:tcMar>
              <w:top w:w="70" w:type="dxa"/>
              <w:left w:w="70" w:type="dxa"/>
              <w:bottom w:w="70" w:type="dxa"/>
              <w:right w:w="70" w:type="dxa"/>
            </w:tcMar>
            <w:vAlign w:val="top"/>
          </w:tcPr>
          <w:p w14:paraId="00835F8E">
            <w:pPr>
              <w:spacing w:after="0" w:line="240" w:lineRule="auto"/>
              <w:rPr>
                <w:sz w:val="22"/>
                <w:szCs w:val="22"/>
              </w:rPr>
            </w:pPr>
            <w:r>
              <w:rPr>
                <w:b w:val="0"/>
                <w:i w:val="0"/>
                <w:sz w:val="22"/>
                <w:szCs w:val="22"/>
              </w:rPr>
              <w:t>RMIT-specific discussion, discovery, and collaboration in relevant societies.</w:t>
            </w:r>
          </w:p>
        </w:tc>
      </w:tr>
      <w:tr w14:paraId="2E605AF0">
        <w:trPr>
          <w:jc w:val="center"/>
        </w:trPr>
        <w:tc>
          <w:tcPr>
            <w:tcW w:w="4592" w:type="dxa"/>
            <w:tcMar>
              <w:top w:w="70" w:type="dxa"/>
              <w:left w:w="70" w:type="dxa"/>
              <w:bottom w:w="70" w:type="dxa"/>
              <w:right w:w="70" w:type="dxa"/>
            </w:tcMar>
            <w:vAlign w:val="top"/>
          </w:tcPr>
          <w:p w14:paraId="0A0719BB">
            <w:pPr>
              <w:spacing w:after="0" w:line="240" w:lineRule="auto"/>
              <w:rPr>
                <w:sz w:val="22"/>
                <w:szCs w:val="22"/>
              </w:rPr>
            </w:pPr>
            <w:r>
              <w:rPr>
                <w:b w:val="0"/>
                <w:i w:val="0"/>
                <w:sz w:val="22"/>
                <w:szCs w:val="22"/>
              </w:rPr>
              <w:t>Society moderators</w:t>
            </w:r>
          </w:p>
        </w:tc>
        <w:tc>
          <w:tcPr>
            <w:tcW w:w="4592" w:type="dxa"/>
            <w:tcMar>
              <w:top w:w="70" w:type="dxa"/>
              <w:left w:w="70" w:type="dxa"/>
              <w:bottom w:w="70" w:type="dxa"/>
              <w:right w:w="70" w:type="dxa"/>
            </w:tcMar>
            <w:vAlign w:val="top"/>
          </w:tcPr>
          <w:p w14:paraId="16ED5764">
            <w:pPr>
              <w:spacing w:after="0" w:line="240" w:lineRule="auto"/>
              <w:rPr>
                <w:sz w:val="22"/>
                <w:szCs w:val="22"/>
              </w:rPr>
            </w:pPr>
            <w:r>
              <w:rPr>
                <w:b w:val="0"/>
                <w:i w:val="0"/>
                <w:sz w:val="22"/>
                <w:szCs w:val="22"/>
              </w:rPr>
              <w:t>A society-scoped report queue, membership controls, and traceable moderation decisions.</w:t>
            </w:r>
          </w:p>
        </w:tc>
      </w:tr>
      <w:tr w14:paraId="654068BB">
        <w:trPr>
          <w:jc w:val="center"/>
        </w:trPr>
        <w:tc>
          <w:tcPr>
            <w:tcW w:w="4592" w:type="dxa"/>
            <w:tcMar>
              <w:top w:w="70" w:type="dxa"/>
              <w:left w:w="70" w:type="dxa"/>
              <w:bottom w:w="70" w:type="dxa"/>
              <w:right w:w="70" w:type="dxa"/>
            </w:tcMar>
            <w:vAlign w:val="top"/>
          </w:tcPr>
          <w:p w14:paraId="20911839">
            <w:pPr>
              <w:spacing w:after="0" w:line="240" w:lineRule="auto"/>
              <w:rPr>
                <w:sz w:val="22"/>
                <w:szCs w:val="22"/>
              </w:rPr>
            </w:pPr>
            <w:r>
              <w:rPr>
                <w:b w:val="0"/>
                <w:i w:val="0"/>
                <w:sz w:val="22"/>
                <w:szCs w:val="22"/>
              </w:rPr>
              <w:t>System administrators</w:t>
            </w:r>
          </w:p>
        </w:tc>
        <w:tc>
          <w:tcPr>
            <w:tcW w:w="4592" w:type="dxa"/>
            <w:tcMar>
              <w:top w:w="70" w:type="dxa"/>
              <w:left w:w="70" w:type="dxa"/>
              <w:bottom w:w="70" w:type="dxa"/>
              <w:right w:w="70" w:type="dxa"/>
            </w:tcMar>
            <w:vAlign w:val="top"/>
          </w:tcPr>
          <w:p w14:paraId="2E508CC7">
            <w:pPr>
              <w:spacing w:after="0" w:line="240" w:lineRule="auto"/>
              <w:rPr>
                <w:sz w:val="22"/>
                <w:szCs w:val="22"/>
              </w:rPr>
            </w:pPr>
            <w:r>
              <w:rPr>
                <w:b w:val="0"/>
                <w:i w:val="0"/>
                <w:sz w:val="22"/>
                <w:szCs w:val="22"/>
              </w:rPr>
              <w:t>User and society governance plus interpretable aggregate activity reporting when the analytics pipeline is enabled.</w:t>
            </w:r>
          </w:p>
        </w:tc>
      </w:tr>
    </w:tbl>
    <w:p w14:paraId="5C74F723">
      <w:pPr>
        <w:jc w:val="both"/>
      </w:pPr>
    </w:p>
    <w:p w14:paraId="5037605F">
      <w:pPr>
        <w:jc w:val="center"/>
      </w:pPr>
      <w:r>
        <w:drawing>
          <wp:inline distT="0" distB="0" distL="114300" distR="114300">
            <wp:extent cx="5760720" cy="5530215"/>
            <wp:effectExtent l="12700" t="12700" r="1778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b="17575"/>
                    <a:stretch>
                      <a:fillRect/>
                    </a:stretch>
                  </pic:blipFill>
                  <pic:spPr>
                    <a:xfrm>
                      <a:off x="0" y="0"/>
                      <a:ext cx="5760720" cy="5530215"/>
                    </a:xfrm>
                    <a:prstGeom prst="rect">
                      <a:avLst/>
                    </a:prstGeom>
                    <a:ln>
                      <a:solidFill>
                        <a:schemeClr val="tx1"/>
                      </a:solidFill>
                    </a:ln>
                  </pic:spPr>
                </pic:pic>
              </a:graphicData>
            </a:graphic>
          </wp:inline>
        </w:drawing>
      </w:r>
    </w:p>
    <w:p w14:paraId="4E8CEEF4">
      <w:pPr>
        <w:pStyle w:val="16"/>
        <w:jc w:val="center"/>
        <w:rPr>
          <w:rFonts w:hint="default"/>
          <w:lang w:val="en-US"/>
        </w:rPr>
      </w:pPr>
      <w:r>
        <w:t xml:space="preserve">Figure </w:t>
      </w:r>
      <w:r>
        <w:fldChar w:fldCharType="begin"/>
      </w:r>
      <w:r>
        <w:instrText xml:space="preserve"> SEQ Figure \* ARABIC </w:instrText>
      </w:r>
      <w:r>
        <w:fldChar w:fldCharType="separate"/>
      </w:r>
      <w:r>
        <w:t>1</w:t>
      </w:r>
      <w:r>
        <w:fldChar w:fldCharType="end"/>
      </w:r>
      <w:r>
        <w:rPr>
          <w:lang w:val="en-US"/>
        </w:rPr>
        <w:t>: Product roles and client operations. The diagram orients the reader; the operation coverage table, Figure 3, and the detailed sequences in Appendix A provide the downstream invocation paths.</w:t>
      </w:r>
    </w:p>
    <w:p w14:paraId="6985CBBA">
      <w:pPr>
        <w:pStyle w:val="2"/>
      </w:pPr>
      <w:bookmarkStart w:id="5" w:name="_Toc2107480944"/>
      <w:r>
        <w:t>Related work</w:t>
      </w:r>
      <w:bookmarkEnd w:id="5"/>
    </w:p>
    <w:p w14:paraId="62F96D63">
      <w:pPr>
        <w:pStyle w:val="3"/>
      </w:pPr>
      <w:bookmarkStart w:id="6" w:name="_Toc1984435837"/>
      <w:r>
        <w:t>Community discussion platforms</w:t>
      </w:r>
      <w:bookmarkEnd w:id="6"/>
    </w:p>
    <w:p w14:paraId="29B5933D">
      <w:pPr>
        <w:spacing w:after="100" w:line="259" w:lineRule="auto"/>
      </w:pPr>
      <w:r>
        <w:rPr>
          <w:b w:val="0"/>
          <w:i w:val="0"/>
        </w:rPr>
        <w:t>Reddit documents communities, voting, and moderator tools as key community mechanisms [6]. Discourse documents structured discussion and moderation-oriented trust and administration capabilities [7]. RMIT Society reuses the recognisable society/thread/vote model, but its access boundary and moderator authority are purposefully constrained to the RMIT context rather than a general-purpose public community.</w:t>
      </w:r>
    </w:p>
    <w:p w14:paraId="2CA47842">
      <w:pPr>
        <w:pStyle w:val="3"/>
      </w:pPr>
      <w:bookmarkStart w:id="7" w:name="_Toc1992074549"/>
      <w:r>
        <w:t>Institution-oriented communication platforms</w:t>
      </w:r>
      <w:bookmarkEnd w:id="7"/>
    </w:p>
    <w:p w14:paraId="022B3449">
      <w:pPr>
        <w:spacing w:after="100" w:line="259" w:lineRule="auto"/>
      </w:pPr>
      <w:r>
        <w:rPr>
          <w:b w:val="0"/>
          <w:i w:val="0"/>
        </w:rPr>
        <w:t>Piazza presents a course-oriented question-and-answer communication model [8]. CampusGroups documents institution and organisation membership workflows [9]. These products demonstrate the value of institution-aware participation, but their documented emphasis differs from a discussion-first society forum with threads, media, reporting, and society-scoped moderation.</w:t>
      </w:r>
    </w:p>
    <w:p w14:paraId="010C224A">
      <w:pPr>
        <w:pStyle w:val="3"/>
      </w:pPr>
      <w:bookmarkStart w:id="8" w:name="_Toc1526888313"/>
      <w:r>
        <w:t>Design distinction</w:t>
      </w:r>
      <w:bookmarkEnd w:id="8"/>
    </w:p>
    <w:p w14:paraId="168B6D3D">
      <w:pPr>
        <w:spacing w:after="100" w:line="259" w:lineRule="auto"/>
      </w:pPr>
      <w:r>
        <w:rPr>
          <w:b w:val="0"/>
          <w:i w:val="0"/>
        </w:rPr>
        <w:t>RMIT Society combines configurable institutional registration, membership-derived moderator authority, direct S3 media upload with relational metadata, server-verified Mapbox place attachment, and optional asynchronous content-analysis and aggregate-analytics workflows. This is a scope distinction, not a superiority claim.</w:t>
      </w:r>
    </w:p>
    <w:p w14:paraId="0B62E5B2">
      <w:pPr>
        <w:spacing w:before="80" w:after="60"/>
        <w:jc w:val="center"/>
      </w:pPr>
      <w:r>
        <w:rPr>
          <w:i/>
          <w:sz w:val="18"/>
        </w:rPr>
        <w:t>Related-work comparison.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2296"/>
        <w:gridCol w:w="2296"/>
        <w:gridCol w:w="2296"/>
      </w:tblGrid>
      <w:tr w14:paraId="2003632D">
        <w:trPr>
          <w:tblHeader/>
          <w:jc w:val="center"/>
        </w:trPr>
        <w:tc>
          <w:tcPr>
            <w:tcW w:w="2296" w:type="dxa"/>
            <w:shd w:val="clear" w:color="auto" w:fill="E7E6E6"/>
            <w:tcMar>
              <w:top w:w="70" w:type="dxa"/>
              <w:left w:w="70" w:type="dxa"/>
              <w:bottom w:w="70" w:type="dxa"/>
              <w:right w:w="70" w:type="dxa"/>
            </w:tcMar>
            <w:vAlign w:val="top"/>
          </w:tcPr>
          <w:p w14:paraId="61851D8C">
            <w:pPr>
              <w:spacing w:after="0" w:line="240" w:lineRule="auto"/>
            </w:pPr>
            <w:r>
              <w:rPr>
                <w:b/>
                <w:i w:val="0"/>
                <w:sz w:val="17"/>
              </w:rPr>
              <w:t>Related work</w:t>
            </w:r>
          </w:p>
        </w:tc>
        <w:tc>
          <w:tcPr>
            <w:tcW w:w="2296" w:type="dxa"/>
            <w:shd w:val="clear" w:color="auto" w:fill="E7E6E6"/>
            <w:tcMar>
              <w:top w:w="70" w:type="dxa"/>
              <w:left w:w="70" w:type="dxa"/>
              <w:bottom w:w="70" w:type="dxa"/>
              <w:right w:w="70" w:type="dxa"/>
            </w:tcMar>
            <w:vAlign w:val="top"/>
          </w:tcPr>
          <w:p w14:paraId="6EAD9018">
            <w:pPr>
              <w:spacing w:after="0" w:line="240" w:lineRule="auto"/>
            </w:pPr>
            <w:r>
              <w:rPr>
                <w:b/>
                <w:i w:val="0"/>
                <w:sz w:val="17"/>
              </w:rPr>
              <w:t>Demonstrated pattern</w:t>
            </w:r>
          </w:p>
        </w:tc>
        <w:tc>
          <w:tcPr>
            <w:tcW w:w="2296" w:type="dxa"/>
            <w:shd w:val="clear" w:color="auto" w:fill="E7E6E6"/>
            <w:tcMar>
              <w:top w:w="70" w:type="dxa"/>
              <w:left w:w="70" w:type="dxa"/>
              <w:bottom w:w="70" w:type="dxa"/>
              <w:right w:w="70" w:type="dxa"/>
            </w:tcMar>
            <w:vAlign w:val="top"/>
          </w:tcPr>
          <w:p w14:paraId="1EC9362E">
            <w:pPr>
              <w:spacing w:after="0" w:line="240" w:lineRule="auto"/>
            </w:pPr>
            <w:r>
              <w:rPr>
                <w:b/>
                <w:i w:val="0"/>
                <w:sz w:val="17"/>
              </w:rPr>
              <w:t>Limitation relative to this project</w:t>
            </w:r>
          </w:p>
        </w:tc>
        <w:tc>
          <w:tcPr>
            <w:tcW w:w="2296" w:type="dxa"/>
            <w:shd w:val="clear" w:color="auto" w:fill="E7E6E6"/>
            <w:tcMar>
              <w:top w:w="70" w:type="dxa"/>
              <w:left w:w="70" w:type="dxa"/>
              <w:bottom w:w="70" w:type="dxa"/>
              <w:right w:w="70" w:type="dxa"/>
            </w:tcMar>
            <w:vAlign w:val="top"/>
          </w:tcPr>
          <w:p w14:paraId="1DF06A4E">
            <w:pPr>
              <w:spacing w:after="0" w:line="240" w:lineRule="auto"/>
            </w:pPr>
            <w:r>
              <w:rPr>
                <w:b/>
                <w:i w:val="0"/>
                <w:sz w:val="17"/>
              </w:rPr>
              <w:t>RMIT Society response</w:t>
            </w:r>
          </w:p>
        </w:tc>
      </w:tr>
      <w:tr w14:paraId="5E16266D">
        <w:trPr>
          <w:jc w:val="center"/>
        </w:trPr>
        <w:tc>
          <w:tcPr>
            <w:tcW w:w="2296" w:type="dxa"/>
            <w:tcMar>
              <w:top w:w="70" w:type="dxa"/>
              <w:left w:w="70" w:type="dxa"/>
              <w:bottom w:w="70" w:type="dxa"/>
              <w:right w:w="70" w:type="dxa"/>
            </w:tcMar>
            <w:vAlign w:val="top"/>
          </w:tcPr>
          <w:p w14:paraId="5BF1C805">
            <w:pPr>
              <w:spacing w:after="0" w:line="240" w:lineRule="auto"/>
            </w:pPr>
            <w:r>
              <w:rPr>
                <w:b w:val="0"/>
                <w:i w:val="0"/>
                <w:sz w:val="17"/>
              </w:rPr>
              <w:t>Reddit</w:t>
            </w:r>
          </w:p>
        </w:tc>
        <w:tc>
          <w:tcPr>
            <w:tcW w:w="2296" w:type="dxa"/>
            <w:tcMar>
              <w:top w:w="70" w:type="dxa"/>
              <w:left w:w="70" w:type="dxa"/>
              <w:bottom w:w="70" w:type="dxa"/>
              <w:right w:w="70" w:type="dxa"/>
            </w:tcMar>
            <w:vAlign w:val="top"/>
          </w:tcPr>
          <w:p w14:paraId="5DABAC07">
            <w:pPr>
              <w:spacing w:after="0" w:line="240" w:lineRule="auto"/>
            </w:pPr>
            <w:r>
              <w:rPr>
                <w:b w:val="0"/>
                <w:i w:val="0"/>
                <w:sz w:val="17"/>
              </w:rPr>
              <w:t>Community structure, voting, volunteer moderation.</w:t>
            </w:r>
          </w:p>
        </w:tc>
        <w:tc>
          <w:tcPr>
            <w:tcW w:w="2296" w:type="dxa"/>
            <w:tcMar>
              <w:top w:w="70" w:type="dxa"/>
              <w:left w:w="70" w:type="dxa"/>
              <w:bottom w:w="70" w:type="dxa"/>
              <w:right w:w="70" w:type="dxa"/>
            </w:tcMar>
            <w:vAlign w:val="top"/>
          </w:tcPr>
          <w:p w14:paraId="711D5565">
            <w:pPr>
              <w:spacing w:after="0" w:line="240" w:lineRule="auto"/>
            </w:pPr>
            <w:r>
              <w:rPr>
                <w:b w:val="0"/>
                <w:i w:val="0"/>
                <w:sz w:val="17"/>
              </w:rPr>
              <w:t>No RMIT-specific access boundary or membership-derived authority.</w:t>
            </w:r>
          </w:p>
        </w:tc>
        <w:tc>
          <w:tcPr>
            <w:tcW w:w="2296" w:type="dxa"/>
            <w:tcMar>
              <w:top w:w="70" w:type="dxa"/>
              <w:left w:w="70" w:type="dxa"/>
              <w:bottom w:w="70" w:type="dxa"/>
              <w:right w:w="70" w:type="dxa"/>
            </w:tcMar>
            <w:vAlign w:val="top"/>
          </w:tcPr>
          <w:p w14:paraId="5D412454">
            <w:pPr>
              <w:spacing w:after="0" w:line="240" w:lineRule="auto"/>
            </w:pPr>
            <w:r>
              <w:rPr>
                <w:b w:val="0"/>
                <w:i w:val="0"/>
                <w:sz w:val="17"/>
              </w:rPr>
              <w:t>Restrict audience and derive moderation power from society membership.</w:t>
            </w:r>
          </w:p>
        </w:tc>
      </w:tr>
      <w:tr w14:paraId="16FCD27D">
        <w:trPr>
          <w:jc w:val="center"/>
        </w:trPr>
        <w:tc>
          <w:tcPr>
            <w:tcW w:w="2296" w:type="dxa"/>
            <w:tcMar>
              <w:top w:w="70" w:type="dxa"/>
              <w:left w:w="70" w:type="dxa"/>
              <w:bottom w:w="70" w:type="dxa"/>
              <w:right w:w="70" w:type="dxa"/>
            </w:tcMar>
            <w:vAlign w:val="top"/>
          </w:tcPr>
          <w:p w14:paraId="0F7A3516">
            <w:pPr>
              <w:spacing w:after="0" w:line="240" w:lineRule="auto"/>
            </w:pPr>
            <w:r>
              <w:rPr>
                <w:b w:val="0"/>
                <w:i w:val="0"/>
                <w:sz w:val="17"/>
              </w:rPr>
              <w:t>Discourse</w:t>
            </w:r>
          </w:p>
        </w:tc>
        <w:tc>
          <w:tcPr>
            <w:tcW w:w="2296" w:type="dxa"/>
            <w:tcMar>
              <w:top w:w="70" w:type="dxa"/>
              <w:left w:w="70" w:type="dxa"/>
              <w:bottom w:w="70" w:type="dxa"/>
              <w:right w:w="70" w:type="dxa"/>
            </w:tcMar>
            <w:vAlign w:val="top"/>
          </w:tcPr>
          <w:p w14:paraId="11451F82">
            <w:pPr>
              <w:spacing w:after="0" w:line="240" w:lineRule="auto"/>
            </w:pPr>
            <w:r>
              <w:rPr>
                <w:b w:val="0"/>
                <w:i w:val="0"/>
                <w:sz w:val="17"/>
              </w:rPr>
              <w:t>Structured discussions and moderation/trust concepts.</w:t>
            </w:r>
          </w:p>
        </w:tc>
        <w:tc>
          <w:tcPr>
            <w:tcW w:w="2296" w:type="dxa"/>
            <w:tcMar>
              <w:top w:w="70" w:type="dxa"/>
              <w:left w:w="70" w:type="dxa"/>
              <w:bottom w:w="70" w:type="dxa"/>
              <w:right w:w="70" w:type="dxa"/>
            </w:tcMar>
            <w:vAlign w:val="top"/>
          </w:tcPr>
          <w:p w14:paraId="44593483">
            <w:pPr>
              <w:spacing w:after="0" w:line="240" w:lineRule="auto"/>
            </w:pPr>
            <w:r>
              <w:rPr>
                <w:b w:val="0"/>
                <w:i w:val="0"/>
                <w:sz w:val="17"/>
              </w:rPr>
              <w:t>General-purpose community deployment.</w:t>
            </w:r>
          </w:p>
        </w:tc>
        <w:tc>
          <w:tcPr>
            <w:tcW w:w="2296" w:type="dxa"/>
            <w:tcMar>
              <w:top w:w="70" w:type="dxa"/>
              <w:left w:w="70" w:type="dxa"/>
              <w:bottom w:w="70" w:type="dxa"/>
              <w:right w:w="70" w:type="dxa"/>
            </w:tcMar>
            <w:vAlign w:val="top"/>
          </w:tcPr>
          <w:p w14:paraId="21E7E765">
            <w:pPr>
              <w:spacing w:after="0" w:line="240" w:lineRule="auto"/>
            </w:pPr>
            <w:r>
              <w:rPr>
                <w:b w:val="0"/>
                <w:i w:val="0"/>
                <w:sz w:val="17"/>
              </w:rPr>
              <w:t>Focus on RMIT societies and demonstrable AWS-backed workflows.</w:t>
            </w:r>
          </w:p>
        </w:tc>
      </w:tr>
      <w:tr w14:paraId="0DE31B9A">
        <w:trPr>
          <w:jc w:val="center"/>
        </w:trPr>
        <w:tc>
          <w:tcPr>
            <w:tcW w:w="2296" w:type="dxa"/>
            <w:tcMar>
              <w:top w:w="70" w:type="dxa"/>
              <w:left w:w="70" w:type="dxa"/>
              <w:bottom w:w="70" w:type="dxa"/>
              <w:right w:w="70" w:type="dxa"/>
            </w:tcMar>
            <w:vAlign w:val="top"/>
          </w:tcPr>
          <w:p w14:paraId="72DB60A5">
            <w:pPr>
              <w:spacing w:after="0" w:line="240" w:lineRule="auto"/>
            </w:pPr>
            <w:r>
              <w:rPr>
                <w:b w:val="0"/>
                <w:i w:val="0"/>
                <w:sz w:val="17"/>
              </w:rPr>
              <w:t>Piazza</w:t>
            </w:r>
          </w:p>
        </w:tc>
        <w:tc>
          <w:tcPr>
            <w:tcW w:w="2296" w:type="dxa"/>
            <w:tcMar>
              <w:top w:w="70" w:type="dxa"/>
              <w:left w:w="70" w:type="dxa"/>
              <w:bottom w:w="70" w:type="dxa"/>
              <w:right w:w="70" w:type="dxa"/>
            </w:tcMar>
            <w:vAlign w:val="top"/>
          </w:tcPr>
          <w:p w14:paraId="4A224F83">
            <w:pPr>
              <w:spacing w:after="0" w:line="240" w:lineRule="auto"/>
            </w:pPr>
            <w:r>
              <w:rPr>
                <w:b w:val="0"/>
                <w:i w:val="0"/>
                <w:sz w:val="17"/>
              </w:rPr>
              <w:t>Institution-oriented academic discussions.</w:t>
            </w:r>
          </w:p>
        </w:tc>
        <w:tc>
          <w:tcPr>
            <w:tcW w:w="2296" w:type="dxa"/>
            <w:tcMar>
              <w:top w:w="70" w:type="dxa"/>
              <w:left w:w="70" w:type="dxa"/>
              <w:bottom w:w="70" w:type="dxa"/>
              <w:right w:w="70" w:type="dxa"/>
            </w:tcMar>
            <w:vAlign w:val="top"/>
          </w:tcPr>
          <w:p w14:paraId="0047C54F">
            <w:pPr>
              <w:spacing w:after="0" w:line="240" w:lineRule="auto"/>
            </w:pPr>
            <w:r>
              <w:rPr>
                <w:b w:val="0"/>
                <w:i w:val="0"/>
                <w:sz w:val="17"/>
              </w:rPr>
              <w:t>Course/Q&amp;A emphasis.</w:t>
            </w:r>
          </w:p>
        </w:tc>
        <w:tc>
          <w:tcPr>
            <w:tcW w:w="2296" w:type="dxa"/>
            <w:tcMar>
              <w:top w:w="70" w:type="dxa"/>
              <w:left w:w="70" w:type="dxa"/>
              <w:bottom w:w="70" w:type="dxa"/>
              <w:right w:w="70" w:type="dxa"/>
            </w:tcMar>
            <w:vAlign w:val="top"/>
          </w:tcPr>
          <w:p w14:paraId="35EED14A">
            <w:pPr>
              <w:spacing w:after="0" w:line="240" w:lineRule="auto"/>
            </w:pPr>
            <w:r>
              <w:rPr>
                <w:b w:val="0"/>
                <w:i w:val="0"/>
                <w:sz w:val="17"/>
              </w:rPr>
              <w:t>Support broader society threads, media, reports, and moderation.</w:t>
            </w:r>
          </w:p>
        </w:tc>
      </w:tr>
      <w:tr w14:paraId="6B71C586">
        <w:trPr>
          <w:jc w:val="center"/>
        </w:trPr>
        <w:tc>
          <w:tcPr>
            <w:tcW w:w="2296" w:type="dxa"/>
            <w:tcMar>
              <w:top w:w="70" w:type="dxa"/>
              <w:left w:w="70" w:type="dxa"/>
              <w:bottom w:w="70" w:type="dxa"/>
              <w:right w:w="70" w:type="dxa"/>
            </w:tcMar>
            <w:vAlign w:val="top"/>
          </w:tcPr>
          <w:p w14:paraId="1891EE18">
            <w:pPr>
              <w:spacing w:after="0" w:line="240" w:lineRule="auto"/>
            </w:pPr>
            <w:r>
              <w:rPr>
                <w:b w:val="0"/>
                <w:i w:val="0"/>
                <w:sz w:val="17"/>
              </w:rPr>
              <w:t>CampusGroups</w:t>
            </w:r>
          </w:p>
        </w:tc>
        <w:tc>
          <w:tcPr>
            <w:tcW w:w="2296" w:type="dxa"/>
            <w:tcMar>
              <w:top w:w="70" w:type="dxa"/>
              <w:left w:w="70" w:type="dxa"/>
              <w:bottom w:w="70" w:type="dxa"/>
              <w:right w:w="70" w:type="dxa"/>
            </w:tcMar>
            <w:vAlign w:val="top"/>
          </w:tcPr>
          <w:p w14:paraId="79A4246F">
            <w:pPr>
              <w:spacing w:after="0" w:line="240" w:lineRule="auto"/>
            </w:pPr>
            <w:r>
              <w:rPr>
                <w:b w:val="0"/>
                <w:i w:val="0"/>
                <w:sz w:val="17"/>
              </w:rPr>
              <w:t>Student organisation and institution membership.</w:t>
            </w:r>
          </w:p>
        </w:tc>
        <w:tc>
          <w:tcPr>
            <w:tcW w:w="2296" w:type="dxa"/>
            <w:tcMar>
              <w:top w:w="70" w:type="dxa"/>
              <w:left w:w="70" w:type="dxa"/>
              <w:bottom w:w="70" w:type="dxa"/>
              <w:right w:w="70" w:type="dxa"/>
            </w:tcMar>
            <w:vAlign w:val="top"/>
          </w:tcPr>
          <w:p w14:paraId="5A0C8005">
            <w:pPr>
              <w:spacing w:after="0" w:line="240" w:lineRule="auto"/>
            </w:pPr>
            <w:r>
              <w:rPr>
                <w:b w:val="0"/>
                <w:i w:val="0"/>
                <w:sz w:val="17"/>
              </w:rPr>
              <w:t>Organisation-management orientation.</w:t>
            </w:r>
          </w:p>
        </w:tc>
        <w:tc>
          <w:tcPr>
            <w:tcW w:w="2296" w:type="dxa"/>
            <w:tcMar>
              <w:top w:w="70" w:type="dxa"/>
              <w:left w:w="70" w:type="dxa"/>
              <w:bottom w:w="70" w:type="dxa"/>
              <w:right w:w="70" w:type="dxa"/>
            </w:tcMar>
            <w:vAlign w:val="top"/>
          </w:tcPr>
          <w:p w14:paraId="5842DFCE">
            <w:pPr>
              <w:spacing w:after="0" w:line="240" w:lineRule="auto"/>
            </w:pPr>
            <w:r>
              <w:rPr>
                <w:b w:val="0"/>
                <w:i w:val="0"/>
                <w:sz w:val="17"/>
              </w:rPr>
              <w:t>Provide a discussion-first community model.</w:t>
            </w:r>
          </w:p>
        </w:tc>
      </w:tr>
    </w:tbl>
    <w:p w14:paraId="5EB9F6C9">
      <w:pPr>
        <w:spacing w:after="40"/>
      </w:pPr>
    </w:p>
    <w:p w14:paraId="3C0ACE57">
      <w:pPr>
        <w:pStyle w:val="2"/>
      </w:pPr>
      <w:bookmarkStart w:id="9" w:name="_Toc2129778588"/>
      <w:r>
        <w:t>System architecture</w:t>
      </w:r>
      <w:bookmarkEnd w:id="9"/>
    </w:p>
    <w:p w14:paraId="19155254">
      <w:pPr>
        <w:pStyle w:val="3"/>
      </w:pPr>
      <w:bookmarkStart w:id="10" w:name="_Toc931300320"/>
      <w:r>
        <w:t>Architecture reading guide</w:t>
      </w:r>
      <w:bookmarkEnd w:id="10"/>
    </w:p>
    <w:p w14:paraId="6F6CD354">
      <w:pPr>
        <w:spacing w:after="100" w:line="259" w:lineRule="auto"/>
      </w:pPr>
      <w:r>
        <w:rPr>
          <w:b w:val="0"/>
          <w:i w:val="0"/>
        </w:rPr>
        <w:t xml:space="preserve">Solid arrows in the architecture figures are synchronous requests or responses. Dashed arrows are asynchronous messages, scheduled triggers, or orchestration transitions. Numbered arrows express their order. Every diagram separates the browser, the AWS Cloud in </w:t>
      </w:r>
      <w:r>
        <w:rPr>
          <w:rFonts w:ascii="Courier New" w:hAnsi="Courier New" w:eastAsia="Courier New"/>
          <w:b w:val="0"/>
          <w:i w:val="0"/>
        </w:rPr>
        <w:t>us-east-1</w:t>
      </w:r>
      <w:r>
        <w:rPr>
          <w:b w:val="0"/>
          <w:i w:val="0"/>
        </w:rPr>
        <w:t>, and third-party services. Orange-tinted boxes are optional and must only be presented as live assessment evidence after the complete path is deployed and demonstrated.</w:t>
      </w:r>
    </w:p>
    <w:p w14:paraId="78C557E3">
      <w:pPr>
        <w:spacing w:before="80" w:after="60"/>
        <w:jc w:val="center"/>
      </w:pPr>
      <w:r>
        <w:rPr>
          <w:i/>
          <w:sz w:val="18"/>
        </w:rPr>
        <w:t>Client-operation coverage.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3061"/>
        <w:gridCol w:w="3061"/>
      </w:tblGrid>
      <w:tr w14:paraId="4DAD4DA6">
        <w:trPr>
          <w:tblHeader/>
          <w:jc w:val="center"/>
        </w:trPr>
        <w:tc>
          <w:tcPr>
            <w:tcW w:w="3061" w:type="dxa"/>
            <w:shd w:val="clear" w:color="auto" w:fill="E7E6E6"/>
            <w:tcMar>
              <w:top w:w="70" w:type="dxa"/>
              <w:left w:w="70" w:type="dxa"/>
              <w:bottom w:w="70" w:type="dxa"/>
              <w:right w:w="70" w:type="dxa"/>
            </w:tcMar>
            <w:vAlign w:val="top"/>
          </w:tcPr>
          <w:p w14:paraId="0806917F">
            <w:pPr>
              <w:spacing w:after="0" w:line="240" w:lineRule="auto"/>
            </w:pPr>
            <w:r>
              <w:rPr>
                <w:b/>
                <w:i w:val="0"/>
                <w:sz w:val="17"/>
              </w:rPr>
              <w:t>Client operation</w:t>
            </w:r>
          </w:p>
        </w:tc>
        <w:tc>
          <w:tcPr>
            <w:tcW w:w="3061" w:type="dxa"/>
            <w:shd w:val="clear" w:color="auto" w:fill="E7E6E6"/>
            <w:tcMar>
              <w:top w:w="70" w:type="dxa"/>
              <w:left w:w="70" w:type="dxa"/>
              <w:bottom w:w="70" w:type="dxa"/>
              <w:right w:w="70" w:type="dxa"/>
            </w:tcMar>
            <w:vAlign w:val="top"/>
          </w:tcPr>
          <w:p w14:paraId="1F89D486">
            <w:pPr>
              <w:spacing w:after="0" w:line="240" w:lineRule="auto"/>
            </w:pPr>
            <w:r>
              <w:rPr>
                <w:b/>
                <w:i w:val="0"/>
                <w:sz w:val="17"/>
              </w:rPr>
              <w:t>Actor</w:t>
            </w:r>
          </w:p>
        </w:tc>
        <w:tc>
          <w:tcPr>
            <w:tcW w:w="3061" w:type="dxa"/>
            <w:shd w:val="clear" w:color="auto" w:fill="E7E6E6"/>
            <w:tcMar>
              <w:top w:w="70" w:type="dxa"/>
              <w:left w:w="70" w:type="dxa"/>
              <w:bottom w:w="70" w:type="dxa"/>
              <w:right w:w="70" w:type="dxa"/>
            </w:tcMar>
            <w:vAlign w:val="top"/>
          </w:tcPr>
          <w:p w14:paraId="5A309A52">
            <w:pPr>
              <w:spacing w:after="0" w:line="240" w:lineRule="auto"/>
            </w:pPr>
            <w:r>
              <w:rPr>
                <w:b/>
                <w:i w:val="0"/>
                <w:sz w:val="17"/>
              </w:rPr>
              <w:t>Architecture figure</w:t>
            </w:r>
          </w:p>
        </w:tc>
      </w:tr>
      <w:tr w14:paraId="18C528D3">
        <w:trPr>
          <w:jc w:val="center"/>
        </w:trPr>
        <w:tc>
          <w:tcPr>
            <w:tcW w:w="3061" w:type="dxa"/>
            <w:tcMar>
              <w:top w:w="70" w:type="dxa"/>
              <w:left w:w="70" w:type="dxa"/>
              <w:bottom w:w="70" w:type="dxa"/>
              <w:right w:w="70" w:type="dxa"/>
            </w:tcMar>
            <w:vAlign w:val="top"/>
          </w:tcPr>
          <w:p w14:paraId="235EE6C6">
            <w:pPr>
              <w:spacing w:after="0" w:line="240" w:lineRule="auto"/>
            </w:pPr>
            <w:r>
              <w:rPr>
                <w:b w:val="0"/>
                <w:i w:val="0"/>
                <w:sz w:val="17"/>
              </w:rPr>
              <w:t>Register, sign in, refresh session, sign out; browse societies, feeds, threads, and comments</w:t>
            </w:r>
          </w:p>
        </w:tc>
        <w:tc>
          <w:tcPr>
            <w:tcW w:w="3061" w:type="dxa"/>
            <w:tcMar>
              <w:top w:w="70" w:type="dxa"/>
              <w:left w:w="70" w:type="dxa"/>
              <w:bottom w:w="70" w:type="dxa"/>
              <w:right w:w="70" w:type="dxa"/>
            </w:tcMar>
            <w:vAlign w:val="top"/>
          </w:tcPr>
          <w:p w14:paraId="5F37ED55">
            <w:pPr>
              <w:spacing w:after="0" w:line="240" w:lineRule="auto"/>
            </w:pPr>
            <w:r>
              <w:rPr>
                <w:b w:val="0"/>
                <w:i w:val="0"/>
                <w:sz w:val="17"/>
              </w:rPr>
              <w:t>Student or visitor</w:t>
            </w:r>
          </w:p>
        </w:tc>
        <w:tc>
          <w:tcPr>
            <w:tcW w:w="3061" w:type="dxa"/>
            <w:tcMar>
              <w:top w:w="70" w:type="dxa"/>
              <w:left w:w="70" w:type="dxa"/>
              <w:bottom w:w="70" w:type="dxa"/>
              <w:right w:w="70" w:type="dxa"/>
            </w:tcMar>
            <w:vAlign w:val="top"/>
          </w:tcPr>
          <w:p w14:paraId="57EB7952">
            <w:pPr>
              <w:spacing w:after="0" w:line="240" w:lineRule="auto"/>
            </w:pPr>
            <w:r>
              <w:rPr>
                <w:b w:val="0"/>
                <w:i w:val="0"/>
                <w:sz w:val="17"/>
              </w:rPr>
              <w:t>Figure 3</w:t>
            </w:r>
          </w:p>
        </w:tc>
      </w:tr>
      <w:tr w14:paraId="143582A5">
        <w:trPr>
          <w:jc w:val="center"/>
        </w:trPr>
        <w:tc>
          <w:tcPr>
            <w:tcW w:w="3061" w:type="dxa"/>
            <w:tcMar>
              <w:top w:w="70" w:type="dxa"/>
              <w:left w:w="70" w:type="dxa"/>
              <w:bottom w:w="70" w:type="dxa"/>
              <w:right w:w="70" w:type="dxa"/>
            </w:tcMar>
            <w:vAlign w:val="top"/>
          </w:tcPr>
          <w:p w14:paraId="078BB4D1">
            <w:pPr>
              <w:spacing w:after="0" w:line="240" w:lineRule="auto"/>
            </w:pPr>
            <w:r>
              <w:rPr>
                <w:b w:val="0"/>
                <w:i w:val="0"/>
                <w:sz w:val="17"/>
              </w:rPr>
              <w:t>Join or leave a society; create, edit, or delete thread/comment; vote</w:t>
            </w:r>
          </w:p>
        </w:tc>
        <w:tc>
          <w:tcPr>
            <w:tcW w:w="3061" w:type="dxa"/>
            <w:tcMar>
              <w:top w:w="70" w:type="dxa"/>
              <w:left w:w="70" w:type="dxa"/>
              <w:bottom w:w="70" w:type="dxa"/>
              <w:right w:w="70" w:type="dxa"/>
            </w:tcMar>
            <w:vAlign w:val="top"/>
          </w:tcPr>
          <w:p w14:paraId="4FDEF31F">
            <w:pPr>
              <w:spacing w:after="0" w:line="240" w:lineRule="auto"/>
            </w:pPr>
            <w:r>
              <w:rPr>
                <w:b w:val="0"/>
                <w:i w:val="0"/>
                <w:sz w:val="17"/>
              </w:rPr>
              <w:t>Student</w:t>
            </w:r>
          </w:p>
        </w:tc>
        <w:tc>
          <w:tcPr>
            <w:tcW w:w="3061" w:type="dxa"/>
            <w:tcMar>
              <w:top w:w="70" w:type="dxa"/>
              <w:left w:w="70" w:type="dxa"/>
              <w:bottom w:w="70" w:type="dxa"/>
              <w:right w:w="70" w:type="dxa"/>
            </w:tcMar>
            <w:vAlign w:val="top"/>
          </w:tcPr>
          <w:p w14:paraId="324EC5F4">
            <w:pPr>
              <w:spacing w:after="0" w:line="240" w:lineRule="auto"/>
            </w:pPr>
            <w:r>
              <w:rPr>
                <w:b w:val="0"/>
                <w:i w:val="0"/>
                <w:sz w:val="17"/>
              </w:rPr>
              <w:t>Figure 3</w:t>
            </w:r>
          </w:p>
        </w:tc>
      </w:tr>
      <w:tr w14:paraId="1BED0886">
        <w:trPr>
          <w:jc w:val="center"/>
        </w:trPr>
        <w:tc>
          <w:tcPr>
            <w:tcW w:w="3061" w:type="dxa"/>
            <w:tcMar>
              <w:top w:w="70" w:type="dxa"/>
              <w:left w:w="70" w:type="dxa"/>
              <w:bottom w:w="70" w:type="dxa"/>
              <w:right w:w="70" w:type="dxa"/>
            </w:tcMar>
            <w:vAlign w:val="top"/>
          </w:tcPr>
          <w:p w14:paraId="0BA19FEE">
            <w:pPr>
              <w:spacing w:after="0" w:line="240" w:lineRule="auto"/>
            </w:pPr>
            <w:r>
              <w:rPr>
                <w:b w:val="0"/>
                <w:i w:val="0"/>
                <w:sz w:val="17"/>
              </w:rPr>
              <w:t>Request, upload, complete, and attach media</w:t>
            </w:r>
          </w:p>
        </w:tc>
        <w:tc>
          <w:tcPr>
            <w:tcW w:w="3061" w:type="dxa"/>
            <w:tcMar>
              <w:top w:w="70" w:type="dxa"/>
              <w:left w:w="70" w:type="dxa"/>
              <w:bottom w:w="70" w:type="dxa"/>
              <w:right w:w="70" w:type="dxa"/>
            </w:tcMar>
            <w:vAlign w:val="top"/>
          </w:tcPr>
          <w:p w14:paraId="4724F2B1">
            <w:pPr>
              <w:spacing w:after="0" w:line="240" w:lineRule="auto"/>
            </w:pPr>
            <w:r>
              <w:rPr>
                <w:b w:val="0"/>
                <w:i w:val="0"/>
                <w:sz w:val="17"/>
              </w:rPr>
              <w:t>Student</w:t>
            </w:r>
          </w:p>
        </w:tc>
        <w:tc>
          <w:tcPr>
            <w:tcW w:w="3061" w:type="dxa"/>
            <w:tcMar>
              <w:top w:w="70" w:type="dxa"/>
              <w:left w:w="70" w:type="dxa"/>
              <w:bottom w:w="70" w:type="dxa"/>
              <w:right w:w="70" w:type="dxa"/>
            </w:tcMar>
            <w:vAlign w:val="top"/>
          </w:tcPr>
          <w:p w14:paraId="3D65D7DB">
            <w:pPr>
              <w:spacing w:after="0" w:line="240" w:lineRule="auto"/>
            </w:pPr>
            <w:r>
              <w:rPr>
                <w:b w:val="0"/>
                <w:i w:val="0"/>
                <w:sz w:val="17"/>
              </w:rPr>
              <w:t>Figure A.1</w:t>
            </w:r>
          </w:p>
        </w:tc>
      </w:tr>
      <w:tr w14:paraId="50F0C1F3">
        <w:trPr>
          <w:jc w:val="center"/>
        </w:trPr>
        <w:tc>
          <w:tcPr>
            <w:tcW w:w="3061" w:type="dxa"/>
            <w:tcMar>
              <w:top w:w="70" w:type="dxa"/>
              <w:left w:w="70" w:type="dxa"/>
              <w:bottom w:w="70" w:type="dxa"/>
              <w:right w:w="70" w:type="dxa"/>
            </w:tcMar>
            <w:vAlign w:val="top"/>
          </w:tcPr>
          <w:p w14:paraId="58E81ECB">
            <w:pPr>
              <w:spacing w:after="0" w:line="240" w:lineRule="auto"/>
            </w:pPr>
            <w:r>
              <w:rPr>
                <w:b w:val="0"/>
                <w:i w:val="0"/>
                <w:sz w:val="17"/>
              </w:rPr>
              <w:t>Search, select, and persist a verified location</w:t>
            </w:r>
          </w:p>
        </w:tc>
        <w:tc>
          <w:tcPr>
            <w:tcW w:w="3061" w:type="dxa"/>
            <w:tcMar>
              <w:top w:w="70" w:type="dxa"/>
              <w:left w:w="70" w:type="dxa"/>
              <w:bottom w:w="70" w:type="dxa"/>
              <w:right w:w="70" w:type="dxa"/>
            </w:tcMar>
            <w:vAlign w:val="top"/>
          </w:tcPr>
          <w:p w14:paraId="53582527">
            <w:pPr>
              <w:spacing w:after="0" w:line="240" w:lineRule="auto"/>
            </w:pPr>
            <w:r>
              <w:rPr>
                <w:b w:val="0"/>
                <w:i w:val="0"/>
                <w:sz w:val="17"/>
              </w:rPr>
              <w:t>Student</w:t>
            </w:r>
          </w:p>
        </w:tc>
        <w:tc>
          <w:tcPr>
            <w:tcW w:w="3061" w:type="dxa"/>
            <w:tcMar>
              <w:top w:w="70" w:type="dxa"/>
              <w:left w:w="70" w:type="dxa"/>
              <w:bottom w:w="70" w:type="dxa"/>
              <w:right w:w="70" w:type="dxa"/>
            </w:tcMar>
            <w:vAlign w:val="top"/>
          </w:tcPr>
          <w:p w14:paraId="6837C756">
            <w:pPr>
              <w:spacing w:after="0" w:line="240" w:lineRule="auto"/>
            </w:pPr>
            <w:r>
              <w:rPr>
                <w:b w:val="0"/>
                <w:i w:val="0"/>
                <w:sz w:val="17"/>
              </w:rPr>
              <w:t>Figure A.1</w:t>
            </w:r>
          </w:p>
        </w:tc>
      </w:tr>
      <w:tr w14:paraId="64B85A0B">
        <w:trPr>
          <w:jc w:val="center"/>
        </w:trPr>
        <w:tc>
          <w:tcPr>
            <w:tcW w:w="3061" w:type="dxa"/>
            <w:tcMar>
              <w:top w:w="70" w:type="dxa"/>
              <w:left w:w="70" w:type="dxa"/>
              <w:bottom w:w="70" w:type="dxa"/>
              <w:right w:w="70" w:type="dxa"/>
            </w:tcMar>
            <w:vAlign w:val="top"/>
          </w:tcPr>
          <w:p w14:paraId="4FC8D06D">
            <w:pPr>
              <w:spacing w:after="0" w:line="240" w:lineRule="auto"/>
            </w:pPr>
            <w:r>
              <w:rPr>
                <w:b w:val="0"/>
                <w:i w:val="0"/>
                <w:sz w:val="17"/>
              </w:rPr>
              <w:t>Submit report; inspect queue; record decision; request reanalysis</w:t>
            </w:r>
          </w:p>
        </w:tc>
        <w:tc>
          <w:tcPr>
            <w:tcW w:w="3061" w:type="dxa"/>
            <w:tcMar>
              <w:top w:w="70" w:type="dxa"/>
              <w:left w:w="70" w:type="dxa"/>
              <w:bottom w:w="70" w:type="dxa"/>
              <w:right w:w="70" w:type="dxa"/>
            </w:tcMar>
            <w:vAlign w:val="top"/>
          </w:tcPr>
          <w:p w14:paraId="4BC99C58">
            <w:pPr>
              <w:spacing w:after="0" w:line="240" w:lineRule="auto"/>
            </w:pPr>
            <w:r>
              <w:rPr>
                <w:b w:val="0"/>
                <w:i w:val="0"/>
                <w:sz w:val="17"/>
              </w:rPr>
              <w:t>Student or moderator</w:t>
            </w:r>
          </w:p>
        </w:tc>
        <w:tc>
          <w:tcPr>
            <w:tcW w:w="3061" w:type="dxa"/>
            <w:tcMar>
              <w:top w:w="70" w:type="dxa"/>
              <w:left w:w="70" w:type="dxa"/>
              <w:bottom w:w="70" w:type="dxa"/>
              <w:right w:w="70" w:type="dxa"/>
            </w:tcMar>
            <w:vAlign w:val="top"/>
          </w:tcPr>
          <w:p w14:paraId="2216ED79">
            <w:pPr>
              <w:spacing w:after="0" w:line="240" w:lineRule="auto"/>
            </w:pPr>
            <w:r>
              <w:rPr>
                <w:b w:val="0"/>
                <w:i w:val="0"/>
                <w:sz w:val="17"/>
              </w:rPr>
              <w:t>Figure A.2</w:t>
            </w:r>
          </w:p>
        </w:tc>
      </w:tr>
      <w:tr w14:paraId="12BB8731">
        <w:trPr>
          <w:jc w:val="center"/>
        </w:trPr>
        <w:tc>
          <w:tcPr>
            <w:tcW w:w="3061" w:type="dxa"/>
            <w:tcMar>
              <w:top w:w="70" w:type="dxa"/>
              <w:left w:w="70" w:type="dxa"/>
              <w:bottom w:w="70" w:type="dxa"/>
              <w:right w:w="70" w:type="dxa"/>
            </w:tcMar>
            <w:vAlign w:val="top"/>
          </w:tcPr>
          <w:p w14:paraId="5732BA2D">
            <w:pPr>
              <w:spacing w:after="0" w:line="240" w:lineRule="auto"/>
            </w:pPr>
            <w:r>
              <w:rPr>
                <w:b w:val="0"/>
                <w:i w:val="0"/>
                <w:sz w:val="17"/>
              </w:rPr>
              <w:t>Request, monitor, and view analytics refresh</w:t>
            </w:r>
          </w:p>
        </w:tc>
        <w:tc>
          <w:tcPr>
            <w:tcW w:w="3061" w:type="dxa"/>
            <w:tcMar>
              <w:top w:w="70" w:type="dxa"/>
              <w:left w:w="70" w:type="dxa"/>
              <w:bottom w:w="70" w:type="dxa"/>
              <w:right w:w="70" w:type="dxa"/>
            </w:tcMar>
            <w:vAlign w:val="top"/>
          </w:tcPr>
          <w:p w14:paraId="312D1AA0">
            <w:pPr>
              <w:spacing w:after="0" w:line="240" w:lineRule="auto"/>
            </w:pPr>
            <w:r>
              <w:rPr>
                <w:b w:val="0"/>
                <w:i w:val="0"/>
                <w:sz w:val="17"/>
              </w:rPr>
              <w:t>System administrator</w:t>
            </w:r>
          </w:p>
        </w:tc>
        <w:tc>
          <w:tcPr>
            <w:tcW w:w="3061" w:type="dxa"/>
            <w:tcMar>
              <w:top w:w="70" w:type="dxa"/>
              <w:left w:w="70" w:type="dxa"/>
              <w:bottom w:w="70" w:type="dxa"/>
              <w:right w:w="70" w:type="dxa"/>
            </w:tcMar>
            <w:vAlign w:val="top"/>
          </w:tcPr>
          <w:p w14:paraId="494C3E01">
            <w:pPr>
              <w:spacing w:after="0" w:line="240" w:lineRule="auto"/>
            </w:pPr>
            <w:r>
              <w:rPr>
                <w:b w:val="0"/>
                <w:i w:val="0"/>
                <w:sz w:val="17"/>
              </w:rPr>
              <w:t>Figure A.3</w:t>
            </w:r>
          </w:p>
        </w:tc>
      </w:tr>
    </w:tbl>
    <w:p w14:paraId="2168D08D"/>
    <w:p w14:paraId="5D439B0F">
      <w:pPr>
        <w:jc w:val="center"/>
      </w:pPr>
      <w:r>
        <w:drawing>
          <wp:inline distT="0" distB="0" distL="114300" distR="114300">
            <wp:extent cx="5760720" cy="4758055"/>
            <wp:effectExtent l="12700" t="12700" r="17780" b="298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60720" cy="4758501"/>
                    </a:xfrm>
                    <a:prstGeom prst="rect">
                      <a:avLst/>
                    </a:prstGeom>
                    <a:ln>
                      <a:solidFill>
                        <a:schemeClr val="tx1"/>
                      </a:solidFill>
                    </a:ln>
                  </pic:spPr>
                </pic:pic>
              </a:graphicData>
            </a:graphic>
          </wp:inline>
        </w:drawing>
      </w:r>
    </w:p>
    <w:p w14:paraId="26185714">
      <w:pPr>
        <w:pStyle w:val="16"/>
        <w:bidi w:val="0"/>
        <w:rPr>
          <w:rFonts w:hint="default"/>
          <w:lang w:val="en-US"/>
        </w:rPr>
      </w:pPr>
      <w:r>
        <w:t xml:space="preserve">Figure </w:t>
      </w:r>
      <w:r>
        <w:fldChar w:fldCharType="begin"/>
      </w:r>
      <w:r>
        <w:instrText xml:space="preserve"> SEQ Figure \* ARABIC </w:instrText>
      </w:r>
      <w:r>
        <w:fldChar w:fldCharType="separate"/>
      </w:r>
      <w:r>
        <w:t>2</w:t>
      </w:r>
      <w:r>
        <w:fldChar w:fldCharType="end"/>
      </w:r>
      <w:r>
        <w:rPr>
          <w:lang w:val="en-US"/>
        </w:rPr>
        <w:t>: Deployment and component overview. The primary path is the active topology documented in infrastructure source; content analysis and analytics are feature-gated and must be status-labelled in the final report.</w:t>
      </w:r>
    </w:p>
    <w:p w14:paraId="4A3E43A9">
      <w:pPr>
        <w:pStyle w:val="3"/>
      </w:pPr>
      <w:bookmarkStart w:id="11" w:name="_Toc1503658904"/>
      <w:r>
        <w:t>Core authentication and community request flow</w:t>
      </w:r>
      <w:bookmarkEnd w:id="11"/>
    </w:p>
    <w:p w14:paraId="1E126584">
      <w:pPr>
        <w:spacing w:after="100" w:line="259" w:lineRule="auto"/>
      </w:pPr>
      <w:r>
        <w:rPr>
          <w:b w:val="0"/>
          <w:i w:val="0"/>
        </w:rPr>
        <w:t xml:space="preserve">Figure 3 covers synchronous community operations. The SPA invokes an application or API operation; Amplify rewrites </w:t>
      </w:r>
      <w:r>
        <w:rPr>
          <w:rFonts w:ascii="Courier New" w:hAnsi="Courier New" w:eastAsia="Courier New"/>
          <w:b w:val="0"/>
          <w:i w:val="0"/>
        </w:rPr>
        <w:t>/api/*</w:t>
      </w:r>
      <w:r>
        <w:rPr>
          <w:b w:val="0"/>
          <w:i w:val="0"/>
        </w:rPr>
        <w:t xml:space="preserve"> to API Gateway; API Gateway proxies it to ECS; and the backend applies its dependency flow: route, controller, application service, domain policy, repository port, and Drizzle repository. The repository reads or writes RDS PostgreSQL, using a transaction when a use case requires one, before the response returns through API Gateway. This sequence makes the backend a domain-oriented modular monolith, not independently deployed microservices.</w:t>
      </w:r>
    </w:p>
    <w:p w14:paraId="266950DF">
      <w:pPr>
        <w:jc w:val="center"/>
      </w:pPr>
      <w:r>
        <w:drawing>
          <wp:inline distT="0" distB="0" distL="114300" distR="114300">
            <wp:extent cx="5760720" cy="3418205"/>
            <wp:effectExtent l="12700" t="12700" r="1778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60720" cy="3418205"/>
                    </a:xfrm>
                    <a:prstGeom prst="rect">
                      <a:avLst/>
                    </a:prstGeom>
                    <a:ln>
                      <a:solidFill>
                        <a:schemeClr val="tx1"/>
                      </a:solidFill>
                    </a:ln>
                  </pic:spPr>
                </pic:pic>
              </a:graphicData>
            </a:graphic>
          </wp:inline>
        </w:drawing>
      </w:r>
    </w:p>
    <w:p w14:paraId="6BEEF409">
      <w:pPr>
        <w:pStyle w:val="16"/>
        <w:jc w:val="center"/>
      </w:pPr>
      <w:r>
        <w:t xml:space="preserve">Figure </w:t>
      </w:r>
      <w:r>
        <w:fldChar w:fldCharType="begin"/>
      </w:r>
      <w:r>
        <w:instrText xml:space="preserve"> SEQ Figure \* ARABIC </w:instrText>
      </w:r>
      <w:r>
        <w:fldChar w:fldCharType="separate"/>
      </w:r>
      <w:r>
        <w:t>3</w:t>
      </w:r>
      <w:r>
        <w:fldChar w:fldCharType="end"/>
      </w:r>
      <w:r>
        <w:rPr>
          <w:lang w:val="en-US"/>
        </w:rPr>
        <w:t>: Core authentication and community request flow. The internal ECS dependency flow shows that transport, application policy, and persistence responsibilities are distinct.</w:t>
      </w:r>
    </w:p>
    <w:p w14:paraId="3C18BF15">
      <w:pPr>
        <w:pStyle w:val="3"/>
      </w:pPr>
      <w:bookmarkStart w:id="12" w:name="_Toc407641632"/>
      <w:r>
        <w:t>Media upload and verified location flow</w:t>
      </w:r>
      <w:bookmarkEnd w:id="12"/>
    </w:p>
    <w:p w14:paraId="0FF84F52">
      <w:pPr>
        <w:spacing w:after="100" w:line="259" w:lineRule="auto"/>
      </w:pPr>
      <w:r>
        <w:rPr>
          <w:b w:val="0"/>
          <w:i w:val="0"/>
        </w:rPr>
        <w:t>The media lane in Appendix Figure A.1 (click to view) keeps binary transfer off the application backend. The backend authorizes the request and creates pending metadata in RDS, then returns a presigned S3 upload URL. The browser uploads the binary directly to S3 and confirms completion through the API. The backend changes the media state to ready and attaches it to the thread. RDS retains metadata and the object key, never the media binary or presigned URL.</w:t>
      </w:r>
    </w:p>
    <w:p w14:paraId="73110D5F">
      <w:pPr>
        <w:spacing w:after="100" w:line="259" w:lineRule="auto"/>
      </w:pPr>
      <w:r>
        <w:rPr>
          <w:b w:val="0"/>
          <w:i w:val="0"/>
        </w:rPr>
        <w:t>The location lane is intentionally server verified. The place interface submits the selected Mapbox identifier, not arbitrary client coordinates. The ECS places adapter retrieves and verifies the selected place before persistence, then stores the verified name, Mapbox identifier, place type, latitude, and longitude with the thread. Mapbox documents its Search service and place-retrieval interfaces [10].</w:t>
      </w:r>
    </w:p>
    <w:p w14:paraId="1CE3AE50">
      <w:pPr>
        <w:pStyle w:val="3"/>
      </w:pPr>
      <w:bookmarkStart w:id="13" w:name="_Toc760075094"/>
      <w:r>
        <w:t>Moderation and optional content analysis</w:t>
      </w:r>
      <w:bookmarkEnd w:id="13"/>
    </w:p>
    <w:p w14:paraId="1A2D46F4">
      <w:pPr>
        <w:spacing w:after="100" w:line="259" w:lineRule="auto"/>
      </w:pPr>
      <w:r>
        <w:rPr>
          <w:b w:val="0"/>
          <w:i w:val="0"/>
        </w:rPr>
        <w:t xml:space="preserve">A student report is persisted through the standard SPA, API Gateway, ECS, and RDS path. A moderator decision additionally verifies that the principal has an active moderator membership for the same society. This is different from the global </w:t>
      </w:r>
      <w:r>
        <w:rPr>
          <w:rFonts w:ascii="Courier New" w:hAnsi="Courier New" w:eastAsia="Courier New"/>
          <w:b w:val="0"/>
          <w:i w:val="0"/>
        </w:rPr>
        <w:t>system_admin</w:t>
      </w:r>
      <w:r>
        <w:rPr>
          <w:b w:val="0"/>
          <w:i w:val="0"/>
        </w:rPr>
        <w:t xml:space="preserve"> role. Appendix Figure A.2 (click to view) depicts the content-reanalysis route as an </w:t>
      </w:r>
      <w:r>
        <w:rPr>
          <w:b w:val="0"/>
          <w:i/>
        </w:rPr>
        <w:t>implemented optional pipeline</w:t>
      </w:r>
      <w:r>
        <w:rPr>
          <w:b w:val="0"/>
          <w:i w:val="0"/>
        </w:rPr>
        <w:t>: it must remain clearly marked as non-live until its SQS, worker, Lambda, OpenRouter, storage-access, persistence, and visible-result path are exercised. OpenRouter documents its API as the inference integration boundary [11].</w:t>
      </w:r>
    </w:p>
    <w:p w14:paraId="1B98D472">
      <w:pPr>
        <w:pStyle w:val="3"/>
      </w:pPr>
      <w:bookmarkStart w:id="14" w:name="_Toc1349372502"/>
      <w:r>
        <w:t>Optional analytics refresh and reporting</w:t>
      </w:r>
      <w:bookmarkEnd w:id="14"/>
    </w:p>
    <w:p w14:paraId="18DA6FA1">
      <w:pPr>
        <w:spacing w:after="100" w:line="259" w:lineRule="auto"/>
      </w:pPr>
      <w:r>
        <w:rPr>
          <w:b w:val="0"/>
          <w:i w:val="0"/>
        </w:rPr>
        <w:t>Appendix Figure A.3 (click to view) describes the analytics v2 operation when enabled: a system administrator requests an inclusive-start/exclusive-end UTC date-range refresh, or EventBridge invokes the authenticated scheduler endpoint. ECS creates one durable run in RDS and starts a Step Functions execution with range-scoped input. Step Functions owns waiting, retry, timeout, and fan-in rather than ECS polling Glue or Athena. Glue exports action events, memberships, and votes to private S3 and catalogs Parquet external tables. Athena runs activity, current-state, and reconciliation queries in parallel. The workflow Lambda validates the results and persists metric rows to RDS, which the Admin Center reads through ECS.</w:t>
      </w:r>
    </w:p>
    <w:p w14:paraId="3C3A9177">
      <w:pPr>
        <w:spacing w:after="100" w:line="259" w:lineRule="auto"/>
      </w:pPr>
      <w:r>
        <w:rPr>
          <w:b w:val="0"/>
          <w:i w:val="0"/>
        </w:rPr>
        <w:t>Actor identities in action events are HMAC pseudonyms rather than direct user identifiers. The entire analytics path is feature-gated in the documented infrastructure. It is not live assessment evidence until the refresh request, durable status, Glue output, Athena query, persisted metric, and visible table/chart have all been demonstrated. AWS documents the orchestration, ETL, query, and scheduling services used by this optional path [12, 13, 14, 15].</w:t>
      </w:r>
    </w:p>
    <w:p w14:paraId="292BD0B7">
      <w:pPr>
        <w:pStyle w:val="2"/>
      </w:pPr>
      <w:bookmarkStart w:id="15" w:name="_Toc1476328794"/>
      <w:r>
        <w:t>System descriptions</w:t>
      </w:r>
      <w:bookmarkEnd w:id="15"/>
    </w:p>
    <w:p w14:paraId="430E361D">
      <w:pPr>
        <w:spacing w:after="100" w:line="259" w:lineRule="auto"/>
      </w:pPr>
      <w:r>
        <w:rPr>
          <w:b w:val="0"/>
          <w:i w:val="0"/>
        </w:rPr>
        <w:t>The component table links every service to a browser operation or automatic service-to-service invocation. Final submission must remove or relabel any row whose component is unavailable in the demonstration environment.</w:t>
      </w:r>
    </w:p>
    <w:p w14:paraId="3BFBB3E0">
      <w:pPr>
        <w:spacing w:before="80" w:after="60"/>
        <w:jc w:val="center"/>
      </w:pPr>
      <w:r>
        <w:rPr>
          <w:i/>
          <w:sz w:val="18"/>
        </w:rPr>
        <w:t>Component responsibilities and invocation paths.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3061"/>
        <w:gridCol w:w="3061"/>
      </w:tblGrid>
      <w:tr w14:paraId="58733F7C">
        <w:trPr>
          <w:tblHeader/>
          <w:jc w:val="center"/>
        </w:trPr>
        <w:tc>
          <w:tcPr>
            <w:tcW w:w="3061" w:type="dxa"/>
            <w:shd w:val="clear" w:color="auto" w:fill="E7E6E6"/>
            <w:tcMar>
              <w:top w:w="70" w:type="dxa"/>
              <w:left w:w="70" w:type="dxa"/>
              <w:bottom w:w="70" w:type="dxa"/>
              <w:right w:w="70" w:type="dxa"/>
            </w:tcMar>
            <w:vAlign w:val="top"/>
          </w:tcPr>
          <w:p w14:paraId="427615E5">
            <w:pPr>
              <w:spacing w:after="0" w:line="240" w:lineRule="auto"/>
            </w:pPr>
            <w:r>
              <w:rPr>
                <w:b/>
                <w:i w:val="0"/>
                <w:sz w:val="17"/>
              </w:rPr>
              <w:t>Category</w:t>
            </w:r>
          </w:p>
        </w:tc>
        <w:tc>
          <w:tcPr>
            <w:tcW w:w="3061" w:type="dxa"/>
            <w:shd w:val="clear" w:color="auto" w:fill="E7E6E6"/>
            <w:tcMar>
              <w:top w:w="70" w:type="dxa"/>
              <w:left w:w="70" w:type="dxa"/>
              <w:bottom w:w="70" w:type="dxa"/>
              <w:right w:w="70" w:type="dxa"/>
            </w:tcMar>
            <w:vAlign w:val="top"/>
          </w:tcPr>
          <w:p w14:paraId="30C416BF">
            <w:pPr>
              <w:spacing w:after="0" w:line="240" w:lineRule="auto"/>
            </w:pPr>
            <w:r>
              <w:rPr>
                <w:b/>
                <w:i w:val="0"/>
                <w:sz w:val="17"/>
              </w:rPr>
              <w:t>Component</w:t>
            </w:r>
          </w:p>
        </w:tc>
        <w:tc>
          <w:tcPr>
            <w:tcW w:w="3061" w:type="dxa"/>
            <w:shd w:val="clear" w:color="auto" w:fill="E7E6E6"/>
            <w:tcMar>
              <w:top w:w="70" w:type="dxa"/>
              <w:left w:w="70" w:type="dxa"/>
              <w:bottom w:w="70" w:type="dxa"/>
              <w:right w:w="70" w:type="dxa"/>
            </w:tcMar>
            <w:vAlign w:val="top"/>
          </w:tcPr>
          <w:p w14:paraId="3E3DFCE9">
            <w:pPr>
              <w:spacing w:after="0" w:line="240" w:lineRule="auto"/>
            </w:pPr>
            <w:r>
              <w:rPr>
                <w:b/>
                <w:i w:val="0"/>
                <w:sz w:val="17"/>
              </w:rPr>
              <w:t>Purpose and invocation</w:t>
            </w:r>
          </w:p>
        </w:tc>
      </w:tr>
      <w:tr w14:paraId="26738C6A">
        <w:trPr>
          <w:jc w:val="center"/>
        </w:trPr>
        <w:tc>
          <w:tcPr>
            <w:tcW w:w="3061" w:type="dxa"/>
            <w:tcMar>
              <w:top w:w="70" w:type="dxa"/>
              <w:left w:w="70" w:type="dxa"/>
              <w:bottom w:w="70" w:type="dxa"/>
              <w:right w:w="70" w:type="dxa"/>
            </w:tcMar>
            <w:vAlign w:val="top"/>
          </w:tcPr>
          <w:p w14:paraId="731987A9">
            <w:pPr>
              <w:spacing w:after="0" w:line="240" w:lineRule="auto"/>
            </w:pPr>
            <w:r>
              <w:rPr>
                <w:b w:val="0"/>
                <w:i w:val="0"/>
                <w:sz w:val="17"/>
              </w:rPr>
              <w:t>Client</w:t>
            </w:r>
          </w:p>
        </w:tc>
        <w:tc>
          <w:tcPr>
            <w:tcW w:w="3061" w:type="dxa"/>
            <w:tcMar>
              <w:top w:w="70" w:type="dxa"/>
              <w:left w:w="70" w:type="dxa"/>
              <w:bottom w:w="70" w:type="dxa"/>
              <w:right w:w="70" w:type="dxa"/>
            </w:tcMar>
            <w:vAlign w:val="top"/>
          </w:tcPr>
          <w:p w14:paraId="25EFBDE9">
            <w:pPr>
              <w:spacing w:after="0" w:line="240" w:lineRule="auto"/>
            </w:pPr>
            <w:r>
              <w:rPr>
                <w:b w:val="0"/>
                <w:i w:val="0"/>
                <w:sz w:val="17"/>
              </w:rPr>
              <w:t>React/Vite SPA</w:t>
            </w:r>
          </w:p>
        </w:tc>
        <w:tc>
          <w:tcPr>
            <w:tcW w:w="3061" w:type="dxa"/>
            <w:tcMar>
              <w:top w:w="70" w:type="dxa"/>
              <w:left w:w="70" w:type="dxa"/>
              <w:bottom w:w="70" w:type="dxa"/>
              <w:right w:w="70" w:type="dxa"/>
            </w:tcMar>
            <w:vAlign w:val="top"/>
          </w:tcPr>
          <w:p w14:paraId="0FF8680C">
            <w:pPr>
              <w:spacing w:after="0" w:line="240" w:lineRule="auto"/>
            </w:pPr>
            <w:r>
              <w:rPr>
                <w:b w:val="0"/>
                <w:i w:val="0"/>
                <w:sz w:val="17"/>
              </w:rPr>
              <w:t>Browser interface for student, moderator, and administrator operations.</w:t>
            </w:r>
          </w:p>
        </w:tc>
      </w:tr>
      <w:tr w14:paraId="699EFA2E">
        <w:trPr>
          <w:jc w:val="center"/>
        </w:trPr>
        <w:tc>
          <w:tcPr>
            <w:tcW w:w="3061" w:type="dxa"/>
            <w:tcMar>
              <w:top w:w="70" w:type="dxa"/>
              <w:left w:w="70" w:type="dxa"/>
              <w:bottom w:w="70" w:type="dxa"/>
              <w:right w:w="70" w:type="dxa"/>
            </w:tcMar>
            <w:vAlign w:val="top"/>
          </w:tcPr>
          <w:p w14:paraId="5A3C1ADB">
            <w:pPr>
              <w:spacing w:after="0" w:line="240" w:lineRule="auto"/>
            </w:pPr>
            <w:r>
              <w:rPr>
                <w:b w:val="0"/>
                <w:i w:val="0"/>
                <w:sz w:val="17"/>
              </w:rPr>
              <w:t>Hosting</w:t>
            </w:r>
          </w:p>
        </w:tc>
        <w:tc>
          <w:tcPr>
            <w:tcW w:w="3061" w:type="dxa"/>
            <w:tcMar>
              <w:top w:w="70" w:type="dxa"/>
              <w:left w:w="70" w:type="dxa"/>
              <w:bottom w:w="70" w:type="dxa"/>
              <w:right w:w="70" w:type="dxa"/>
            </w:tcMar>
            <w:vAlign w:val="top"/>
          </w:tcPr>
          <w:p w14:paraId="310806CF">
            <w:pPr>
              <w:spacing w:after="0" w:line="240" w:lineRule="auto"/>
            </w:pPr>
            <w:r>
              <w:rPr>
                <w:b w:val="0"/>
                <w:i w:val="0"/>
                <w:sz w:val="17"/>
              </w:rPr>
              <w:t>Amplify Hosting</w:t>
            </w:r>
          </w:p>
        </w:tc>
        <w:tc>
          <w:tcPr>
            <w:tcW w:w="3061" w:type="dxa"/>
            <w:tcMar>
              <w:top w:w="70" w:type="dxa"/>
              <w:left w:w="70" w:type="dxa"/>
              <w:bottom w:w="70" w:type="dxa"/>
              <w:right w:w="70" w:type="dxa"/>
            </w:tcMar>
            <w:vAlign w:val="top"/>
          </w:tcPr>
          <w:p w14:paraId="39FC8232">
            <w:pPr>
              <w:spacing w:after="0" w:line="240" w:lineRule="auto"/>
            </w:pPr>
            <w:r>
              <w:rPr>
                <w:b w:val="0"/>
                <w:i w:val="0"/>
                <w:sz w:val="17"/>
              </w:rPr>
              <w:t xml:space="preserve">Serves the SPA and rewrites </w:t>
            </w:r>
            <w:r>
              <w:rPr>
                <w:rFonts w:ascii="Courier New" w:hAnsi="Courier New" w:eastAsia="Courier New"/>
                <w:b w:val="0"/>
                <w:i w:val="0"/>
                <w:sz w:val="17"/>
              </w:rPr>
              <w:t>/api/*</w:t>
            </w:r>
            <w:r>
              <w:rPr>
                <w:b w:val="0"/>
                <w:i w:val="0"/>
                <w:sz w:val="17"/>
              </w:rPr>
              <w:t xml:space="preserve"> requests to API Gateway.</w:t>
            </w:r>
          </w:p>
        </w:tc>
      </w:tr>
      <w:tr w14:paraId="4CEB8C89">
        <w:trPr>
          <w:jc w:val="center"/>
        </w:trPr>
        <w:tc>
          <w:tcPr>
            <w:tcW w:w="3061" w:type="dxa"/>
            <w:tcMar>
              <w:top w:w="70" w:type="dxa"/>
              <w:left w:w="70" w:type="dxa"/>
              <w:bottom w:w="70" w:type="dxa"/>
              <w:right w:w="70" w:type="dxa"/>
            </w:tcMar>
            <w:vAlign w:val="top"/>
          </w:tcPr>
          <w:p w14:paraId="4D0C23F6">
            <w:pPr>
              <w:spacing w:after="0" w:line="240" w:lineRule="auto"/>
            </w:pPr>
            <w:r>
              <w:rPr>
                <w:b w:val="0"/>
                <w:i w:val="0"/>
                <w:sz w:val="17"/>
              </w:rPr>
              <w:t>Networking</w:t>
            </w:r>
          </w:p>
        </w:tc>
        <w:tc>
          <w:tcPr>
            <w:tcW w:w="3061" w:type="dxa"/>
            <w:tcMar>
              <w:top w:w="70" w:type="dxa"/>
              <w:left w:w="70" w:type="dxa"/>
              <w:bottom w:w="70" w:type="dxa"/>
              <w:right w:w="70" w:type="dxa"/>
            </w:tcMar>
            <w:vAlign w:val="top"/>
          </w:tcPr>
          <w:p w14:paraId="6E885490">
            <w:pPr>
              <w:spacing w:after="0" w:line="240" w:lineRule="auto"/>
            </w:pPr>
            <w:r>
              <w:rPr>
                <w:b w:val="0"/>
                <w:i w:val="0"/>
                <w:sz w:val="17"/>
              </w:rPr>
              <w:t>API Gateway HTTP API</w:t>
            </w:r>
          </w:p>
        </w:tc>
        <w:tc>
          <w:tcPr>
            <w:tcW w:w="3061" w:type="dxa"/>
            <w:tcMar>
              <w:top w:w="70" w:type="dxa"/>
              <w:left w:w="70" w:type="dxa"/>
              <w:bottom w:w="70" w:type="dxa"/>
              <w:right w:w="70" w:type="dxa"/>
            </w:tcMar>
            <w:vAlign w:val="top"/>
          </w:tcPr>
          <w:p w14:paraId="0D0F9DA0">
            <w:pPr>
              <w:spacing w:after="0" w:line="240" w:lineRule="auto"/>
            </w:pPr>
            <w:r>
              <w:rPr>
                <w:b w:val="0"/>
                <w:i w:val="0"/>
                <w:sz w:val="17"/>
              </w:rPr>
              <w:t>Public HTTPS entry point and proxy to the ECS backend.</w:t>
            </w:r>
          </w:p>
        </w:tc>
      </w:tr>
      <w:tr w14:paraId="772ECF7A">
        <w:trPr>
          <w:jc w:val="center"/>
        </w:trPr>
        <w:tc>
          <w:tcPr>
            <w:tcW w:w="3061" w:type="dxa"/>
            <w:tcMar>
              <w:top w:w="70" w:type="dxa"/>
              <w:left w:w="70" w:type="dxa"/>
              <w:bottom w:w="70" w:type="dxa"/>
              <w:right w:w="70" w:type="dxa"/>
            </w:tcMar>
            <w:vAlign w:val="top"/>
          </w:tcPr>
          <w:p w14:paraId="5682B8BE">
            <w:pPr>
              <w:spacing w:after="0" w:line="240" w:lineRule="auto"/>
            </w:pPr>
            <w:r>
              <w:rPr>
                <w:b w:val="0"/>
                <w:i w:val="0"/>
                <w:sz w:val="17"/>
              </w:rPr>
              <w:t>Containers / compute</w:t>
            </w:r>
          </w:p>
        </w:tc>
        <w:tc>
          <w:tcPr>
            <w:tcW w:w="3061" w:type="dxa"/>
            <w:tcMar>
              <w:top w:w="70" w:type="dxa"/>
              <w:left w:w="70" w:type="dxa"/>
              <w:bottom w:w="70" w:type="dxa"/>
              <w:right w:w="70" w:type="dxa"/>
            </w:tcMar>
            <w:vAlign w:val="top"/>
          </w:tcPr>
          <w:p w14:paraId="5504A57D">
            <w:pPr>
              <w:spacing w:after="0" w:line="240" w:lineRule="auto"/>
            </w:pPr>
            <w:r>
              <w:rPr>
                <w:b w:val="0"/>
                <w:i w:val="0"/>
                <w:sz w:val="17"/>
              </w:rPr>
              <w:t>ECS on EC2</w:t>
            </w:r>
          </w:p>
        </w:tc>
        <w:tc>
          <w:tcPr>
            <w:tcW w:w="3061" w:type="dxa"/>
            <w:tcMar>
              <w:top w:w="70" w:type="dxa"/>
              <w:left w:w="70" w:type="dxa"/>
              <w:bottom w:w="70" w:type="dxa"/>
              <w:right w:w="70" w:type="dxa"/>
            </w:tcMar>
            <w:vAlign w:val="top"/>
          </w:tcPr>
          <w:p w14:paraId="77B360FF">
            <w:pPr>
              <w:spacing w:after="0" w:line="240" w:lineRule="auto"/>
            </w:pPr>
            <w:r>
              <w:rPr>
                <w:b w:val="0"/>
                <w:i w:val="0"/>
                <w:sz w:val="17"/>
              </w:rPr>
              <w:t>Runs backend and worker containers on a low-cost single container instance.</w:t>
            </w:r>
          </w:p>
        </w:tc>
      </w:tr>
      <w:tr w14:paraId="46887BCD">
        <w:trPr>
          <w:jc w:val="center"/>
        </w:trPr>
        <w:tc>
          <w:tcPr>
            <w:tcW w:w="3061" w:type="dxa"/>
            <w:tcMar>
              <w:top w:w="70" w:type="dxa"/>
              <w:left w:w="70" w:type="dxa"/>
              <w:bottom w:w="70" w:type="dxa"/>
              <w:right w:w="70" w:type="dxa"/>
            </w:tcMar>
            <w:vAlign w:val="top"/>
          </w:tcPr>
          <w:p w14:paraId="782217DF">
            <w:pPr>
              <w:spacing w:after="0" w:line="240" w:lineRule="auto"/>
            </w:pPr>
            <w:r>
              <w:rPr>
                <w:b w:val="0"/>
                <w:i w:val="0"/>
                <w:sz w:val="17"/>
              </w:rPr>
              <w:t>Image registry</w:t>
            </w:r>
          </w:p>
        </w:tc>
        <w:tc>
          <w:tcPr>
            <w:tcW w:w="3061" w:type="dxa"/>
            <w:tcMar>
              <w:top w:w="70" w:type="dxa"/>
              <w:left w:w="70" w:type="dxa"/>
              <w:bottom w:w="70" w:type="dxa"/>
              <w:right w:w="70" w:type="dxa"/>
            </w:tcMar>
            <w:vAlign w:val="top"/>
          </w:tcPr>
          <w:p w14:paraId="6C74B9A7">
            <w:pPr>
              <w:spacing w:after="0" w:line="240" w:lineRule="auto"/>
            </w:pPr>
            <w:r>
              <w:rPr>
                <w:b w:val="0"/>
                <w:i w:val="0"/>
                <w:sz w:val="17"/>
              </w:rPr>
              <w:t>ECR</w:t>
            </w:r>
          </w:p>
        </w:tc>
        <w:tc>
          <w:tcPr>
            <w:tcW w:w="3061" w:type="dxa"/>
            <w:tcMar>
              <w:top w:w="70" w:type="dxa"/>
              <w:left w:w="70" w:type="dxa"/>
              <w:bottom w:w="70" w:type="dxa"/>
              <w:right w:w="70" w:type="dxa"/>
            </w:tcMar>
            <w:vAlign w:val="top"/>
          </w:tcPr>
          <w:p w14:paraId="6F5A8EA5">
            <w:pPr>
              <w:spacing w:after="0" w:line="240" w:lineRule="auto"/>
            </w:pPr>
            <w:r>
              <w:rPr>
                <w:b w:val="0"/>
                <w:i w:val="0"/>
                <w:sz w:val="17"/>
              </w:rPr>
              <w:t>Stores backend and database-bootstrap container images used by ECS.</w:t>
            </w:r>
          </w:p>
        </w:tc>
      </w:tr>
      <w:tr w14:paraId="7B427300">
        <w:trPr>
          <w:jc w:val="center"/>
        </w:trPr>
        <w:tc>
          <w:tcPr>
            <w:tcW w:w="3061" w:type="dxa"/>
            <w:tcMar>
              <w:top w:w="70" w:type="dxa"/>
              <w:left w:w="70" w:type="dxa"/>
              <w:bottom w:w="70" w:type="dxa"/>
              <w:right w:w="70" w:type="dxa"/>
            </w:tcMar>
            <w:vAlign w:val="top"/>
          </w:tcPr>
          <w:p w14:paraId="3DF10DD9">
            <w:pPr>
              <w:spacing w:after="0" w:line="240" w:lineRule="auto"/>
            </w:pPr>
            <w:r>
              <w:rPr>
                <w:b w:val="0"/>
                <w:i w:val="0"/>
                <w:sz w:val="17"/>
              </w:rPr>
              <w:t>Database</w:t>
            </w:r>
          </w:p>
        </w:tc>
        <w:tc>
          <w:tcPr>
            <w:tcW w:w="3061" w:type="dxa"/>
            <w:tcMar>
              <w:top w:w="70" w:type="dxa"/>
              <w:left w:w="70" w:type="dxa"/>
              <w:bottom w:w="70" w:type="dxa"/>
              <w:right w:w="70" w:type="dxa"/>
            </w:tcMar>
            <w:vAlign w:val="top"/>
          </w:tcPr>
          <w:p w14:paraId="188DB43E">
            <w:pPr>
              <w:spacing w:after="0" w:line="240" w:lineRule="auto"/>
            </w:pPr>
            <w:r>
              <w:rPr>
                <w:b w:val="0"/>
                <w:i w:val="0"/>
                <w:sz w:val="17"/>
              </w:rPr>
              <w:t>RDS for PostgreSQL</w:t>
            </w:r>
          </w:p>
        </w:tc>
        <w:tc>
          <w:tcPr>
            <w:tcW w:w="3061" w:type="dxa"/>
            <w:tcMar>
              <w:top w:w="70" w:type="dxa"/>
              <w:left w:w="70" w:type="dxa"/>
              <w:bottom w:w="70" w:type="dxa"/>
              <w:right w:w="70" w:type="dxa"/>
            </w:tcMar>
            <w:vAlign w:val="top"/>
          </w:tcPr>
          <w:p w14:paraId="27AA4439">
            <w:pPr>
              <w:spacing w:after="0" w:line="240" w:lineRule="auto"/>
            </w:pPr>
            <w:r>
              <w:rPr>
                <w:b w:val="0"/>
                <w:i w:val="0"/>
                <w:sz w:val="17"/>
              </w:rPr>
              <w:t>Authoritative transactional store and persisted aggregate metric store.</w:t>
            </w:r>
          </w:p>
        </w:tc>
      </w:tr>
      <w:tr w14:paraId="4B201676">
        <w:trPr>
          <w:jc w:val="center"/>
        </w:trPr>
        <w:tc>
          <w:tcPr>
            <w:tcW w:w="3061" w:type="dxa"/>
            <w:tcMar>
              <w:top w:w="70" w:type="dxa"/>
              <w:left w:w="70" w:type="dxa"/>
              <w:bottom w:w="70" w:type="dxa"/>
              <w:right w:w="70" w:type="dxa"/>
            </w:tcMar>
            <w:vAlign w:val="top"/>
          </w:tcPr>
          <w:p w14:paraId="65945767">
            <w:pPr>
              <w:spacing w:after="0" w:line="240" w:lineRule="auto"/>
            </w:pPr>
            <w:r>
              <w:rPr>
                <w:b w:val="0"/>
                <w:i w:val="0"/>
                <w:sz w:val="17"/>
              </w:rPr>
              <w:t>Storage</w:t>
            </w:r>
          </w:p>
        </w:tc>
        <w:tc>
          <w:tcPr>
            <w:tcW w:w="3061" w:type="dxa"/>
            <w:tcMar>
              <w:top w:w="70" w:type="dxa"/>
              <w:left w:w="70" w:type="dxa"/>
              <w:bottom w:w="70" w:type="dxa"/>
              <w:right w:w="70" w:type="dxa"/>
            </w:tcMar>
            <w:vAlign w:val="top"/>
          </w:tcPr>
          <w:p w14:paraId="3F58CF60">
            <w:pPr>
              <w:spacing w:after="0" w:line="240" w:lineRule="auto"/>
            </w:pPr>
            <w:r>
              <w:rPr>
                <w:b w:val="0"/>
                <w:i w:val="0"/>
                <w:sz w:val="17"/>
              </w:rPr>
              <w:t>S3</w:t>
            </w:r>
          </w:p>
        </w:tc>
        <w:tc>
          <w:tcPr>
            <w:tcW w:w="3061" w:type="dxa"/>
            <w:tcMar>
              <w:top w:w="70" w:type="dxa"/>
              <w:left w:w="70" w:type="dxa"/>
              <w:bottom w:w="70" w:type="dxa"/>
              <w:right w:w="70" w:type="dxa"/>
            </w:tcMar>
            <w:vAlign w:val="top"/>
          </w:tcPr>
          <w:p w14:paraId="06E2536E">
            <w:pPr>
              <w:spacing w:after="0" w:line="240" w:lineRule="auto"/>
            </w:pPr>
            <w:r>
              <w:rPr>
                <w:b w:val="0"/>
                <w:i w:val="0"/>
                <w:sz w:val="17"/>
              </w:rPr>
              <w:t>Stores user-uploaded media; stores private analytics export artefacts when the analytics path is enabled.</w:t>
            </w:r>
          </w:p>
        </w:tc>
      </w:tr>
      <w:tr w14:paraId="25060284">
        <w:trPr>
          <w:jc w:val="center"/>
        </w:trPr>
        <w:tc>
          <w:tcPr>
            <w:tcW w:w="3061" w:type="dxa"/>
            <w:tcMar>
              <w:top w:w="70" w:type="dxa"/>
              <w:left w:w="70" w:type="dxa"/>
              <w:bottom w:w="70" w:type="dxa"/>
              <w:right w:w="70" w:type="dxa"/>
            </w:tcMar>
            <w:vAlign w:val="top"/>
          </w:tcPr>
          <w:p w14:paraId="12448367">
            <w:pPr>
              <w:spacing w:after="0" w:line="240" w:lineRule="auto"/>
            </w:pPr>
            <w:r>
              <w:rPr>
                <w:b w:val="0"/>
                <w:i w:val="0"/>
                <w:sz w:val="17"/>
              </w:rPr>
              <w:t>Messaging</w:t>
            </w:r>
          </w:p>
        </w:tc>
        <w:tc>
          <w:tcPr>
            <w:tcW w:w="3061" w:type="dxa"/>
            <w:tcMar>
              <w:top w:w="70" w:type="dxa"/>
              <w:left w:w="70" w:type="dxa"/>
              <w:bottom w:w="70" w:type="dxa"/>
              <w:right w:w="70" w:type="dxa"/>
            </w:tcMar>
            <w:vAlign w:val="top"/>
          </w:tcPr>
          <w:p w14:paraId="32DC31B4">
            <w:pPr>
              <w:spacing w:after="0" w:line="240" w:lineRule="auto"/>
            </w:pPr>
            <w:r>
              <w:rPr>
                <w:b w:val="0"/>
                <w:i w:val="0"/>
                <w:sz w:val="17"/>
              </w:rPr>
              <w:t>SQS</w:t>
            </w:r>
          </w:p>
        </w:tc>
        <w:tc>
          <w:tcPr>
            <w:tcW w:w="3061" w:type="dxa"/>
            <w:tcMar>
              <w:top w:w="70" w:type="dxa"/>
              <w:left w:w="70" w:type="dxa"/>
              <w:bottom w:w="70" w:type="dxa"/>
              <w:right w:w="70" w:type="dxa"/>
            </w:tcMar>
            <w:vAlign w:val="top"/>
          </w:tcPr>
          <w:p w14:paraId="00343C8E">
            <w:pPr>
              <w:spacing w:after="0" w:line="240" w:lineRule="auto"/>
            </w:pPr>
            <w:r>
              <w:rPr>
                <w:b w:val="0"/>
                <w:i w:val="0"/>
                <w:sz w:val="17"/>
              </w:rPr>
              <w:t>Delivers moderator-requested content reanalysis to the worker when enabled.</w:t>
            </w:r>
          </w:p>
        </w:tc>
      </w:tr>
      <w:tr w14:paraId="7BE63900">
        <w:trPr>
          <w:jc w:val="center"/>
        </w:trPr>
        <w:tc>
          <w:tcPr>
            <w:tcW w:w="3061" w:type="dxa"/>
            <w:tcMar>
              <w:top w:w="70" w:type="dxa"/>
              <w:left w:w="70" w:type="dxa"/>
              <w:bottom w:w="70" w:type="dxa"/>
              <w:right w:w="70" w:type="dxa"/>
            </w:tcMar>
            <w:vAlign w:val="top"/>
          </w:tcPr>
          <w:p w14:paraId="3940AD32">
            <w:pPr>
              <w:spacing w:after="0" w:line="240" w:lineRule="auto"/>
            </w:pPr>
            <w:r>
              <w:rPr>
                <w:b w:val="0"/>
                <w:i w:val="0"/>
                <w:sz w:val="17"/>
              </w:rPr>
              <w:t>Serverless</w:t>
            </w:r>
          </w:p>
        </w:tc>
        <w:tc>
          <w:tcPr>
            <w:tcW w:w="3061" w:type="dxa"/>
            <w:tcMar>
              <w:top w:w="70" w:type="dxa"/>
              <w:left w:w="70" w:type="dxa"/>
              <w:bottom w:w="70" w:type="dxa"/>
              <w:right w:w="70" w:type="dxa"/>
            </w:tcMar>
            <w:vAlign w:val="top"/>
          </w:tcPr>
          <w:p w14:paraId="375B9BE1">
            <w:pPr>
              <w:spacing w:after="0" w:line="240" w:lineRule="auto"/>
            </w:pPr>
            <w:r>
              <w:rPr>
                <w:b w:val="0"/>
                <w:i w:val="0"/>
                <w:sz w:val="17"/>
              </w:rPr>
              <w:t>Lambda</w:t>
            </w:r>
          </w:p>
        </w:tc>
        <w:tc>
          <w:tcPr>
            <w:tcW w:w="3061" w:type="dxa"/>
            <w:tcMar>
              <w:top w:w="70" w:type="dxa"/>
              <w:left w:w="70" w:type="dxa"/>
              <w:bottom w:w="70" w:type="dxa"/>
              <w:right w:w="70" w:type="dxa"/>
            </w:tcMar>
            <w:vAlign w:val="top"/>
          </w:tcPr>
          <w:p w14:paraId="3AE21A84">
            <w:pPr>
              <w:spacing w:after="0" w:line="240" w:lineRule="auto"/>
            </w:pPr>
            <w:r>
              <w:rPr>
                <w:b w:val="0"/>
                <w:i w:val="0"/>
                <w:sz w:val="17"/>
              </w:rPr>
              <w:t>Runs the content-analysis adapter and analytics result-persistence handler when their respective paths are enabled.</w:t>
            </w:r>
          </w:p>
        </w:tc>
      </w:tr>
      <w:tr w14:paraId="11ECE178">
        <w:trPr>
          <w:jc w:val="center"/>
        </w:trPr>
        <w:tc>
          <w:tcPr>
            <w:tcW w:w="3061" w:type="dxa"/>
            <w:tcMar>
              <w:top w:w="70" w:type="dxa"/>
              <w:left w:w="70" w:type="dxa"/>
              <w:bottom w:w="70" w:type="dxa"/>
              <w:right w:w="70" w:type="dxa"/>
            </w:tcMar>
            <w:vAlign w:val="top"/>
          </w:tcPr>
          <w:p w14:paraId="480D10AC">
            <w:pPr>
              <w:spacing w:after="0" w:line="240" w:lineRule="auto"/>
            </w:pPr>
            <w:r>
              <w:rPr>
                <w:b w:val="0"/>
                <w:i w:val="0"/>
                <w:sz w:val="17"/>
              </w:rPr>
              <w:t>Orchestration</w:t>
            </w:r>
          </w:p>
        </w:tc>
        <w:tc>
          <w:tcPr>
            <w:tcW w:w="3061" w:type="dxa"/>
            <w:tcMar>
              <w:top w:w="70" w:type="dxa"/>
              <w:left w:w="70" w:type="dxa"/>
              <w:bottom w:w="70" w:type="dxa"/>
              <w:right w:w="70" w:type="dxa"/>
            </w:tcMar>
            <w:vAlign w:val="top"/>
          </w:tcPr>
          <w:p w14:paraId="29B89716">
            <w:pPr>
              <w:spacing w:after="0" w:line="240" w:lineRule="auto"/>
            </w:pPr>
            <w:r>
              <w:rPr>
                <w:b w:val="0"/>
                <w:i w:val="0"/>
                <w:sz w:val="17"/>
              </w:rPr>
              <w:t>Step Functions</w:t>
            </w:r>
          </w:p>
        </w:tc>
        <w:tc>
          <w:tcPr>
            <w:tcW w:w="3061" w:type="dxa"/>
            <w:tcMar>
              <w:top w:w="70" w:type="dxa"/>
              <w:left w:w="70" w:type="dxa"/>
              <w:bottom w:w="70" w:type="dxa"/>
              <w:right w:w="70" w:type="dxa"/>
            </w:tcMar>
            <w:vAlign w:val="top"/>
          </w:tcPr>
          <w:p w14:paraId="390614D2">
            <w:pPr>
              <w:spacing w:after="0" w:line="240" w:lineRule="auto"/>
            </w:pPr>
            <w:r>
              <w:rPr>
                <w:b w:val="0"/>
                <w:i w:val="0"/>
                <w:sz w:val="17"/>
              </w:rPr>
              <w:t>Coordinates analytics export/query execution, retry, waiting, and fan-in when enabled.</w:t>
            </w:r>
          </w:p>
        </w:tc>
      </w:tr>
      <w:tr w14:paraId="6DD0EF36">
        <w:trPr>
          <w:jc w:val="center"/>
        </w:trPr>
        <w:tc>
          <w:tcPr>
            <w:tcW w:w="3061" w:type="dxa"/>
            <w:tcMar>
              <w:top w:w="70" w:type="dxa"/>
              <w:left w:w="70" w:type="dxa"/>
              <w:bottom w:w="70" w:type="dxa"/>
              <w:right w:w="70" w:type="dxa"/>
            </w:tcMar>
            <w:vAlign w:val="top"/>
          </w:tcPr>
          <w:p w14:paraId="314D70EA">
            <w:pPr>
              <w:spacing w:after="0" w:line="240" w:lineRule="auto"/>
            </w:pPr>
            <w:r>
              <w:rPr>
                <w:b w:val="0"/>
                <w:i w:val="0"/>
                <w:sz w:val="17"/>
              </w:rPr>
              <w:t>Analytics</w:t>
            </w:r>
          </w:p>
        </w:tc>
        <w:tc>
          <w:tcPr>
            <w:tcW w:w="3061" w:type="dxa"/>
            <w:tcMar>
              <w:top w:w="70" w:type="dxa"/>
              <w:left w:w="70" w:type="dxa"/>
              <w:bottom w:w="70" w:type="dxa"/>
              <w:right w:w="70" w:type="dxa"/>
            </w:tcMar>
            <w:vAlign w:val="top"/>
          </w:tcPr>
          <w:p w14:paraId="56882DD6">
            <w:pPr>
              <w:spacing w:after="0" w:line="240" w:lineRule="auto"/>
            </w:pPr>
            <w:r>
              <w:rPr>
                <w:b w:val="0"/>
                <w:i w:val="0"/>
                <w:sz w:val="17"/>
              </w:rPr>
              <w:t>Glue, Athena, EventBridge</w:t>
            </w:r>
          </w:p>
        </w:tc>
        <w:tc>
          <w:tcPr>
            <w:tcW w:w="3061" w:type="dxa"/>
            <w:tcMar>
              <w:top w:w="70" w:type="dxa"/>
              <w:left w:w="70" w:type="dxa"/>
              <w:bottom w:w="70" w:type="dxa"/>
              <w:right w:w="70" w:type="dxa"/>
            </w:tcMar>
            <w:vAlign w:val="top"/>
          </w:tcPr>
          <w:p w14:paraId="3D6D3AE8">
            <w:pPr>
              <w:spacing w:after="0" w:line="240" w:lineRule="auto"/>
            </w:pPr>
            <w:r>
              <w:rPr>
                <w:b w:val="0"/>
                <w:i w:val="0"/>
                <w:sz w:val="17"/>
              </w:rPr>
              <w:t>Export/catalog data, query analytics datasets, and trigger scheduled refreshes when the pipeline is enabled.</w:t>
            </w:r>
          </w:p>
        </w:tc>
      </w:tr>
      <w:tr w14:paraId="3C47B52C">
        <w:trPr>
          <w:jc w:val="center"/>
        </w:trPr>
        <w:tc>
          <w:tcPr>
            <w:tcW w:w="3061" w:type="dxa"/>
            <w:tcMar>
              <w:top w:w="70" w:type="dxa"/>
              <w:left w:w="70" w:type="dxa"/>
              <w:bottom w:w="70" w:type="dxa"/>
              <w:right w:w="70" w:type="dxa"/>
            </w:tcMar>
            <w:vAlign w:val="top"/>
          </w:tcPr>
          <w:p w14:paraId="59468A82">
            <w:pPr>
              <w:spacing w:after="0" w:line="240" w:lineRule="auto"/>
            </w:pPr>
            <w:r>
              <w:rPr>
                <w:b w:val="0"/>
                <w:i w:val="0"/>
                <w:sz w:val="17"/>
              </w:rPr>
              <w:t>Runtime support</w:t>
            </w:r>
          </w:p>
        </w:tc>
        <w:tc>
          <w:tcPr>
            <w:tcW w:w="3061" w:type="dxa"/>
            <w:tcMar>
              <w:top w:w="70" w:type="dxa"/>
              <w:left w:w="70" w:type="dxa"/>
              <w:bottom w:w="70" w:type="dxa"/>
              <w:right w:w="70" w:type="dxa"/>
            </w:tcMar>
            <w:vAlign w:val="top"/>
          </w:tcPr>
          <w:p w14:paraId="14877900">
            <w:pPr>
              <w:spacing w:after="0" w:line="240" w:lineRule="auto"/>
            </w:pPr>
            <w:r>
              <w:rPr>
                <w:b w:val="0"/>
                <w:i w:val="0"/>
                <w:sz w:val="17"/>
              </w:rPr>
              <w:t>Secrets Manager, CloudWatch</w:t>
            </w:r>
          </w:p>
        </w:tc>
        <w:tc>
          <w:tcPr>
            <w:tcW w:w="3061" w:type="dxa"/>
            <w:tcMar>
              <w:top w:w="70" w:type="dxa"/>
              <w:left w:w="70" w:type="dxa"/>
              <w:bottom w:w="70" w:type="dxa"/>
              <w:right w:w="70" w:type="dxa"/>
            </w:tcMar>
            <w:vAlign w:val="top"/>
          </w:tcPr>
          <w:p w14:paraId="6C6D6987">
            <w:pPr>
              <w:spacing w:after="0" w:line="240" w:lineRule="auto"/>
            </w:pPr>
            <w:r>
              <w:rPr>
                <w:b w:val="0"/>
                <w:i w:val="0"/>
                <w:sz w:val="17"/>
              </w:rPr>
              <w:t>Supplies runtime secrets without source-control exposure and retains application/service logs.</w:t>
            </w:r>
          </w:p>
        </w:tc>
      </w:tr>
      <w:tr w14:paraId="0F65AD44">
        <w:trPr>
          <w:jc w:val="center"/>
        </w:trPr>
        <w:tc>
          <w:tcPr>
            <w:tcW w:w="3061" w:type="dxa"/>
            <w:tcMar>
              <w:top w:w="70" w:type="dxa"/>
              <w:left w:w="70" w:type="dxa"/>
              <w:bottom w:w="70" w:type="dxa"/>
              <w:right w:w="70" w:type="dxa"/>
            </w:tcMar>
            <w:vAlign w:val="top"/>
          </w:tcPr>
          <w:p w14:paraId="05D9AAF5">
            <w:pPr>
              <w:spacing w:after="0" w:line="240" w:lineRule="auto"/>
            </w:pPr>
            <w:r>
              <w:rPr>
                <w:b w:val="0"/>
                <w:i w:val="0"/>
                <w:sz w:val="17"/>
              </w:rPr>
              <w:t>Third party</w:t>
            </w:r>
          </w:p>
        </w:tc>
        <w:tc>
          <w:tcPr>
            <w:tcW w:w="3061" w:type="dxa"/>
            <w:tcMar>
              <w:top w:w="70" w:type="dxa"/>
              <w:left w:w="70" w:type="dxa"/>
              <w:bottom w:w="70" w:type="dxa"/>
              <w:right w:w="70" w:type="dxa"/>
            </w:tcMar>
            <w:vAlign w:val="top"/>
          </w:tcPr>
          <w:p w14:paraId="2D32551B">
            <w:pPr>
              <w:spacing w:after="0" w:line="240" w:lineRule="auto"/>
            </w:pPr>
            <w:r>
              <w:rPr>
                <w:b w:val="0"/>
                <w:i w:val="0"/>
                <w:sz w:val="17"/>
              </w:rPr>
              <w:t>Mapbox, OpenRouter</w:t>
            </w:r>
          </w:p>
        </w:tc>
        <w:tc>
          <w:tcPr>
            <w:tcW w:w="3061" w:type="dxa"/>
            <w:tcMar>
              <w:top w:w="70" w:type="dxa"/>
              <w:left w:w="70" w:type="dxa"/>
              <w:bottom w:w="70" w:type="dxa"/>
              <w:right w:w="70" w:type="dxa"/>
            </w:tcMar>
            <w:vAlign w:val="top"/>
          </w:tcPr>
          <w:p w14:paraId="288B21BF">
            <w:pPr>
              <w:spacing w:after="0" w:line="240" w:lineRule="auto"/>
            </w:pPr>
            <w:r>
              <w:rPr>
                <w:b w:val="0"/>
                <w:i w:val="0"/>
                <w:sz w:val="17"/>
              </w:rPr>
              <w:t>Mapbox verifies selected places; OpenRouter is the enabled-only content-analysis inference endpoint.</w:t>
            </w:r>
          </w:p>
        </w:tc>
      </w:tr>
    </w:tbl>
    <w:p w14:paraId="6FFD4C33">
      <w:pPr>
        <w:spacing w:after="40"/>
      </w:pPr>
    </w:p>
    <w:p w14:paraId="382A0692">
      <w:pPr>
        <w:pStyle w:val="2"/>
      </w:pPr>
      <w:bookmarkStart w:id="16" w:name="_Toc631983320"/>
      <w:r>
        <w:t>Datasets, data structures, and APIs</w:t>
      </w:r>
      <w:bookmarkEnd w:id="16"/>
    </w:p>
    <w:p w14:paraId="48176F47">
      <w:pPr>
        <w:pStyle w:val="3"/>
      </w:pPr>
      <w:bookmarkStart w:id="17" w:name="_Toc289541178"/>
      <w:r>
        <w:t>Data origin and classification</w:t>
      </w:r>
      <w:bookmarkEnd w:id="1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3061"/>
        <w:gridCol w:w="3061"/>
      </w:tblGrid>
      <w:tr w14:paraId="74F21899">
        <w:trPr>
          <w:tblHeader/>
          <w:jc w:val="center"/>
        </w:trPr>
        <w:tc>
          <w:tcPr>
            <w:tcW w:w="3061" w:type="dxa"/>
            <w:shd w:val="clear" w:color="auto" w:fill="E7E6E6"/>
            <w:tcMar>
              <w:top w:w="70" w:type="dxa"/>
              <w:left w:w="70" w:type="dxa"/>
              <w:bottom w:w="70" w:type="dxa"/>
              <w:right w:w="70" w:type="dxa"/>
            </w:tcMar>
            <w:vAlign w:val="top"/>
          </w:tcPr>
          <w:p w14:paraId="1B226B8C">
            <w:pPr>
              <w:spacing w:after="0" w:line="240" w:lineRule="auto"/>
            </w:pPr>
            <w:r>
              <w:rPr>
                <w:b/>
                <w:i w:val="0"/>
                <w:sz w:val="17"/>
              </w:rPr>
              <w:t>Data source</w:t>
            </w:r>
          </w:p>
        </w:tc>
        <w:tc>
          <w:tcPr>
            <w:tcW w:w="3061" w:type="dxa"/>
            <w:shd w:val="clear" w:color="auto" w:fill="E7E6E6"/>
            <w:tcMar>
              <w:top w:w="70" w:type="dxa"/>
              <w:left w:w="70" w:type="dxa"/>
              <w:bottom w:w="70" w:type="dxa"/>
              <w:right w:w="70" w:type="dxa"/>
            </w:tcMar>
            <w:vAlign w:val="top"/>
          </w:tcPr>
          <w:p w14:paraId="75944135">
            <w:pPr>
              <w:spacing w:after="0" w:line="240" w:lineRule="auto"/>
            </w:pPr>
            <w:r>
              <w:rPr>
                <w:b/>
                <w:i w:val="0"/>
                <w:sz w:val="17"/>
              </w:rPr>
              <w:t>Storage</w:t>
            </w:r>
          </w:p>
        </w:tc>
        <w:tc>
          <w:tcPr>
            <w:tcW w:w="3061" w:type="dxa"/>
            <w:shd w:val="clear" w:color="auto" w:fill="E7E6E6"/>
            <w:tcMar>
              <w:top w:w="70" w:type="dxa"/>
              <w:left w:w="70" w:type="dxa"/>
              <w:bottom w:w="70" w:type="dxa"/>
              <w:right w:w="70" w:type="dxa"/>
            </w:tcMar>
            <w:vAlign w:val="top"/>
          </w:tcPr>
          <w:p w14:paraId="4C20A2A8">
            <w:pPr>
              <w:spacing w:after="0" w:line="240" w:lineRule="auto"/>
            </w:pPr>
            <w:r>
              <w:rPr>
                <w:b/>
                <w:i w:val="0"/>
                <w:sz w:val="17"/>
              </w:rPr>
              <w:t>Privacy and retention position</w:t>
            </w:r>
          </w:p>
        </w:tc>
      </w:tr>
      <w:tr w14:paraId="54659518">
        <w:trPr>
          <w:jc w:val="center"/>
        </w:trPr>
        <w:tc>
          <w:tcPr>
            <w:tcW w:w="3061" w:type="dxa"/>
            <w:tcMar>
              <w:top w:w="70" w:type="dxa"/>
              <w:left w:w="70" w:type="dxa"/>
              <w:bottom w:w="70" w:type="dxa"/>
              <w:right w:w="70" w:type="dxa"/>
            </w:tcMar>
            <w:vAlign w:val="top"/>
          </w:tcPr>
          <w:p w14:paraId="51DEA8A0">
            <w:pPr>
              <w:spacing w:after="0" w:line="240" w:lineRule="auto"/>
            </w:pPr>
            <w:r>
              <w:rPr>
                <w:b w:val="0"/>
                <w:i w:val="0"/>
                <w:sz w:val="17"/>
              </w:rPr>
              <w:t>Accounts, profiles, societies, memberships, threads, comments, votes, reports</w:t>
            </w:r>
          </w:p>
        </w:tc>
        <w:tc>
          <w:tcPr>
            <w:tcW w:w="3061" w:type="dxa"/>
            <w:tcMar>
              <w:top w:w="70" w:type="dxa"/>
              <w:left w:w="70" w:type="dxa"/>
              <w:bottom w:w="70" w:type="dxa"/>
              <w:right w:w="70" w:type="dxa"/>
            </w:tcMar>
            <w:vAlign w:val="top"/>
          </w:tcPr>
          <w:p w14:paraId="775FC759">
            <w:pPr>
              <w:spacing w:after="0" w:line="240" w:lineRule="auto"/>
            </w:pPr>
            <w:r>
              <w:rPr>
                <w:b w:val="0"/>
                <w:i w:val="0"/>
                <w:sz w:val="17"/>
              </w:rPr>
              <w:t>RDS PostgreSQL</w:t>
            </w:r>
          </w:p>
        </w:tc>
        <w:tc>
          <w:tcPr>
            <w:tcW w:w="3061" w:type="dxa"/>
            <w:tcMar>
              <w:top w:w="70" w:type="dxa"/>
              <w:left w:w="70" w:type="dxa"/>
              <w:bottom w:w="70" w:type="dxa"/>
              <w:right w:w="70" w:type="dxa"/>
            </w:tcMar>
            <w:vAlign w:val="top"/>
          </w:tcPr>
          <w:p w14:paraId="714F6045">
            <w:pPr>
              <w:spacing w:after="0" w:line="240" w:lineRule="auto"/>
            </w:pPr>
            <w:r>
              <w:rPr>
                <w:b w:val="0"/>
                <w:i w:val="0"/>
                <w:sz w:val="17"/>
              </w:rPr>
              <w:t>Access-controlled by session, ownership, membership, and role policy.</w:t>
            </w:r>
          </w:p>
        </w:tc>
      </w:tr>
      <w:tr w14:paraId="35A4C84E">
        <w:trPr>
          <w:jc w:val="center"/>
        </w:trPr>
        <w:tc>
          <w:tcPr>
            <w:tcW w:w="3061" w:type="dxa"/>
            <w:tcMar>
              <w:top w:w="70" w:type="dxa"/>
              <w:left w:w="70" w:type="dxa"/>
              <w:bottom w:w="70" w:type="dxa"/>
              <w:right w:w="70" w:type="dxa"/>
            </w:tcMar>
            <w:vAlign w:val="top"/>
          </w:tcPr>
          <w:p w14:paraId="652F62E7">
            <w:pPr>
              <w:spacing w:after="0" w:line="240" w:lineRule="auto"/>
            </w:pPr>
            <w:r>
              <w:rPr>
                <w:b w:val="0"/>
                <w:i w:val="0"/>
                <w:sz w:val="17"/>
              </w:rPr>
              <w:t>Media objects</w:t>
            </w:r>
          </w:p>
        </w:tc>
        <w:tc>
          <w:tcPr>
            <w:tcW w:w="3061" w:type="dxa"/>
            <w:tcMar>
              <w:top w:w="70" w:type="dxa"/>
              <w:left w:w="70" w:type="dxa"/>
              <w:bottom w:w="70" w:type="dxa"/>
              <w:right w:w="70" w:type="dxa"/>
            </w:tcMar>
            <w:vAlign w:val="top"/>
          </w:tcPr>
          <w:p w14:paraId="7D192425">
            <w:pPr>
              <w:spacing w:after="0" w:line="240" w:lineRule="auto"/>
            </w:pPr>
            <w:r>
              <w:rPr>
                <w:b w:val="0"/>
                <w:i w:val="0"/>
                <w:sz w:val="17"/>
              </w:rPr>
              <w:t>S3</w:t>
            </w:r>
          </w:p>
        </w:tc>
        <w:tc>
          <w:tcPr>
            <w:tcW w:w="3061" w:type="dxa"/>
            <w:tcMar>
              <w:top w:w="70" w:type="dxa"/>
              <w:left w:w="70" w:type="dxa"/>
              <w:bottom w:w="70" w:type="dxa"/>
              <w:right w:w="70" w:type="dxa"/>
            </w:tcMar>
            <w:vAlign w:val="top"/>
          </w:tcPr>
          <w:p w14:paraId="77984D6D">
            <w:pPr>
              <w:spacing w:after="0" w:line="240" w:lineRule="auto"/>
            </w:pPr>
            <w:r>
              <w:rPr>
                <w:b w:val="0"/>
                <w:i w:val="0"/>
                <w:sz w:val="17"/>
              </w:rPr>
              <w:t>Store binary objects in S3; retain object keys and metadata only in RDS.</w:t>
            </w:r>
          </w:p>
        </w:tc>
      </w:tr>
      <w:tr w14:paraId="0EA493D0">
        <w:trPr>
          <w:jc w:val="center"/>
        </w:trPr>
        <w:tc>
          <w:tcPr>
            <w:tcW w:w="3061" w:type="dxa"/>
            <w:tcMar>
              <w:top w:w="70" w:type="dxa"/>
              <w:left w:w="70" w:type="dxa"/>
              <w:bottom w:w="70" w:type="dxa"/>
              <w:right w:w="70" w:type="dxa"/>
            </w:tcMar>
            <w:vAlign w:val="top"/>
          </w:tcPr>
          <w:p w14:paraId="19D1C000">
            <w:pPr>
              <w:spacing w:after="0" w:line="240" w:lineRule="auto"/>
            </w:pPr>
            <w:r>
              <w:rPr>
                <w:b w:val="0"/>
                <w:i w:val="0"/>
                <w:sz w:val="17"/>
              </w:rPr>
              <w:t>Location snapshots</w:t>
            </w:r>
          </w:p>
        </w:tc>
        <w:tc>
          <w:tcPr>
            <w:tcW w:w="3061" w:type="dxa"/>
            <w:tcMar>
              <w:top w:w="70" w:type="dxa"/>
              <w:left w:w="70" w:type="dxa"/>
              <w:bottom w:w="70" w:type="dxa"/>
              <w:right w:w="70" w:type="dxa"/>
            </w:tcMar>
            <w:vAlign w:val="top"/>
          </w:tcPr>
          <w:p w14:paraId="77C69D02">
            <w:pPr>
              <w:spacing w:after="0" w:line="240" w:lineRule="auto"/>
            </w:pPr>
            <w:r>
              <w:rPr>
                <w:b w:val="0"/>
                <w:i w:val="0"/>
                <w:sz w:val="17"/>
              </w:rPr>
              <w:t>Thread fields in RDS</w:t>
            </w:r>
          </w:p>
        </w:tc>
        <w:tc>
          <w:tcPr>
            <w:tcW w:w="3061" w:type="dxa"/>
            <w:tcMar>
              <w:top w:w="70" w:type="dxa"/>
              <w:left w:w="70" w:type="dxa"/>
              <w:bottom w:w="70" w:type="dxa"/>
              <w:right w:w="70" w:type="dxa"/>
            </w:tcMar>
            <w:vAlign w:val="top"/>
          </w:tcPr>
          <w:p w14:paraId="018F5FCC">
            <w:pPr>
              <w:spacing w:after="0" w:line="240" w:lineRule="auto"/>
            </w:pPr>
            <w:r>
              <w:rPr>
                <w:b w:val="0"/>
                <w:i w:val="0"/>
                <w:sz w:val="17"/>
              </w:rPr>
              <w:t>Persist only server-verified place metadata relevant to the thread.</w:t>
            </w:r>
          </w:p>
        </w:tc>
      </w:tr>
      <w:tr w14:paraId="05877594">
        <w:trPr>
          <w:jc w:val="center"/>
        </w:trPr>
        <w:tc>
          <w:tcPr>
            <w:tcW w:w="3061" w:type="dxa"/>
            <w:tcMar>
              <w:top w:w="70" w:type="dxa"/>
              <w:left w:w="70" w:type="dxa"/>
              <w:bottom w:w="70" w:type="dxa"/>
              <w:right w:w="70" w:type="dxa"/>
            </w:tcMar>
            <w:vAlign w:val="top"/>
          </w:tcPr>
          <w:p w14:paraId="1208AA71">
            <w:pPr>
              <w:spacing w:after="0" w:line="240" w:lineRule="auto"/>
            </w:pPr>
            <w:r>
              <w:rPr>
                <w:b w:val="0"/>
                <w:i w:val="0"/>
                <w:sz w:val="17"/>
              </w:rPr>
              <w:t>Action events</w:t>
            </w:r>
          </w:p>
        </w:tc>
        <w:tc>
          <w:tcPr>
            <w:tcW w:w="3061" w:type="dxa"/>
            <w:tcMar>
              <w:top w:w="70" w:type="dxa"/>
              <w:left w:w="70" w:type="dxa"/>
              <w:bottom w:w="70" w:type="dxa"/>
              <w:right w:w="70" w:type="dxa"/>
            </w:tcMar>
            <w:vAlign w:val="top"/>
          </w:tcPr>
          <w:p w14:paraId="0CAF7EC9">
            <w:pPr>
              <w:spacing w:after="0" w:line="240" w:lineRule="auto"/>
            </w:pPr>
            <w:r>
              <w:rPr>
                <w:b w:val="0"/>
                <w:i w:val="0"/>
                <w:sz w:val="17"/>
              </w:rPr>
              <w:t>RDS, then private analytics S3 during refresh</w:t>
            </w:r>
          </w:p>
        </w:tc>
        <w:tc>
          <w:tcPr>
            <w:tcW w:w="3061" w:type="dxa"/>
            <w:tcMar>
              <w:top w:w="70" w:type="dxa"/>
              <w:left w:w="70" w:type="dxa"/>
              <w:bottom w:w="70" w:type="dxa"/>
              <w:right w:w="70" w:type="dxa"/>
            </w:tcMar>
            <w:vAlign w:val="top"/>
          </w:tcPr>
          <w:p w14:paraId="053D17AC">
            <w:pPr>
              <w:spacing w:after="0" w:line="240" w:lineRule="auto"/>
            </w:pPr>
            <w:r>
              <w:rPr>
                <w:b w:val="0"/>
                <w:i w:val="0"/>
                <w:sz w:val="17"/>
              </w:rPr>
              <w:t>Use HMAC actor pseudonyms and a bounded raw-event retention period.</w:t>
            </w:r>
          </w:p>
        </w:tc>
      </w:tr>
      <w:tr w14:paraId="2983CB05">
        <w:trPr>
          <w:jc w:val="center"/>
        </w:trPr>
        <w:tc>
          <w:tcPr>
            <w:tcW w:w="3061" w:type="dxa"/>
            <w:tcMar>
              <w:top w:w="70" w:type="dxa"/>
              <w:left w:w="70" w:type="dxa"/>
              <w:bottom w:w="70" w:type="dxa"/>
              <w:right w:w="70" w:type="dxa"/>
            </w:tcMar>
            <w:vAlign w:val="top"/>
          </w:tcPr>
          <w:p w14:paraId="5FCDE849">
            <w:pPr>
              <w:spacing w:after="0" w:line="240" w:lineRule="auto"/>
            </w:pPr>
            <w:r>
              <w:rPr>
                <w:b w:val="0"/>
                <w:i w:val="0"/>
                <w:sz w:val="17"/>
              </w:rPr>
              <w:t>Aggregate analytics metrics</w:t>
            </w:r>
          </w:p>
        </w:tc>
        <w:tc>
          <w:tcPr>
            <w:tcW w:w="3061" w:type="dxa"/>
            <w:tcMar>
              <w:top w:w="70" w:type="dxa"/>
              <w:left w:w="70" w:type="dxa"/>
              <w:bottom w:w="70" w:type="dxa"/>
              <w:right w:w="70" w:type="dxa"/>
            </w:tcMar>
            <w:vAlign w:val="top"/>
          </w:tcPr>
          <w:p w14:paraId="4F64317B">
            <w:pPr>
              <w:spacing w:after="0" w:line="240" w:lineRule="auto"/>
            </w:pPr>
            <w:r>
              <w:rPr>
                <w:rFonts w:ascii="Courier New" w:hAnsi="Courier New" w:eastAsia="Courier New"/>
                <w:b w:val="0"/>
                <w:i w:val="0"/>
                <w:sz w:val="17"/>
              </w:rPr>
              <w:t>analytics_</w:t>
            </w:r>
            <w:r>
              <w:rPr>
                <w:b w:val="0"/>
                <w:i w:val="0"/>
                <w:sz w:val="17"/>
              </w:rPr>
              <w:t xml:space="preserve"> </w:t>
            </w:r>
            <w:r>
              <w:rPr>
                <w:rFonts w:ascii="Courier New" w:hAnsi="Courier New" w:eastAsia="Courier New"/>
                <w:b w:val="0"/>
                <w:i w:val="0"/>
                <w:sz w:val="17"/>
              </w:rPr>
              <w:t>action_metrics</w:t>
            </w:r>
            <w:r>
              <w:rPr>
                <w:b w:val="0"/>
                <w:i w:val="0"/>
                <w:sz w:val="17"/>
              </w:rPr>
              <w:t xml:space="preserve"> in RDS</w:t>
            </w:r>
          </w:p>
        </w:tc>
        <w:tc>
          <w:tcPr>
            <w:tcW w:w="3061" w:type="dxa"/>
            <w:tcMar>
              <w:top w:w="70" w:type="dxa"/>
              <w:left w:w="70" w:type="dxa"/>
              <w:bottom w:w="70" w:type="dxa"/>
              <w:right w:w="70" w:type="dxa"/>
            </w:tcMar>
            <w:vAlign w:val="top"/>
          </w:tcPr>
          <w:p w14:paraId="038581DA">
            <w:pPr>
              <w:spacing w:after="0" w:line="240" w:lineRule="auto"/>
            </w:pPr>
            <w:r>
              <w:rPr>
                <w:b w:val="0"/>
                <w:i w:val="0"/>
                <w:sz w:val="17"/>
              </w:rPr>
              <w:t>Administrative aggregate reporting.</w:t>
            </w:r>
          </w:p>
        </w:tc>
      </w:tr>
      <w:tr w14:paraId="13A06441">
        <w:trPr>
          <w:jc w:val="center"/>
        </w:trPr>
        <w:tc>
          <w:tcPr>
            <w:tcW w:w="3061" w:type="dxa"/>
            <w:tcMar>
              <w:top w:w="70" w:type="dxa"/>
              <w:left w:w="70" w:type="dxa"/>
              <w:bottom w:w="70" w:type="dxa"/>
              <w:right w:w="70" w:type="dxa"/>
            </w:tcMar>
            <w:vAlign w:val="top"/>
          </w:tcPr>
          <w:p w14:paraId="2FDDA334">
            <w:pPr>
              <w:spacing w:after="0" w:line="240" w:lineRule="auto"/>
            </w:pPr>
            <w:r>
              <w:rPr>
                <w:b w:val="0"/>
                <w:i w:val="0"/>
                <w:sz w:val="17"/>
              </w:rPr>
              <w:t>Content-analysis data</w:t>
            </w:r>
          </w:p>
        </w:tc>
        <w:tc>
          <w:tcPr>
            <w:tcW w:w="3061" w:type="dxa"/>
            <w:tcMar>
              <w:top w:w="70" w:type="dxa"/>
              <w:left w:w="70" w:type="dxa"/>
              <w:bottom w:w="70" w:type="dxa"/>
              <w:right w:w="70" w:type="dxa"/>
            </w:tcMar>
            <w:vAlign w:val="top"/>
          </w:tcPr>
          <w:p w14:paraId="0328C1BF">
            <w:pPr>
              <w:spacing w:after="0" w:line="240" w:lineRule="auto"/>
            </w:pPr>
            <w:r>
              <w:rPr>
                <w:b w:val="0"/>
                <w:i w:val="0"/>
                <w:sz w:val="17"/>
              </w:rPr>
              <w:t>RDS/S3/Lambda workflow when enabled</w:t>
            </w:r>
          </w:p>
        </w:tc>
        <w:tc>
          <w:tcPr>
            <w:tcW w:w="3061" w:type="dxa"/>
            <w:tcMar>
              <w:top w:w="70" w:type="dxa"/>
              <w:left w:w="70" w:type="dxa"/>
              <w:bottom w:w="70" w:type="dxa"/>
              <w:right w:w="70" w:type="dxa"/>
            </w:tcMar>
            <w:vAlign w:val="top"/>
          </w:tcPr>
          <w:p w14:paraId="09FED728">
            <w:pPr>
              <w:spacing w:after="0" w:line="240" w:lineRule="auto"/>
            </w:pPr>
            <w:r>
              <w:rPr>
                <w:b w:val="0"/>
                <w:i w:val="0"/>
                <w:sz w:val="17"/>
              </w:rPr>
              <w:t>Never publish credentials, private URLs, or secret values.</w:t>
            </w:r>
          </w:p>
        </w:tc>
      </w:tr>
    </w:tbl>
    <w:p w14:paraId="1E9EF68A"/>
    <w:p w14:paraId="5455C909">
      <w:pPr>
        <w:jc w:val="both"/>
      </w:pPr>
    </w:p>
    <w:p w14:paraId="7AF0DAF3">
      <w:pPr>
        <w:jc w:val="center"/>
      </w:pPr>
      <w:r>
        <w:drawing>
          <wp:inline distT="0" distB="0" distL="114300" distR="114300">
            <wp:extent cx="6019165" cy="8098155"/>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rcRect b="8556"/>
                    <a:stretch>
                      <a:fillRect/>
                    </a:stretch>
                  </pic:blipFill>
                  <pic:spPr>
                    <a:xfrm>
                      <a:off x="0" y="0"/>
                      <a:ext cx="6019165" cy="8098155"/>
                    </a:xfrm>
                    <a:prstGeom prst="rect">
                      <a:avLst/>
                    </a:prstGeom>
                  </pic:spPr>
                </pic:pic>
              </a:graphicData>
            </a:graphic>
          </wp:inline>
        </w:drawing>
      </w:r>
    </w:p>
    <w:p w14:paraId="3E896977">
      <w:pPr>
        <w:pStyle w:val="167"/>
        <w:jc w:val="center"/>
      </w:pPr>
      <w:r>
        <w:rPr>
          <w:b w:val="0"/>
          <w:i w:val="0"/>
        </w:rPr>
        <w:t>Simplified logical data model. It communicates relationships and invariants rather than every physical column.</w:t>
      </w:r>
    </w:p>
    <w:p w14:paraId="69FC14DF">
      <w:r>
        <w:br w:type="page"/>
      </w:r>
    </w:p>
    <w:p w14:paraId="2BDB10A3">
      <w:pPr>
        <w:pStyle w:val="3"/>
      </w:pPr>
      <w:bookmarkStart w:id="18" w:name="_Toc120634544"/>
      <w:r>
        <w:t>Logical data invariants</w:t>
      </w:r>
      <w:bookmarkEnd w:id="18"/>
    </w:p>
    <w:p w14:paraId="16586A21">
      <w:pPr>
        <w:spacing w:after="100" w:line="259" w:lineRule="auto"/>
      </w:pPr>
      <w:r>
        <w:rPr>
          <w:b w:val="0"/>
          <w:i w:val="0"/>
        </w:rPr>
        <w:t>Identifiers are application-generated UUIDs and timestamps use UTC. Vote values are constrained to -1 or 1. Moderator authority is derived from active society membership. Soft deletion and status transitions preserve moderation evidence. Media records retain an object key but no presigned or delivery URL. A persisted location requires the Mapbox identifier and its verified coordinate fields together.</w:t>
      </w:r>
    </w:p>
    <w:p w14:paraId="4EA701A0">
      <w:pPr>
        <w:pStyle w:val="3"/>
      </w:pPr>
      <w:bookmarkStart w:id="19" w:name="_Toc280218240"/>
      <w:r>
        <w:t>API catalogue and boundaries</w:t>
      </w:r>
      <w:bookmarkEnd w:id="1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3061"/>
        <w:gridCol w:w="3061"/>
      </w:tblGrid>
      <w:tr w14:paraId="50330896">
        <w:trPr>
          <w:tblHeader/>
          <w:jc w:val="center"/>
        </w:trPr>
        <w:tc>
          <w:tcPr>
            <w:tcW w:w="3061" w:type="dxa"/>
            <w:shd w:val="clear" w:color="auto" w:fill="E7E6E6"/>
            <w:tcMar>
              <w:top w:w="70" w:type="dxa"/>
              <w:left w:w="70" w:type="dxa"/>
              <w:bottom w:w="70" w:type="dxa"/>
              <w:right w:w="70" w:type="dxa"/>
            </w:tcMar>
            <w:vAlign w:val="top"/>
          </w:tcPr>
          <w:p w14:paraId="2ABD1617">
            <w:pPr>
              <w:spacing w:after="0" w:line="240" w:lineRule="auto"/>
            </w:pPr>
            <w:r>
              <w:rPr>
                <w:b/>
                <w:i w:val="0"/>
                <w:sz w:val="17"/>
              </w:rPr>
              <w:t>API group</w:t>
            </w:r>
          </w:p>
        </w:tc>
        <w:tc>
          <w:tcPr>
            <w:tcW w:w="3061" w:type="dxa"/>
            <w:shd w:val="clear" w:color="auto" w:fill="E7E6E6"/>
            <w:tcMar>
              <w:top w:w="70" w:type="dxa"/>
              <w:left w:w="70" w:type="dxa"/>
              <w:bottom w:w="70" w:type="dxa"/>
              <w:right w:w="70" w:type="dxa"/>
            </w:tcMar>
            <w:vAlign w:val="top"/>
          </w:tcPr>
          <w:p w14:paraId="6FCFBB0F">
            <w:pPr>
              <w:spacing w:after="0" w:line="240" w:lineRule="auto"/>
            </w:pPr>
            <w:r>
              <w:rPr>
                <w:b/>
                <w:i w:val="0"/>
                <w:sz w:val="17"/>
              </w:rPr>
              <w:t>Representative operations</w:t>
            </w:r>
          </w:p>
        </w:tc>
        <w:tc>
          <w:tcPr>
            <w:tcW w:w="3061" w:type="dxa"/>
            <w:shd w:val="clear" w:color="auto" w:fill="E7E6E6"/>
            <w:tcMar>
              <w:top w:w="70" w:type="dxa"/>
              <w:left w:w="70" w:type="dxa"/>
              <w:bottom w:w="70" w:type="dxa"/>
              <w:right w:w="70" w:type="dxa"/>
            </w:tcMar>
            <w:vAlign w:val="top"/>
          </w:tcPr>
          <w:p w14:paraId="3E1BB488">
            <w:pPr>
              <w:spacing w:after="0" w:line="240" w:lineRule="auto"/>
            </w:pPr>
            <w:r>
              <w:rPr>
                <w:b/>
                <w:i w:val="0"/>
                <w:sz w:val="17"/>
              </w:rPr>
              <w:t>Consumer</w:t>
            </w:r>
          </w:p>
        </w:tc>
      </w:tr>
      <w:tr w14:paraId="0577CD49">
        <w:trPr>
          <w:jc w:val="center"/>
        </w:trPr>
        <w:tc>
          <w:tcPr>
            <w:tcW w:w="3061" w:type="dxa"/>
            <w:tcMar>
              <w:top w:w="70" w:type="dxa"/>
              <w:left w:w="70" w:type="dxa"/>
              <w:bottom w:w="70" w:type="dxa"/>
              <w:right w:w="70" w:type="dxa"/>
            </w:tcMar>
            <w:vAlign w:val="top"/>
          </w:tcPr>
          <w:p w14:paraId="1322EEE3">
            <w:pPr>
              <w:spacing w:after="0" w:line="240" w:lineRule="auto"/>
            </w:pPr>
            <w:r>
              <w:rPr>
                <w:b w:val="0"/>
                <w:i w:val="0"/>
                <w:sz w:val="17"/>
              </w:rPr>
              <w:t>Authentication</w:t>
            </w:r>
          </w:p>
        </w:tc>
        <w:tc>
          <w:tcPr>
            <w:tcW w:w="3061" w:type="dxa"/>
            <w:tcMar>
              <w:top w:w="70" w:type="dxa"/>
              <w:left w:w="70" w:type="dxa"/>
              <w:bottom w:w="70" w:type="dxa"/>
              <w:right w:w="70" w:type="dxa"/>
            </w:tcMar>
            <w:vAlign w:val="top"/>
          </w:tcPr>
          <w:p w14:paraId="43BD6D2B">
            <w:pPr>
              <w:spacing w:after="0" w:line="240" w:lineRule="auto"/>
            </w:pPr>
            <w:r>
              <w:rPr>
                <w:b w:val="0"/>
                <w:i w:val="0"/>
                <w:sz w:val="17"/>
              </w:rPr>
              <w:t>Register, sign in, refresh session, sign out.</w:t>
            </w:r>
          </w:p>
        </w:tc>
        <w:tc>
          <w:tcPr>
            <w:tcW w:w="3061" w:type="dxa"/>
            <w:tcMar>
              <w:top w:w="70" w:type="dxa"/>
              <w:left w:w="70" w:type="dxa"/>
              <w:bottom w:w="70" w:type="dxa"/>
              <w:right w:w="70" w:type="dxa"/>
            </w:tcMar>
            <w:vAlign w:val="top"/>
          </w:tcPr>
          <w:p w14:paraId="046E2049">
            <w:pPr>
              <w:spacing w:after="0" w:line="240" w:lineRule="auto"/>
            </w:pPr>
            <w:r>
              <w:rPr>
                <w:b w:val="0"/>
                <w:i w:val="0"/>
                <w:sz w:val="17"/>
              </w:rPr>
              <w:t>SPA</w:t>
            </w:r>
          </w:p>
        </w:tc>
      </w:tr>
      <w:tr w14:paraId="111584E5">
        <w:trPr>
          <w:jc w:val="center"/>
        </w:trPr>
        <w:tc>
          <w:tcPr>
            <w:tcW w:w="3061" w:type="dxa"/>
            <w:tcMar>
              <w:top w:w="70" w:type="dxa"/>
              <w:left w:w="70" w:type="dxa"/>
              <w:bottom w:w="70" w:type="dxa"/>
              <w:right w:w="70" w:type="dxa"/>
            </w:tcMar>
            <w:vAlign w:val="top"/>
          </w:tcPr>
          <w:p w14:paraId="71D95ED1">
            <w:pPr>
              <w:spacing w:after="0" w:line="240" w:lineRule="auto"/>
            </w:pPr>
            <w:r>
              <w:rPr>
                <w:b w:val="0"/>
                <w:i w:val="0"/>
                <w:sz w:val="17"/>
              </w:rPr>
              <w:t>Societies</w:t>
            </w:r>
          </w:p>
        </w:tc>
        <w:tc>
          <w:tcPr>
            <w:tcW w:w="3061" w:type="dxa"/>
            <w:tcMar>
              <w:top w:w="70" w:type="dxa"/>
              <w:left w:w="70" w:type="dxa"/>
              <w:bottom w:w="70" w:type="dxa"/>
              <w:right w:w="70" w:type="dxa"/>
            </w:tcMar>
            <w:vAlign w:val="top"/>
          </w:tcPr>
          <w:p w14:paraId="313A6567">
            <w:pPr>
              <w:spacing w:after="0" w:line="240" w:lineRule="auto"/>
            </w:pPr>
            <w:r>
              <w:rPr>
                <w:b w:val="0"/>
                <w:i w:val="0"/>
                <w:sz w:val="17"/>
              </w:rPr>
              <w:t>Browse, inspect, join/leave, manage membership.</w:t>
            </w:r>
          </w:p>
        </w:tc>
        <w:tc>
          <w:tcPr>
            <w:tcW w:w="3061" w:type="dxa"/>
            <w:tcMar>
              <w:top w:w="70" w:type="dxa"/>
              <w:left w:w="70" w:type="dxa"/>
              <w:bottom w:w="70" w:type="dxa"/>
              <w:right w:w="70" w:type="dxa"/>
            </w:tcMar>
            <w:vAlign w:val="top"/>
          </w:tcPr>
          <w:p w14:paraId="4C1C8BC5">
            <w:pPr>
              <w:spacing w:after="0" w:line="240" w:lineRule="auto"/>
            </w:pPr>
            <w:r>
              <w:rPr>
                <w:b w:val="0"/>
                <w:i w:val="0"/>
                <w:sz w:val="17"/>
              </w:rPr>
              <w:t>SPA</w:t>
            </w:r>
          </w:p>
        </w:tc>
      </w:tr>
      <w:tr w14:paraId="1DFF2352">
        <w:trPr>
          <w:jc w:val="center"/>
        </w:trPr>
        <w:tc>
          <w:tcPr>
            <w:tcW w:w="3061" w:type="dxa"/>
            <w:tcMar>
              <w:top w:w="70" w:type="dxa"/>
              <w:left w:w="70" w:type="dxa"/>
              <w:bottom w:w="70" w:type="dxa"/>
              <w:right w:w="70" w:type="dxa"/>
            </w:tcMar>
            <w:vAlign w:val="top"/>
          </w:tcPr>
          <w:p w14:paraId="3F9D0694">
            <w:pPr>
              <w:spacing w:after="0" w:line="240" w:lineRule="auto"/>
            </w:pPr>
            <w:r>
              <w:rPr>
                <w:b w:val="0"/>
                <w:i w:val="0"/>
                <w:sz w:val="17"/>
              </w:rPr>
              <w:t>Discussions</w:t>
            </w:r>
          </w:p>
        </w:tc>
        <w:tc>
          <w:tcPr>
            <w:tcW w:w="3061" w:type="dxa"/>
            <w:tcMar>
              <w:top w:w="70" w:type="dxa"/>
              <w:left w:w="70" w:type="dxa"/>
              <w:bottom w:w="70" w:type="dxa"/>
              <w:right w:w="70" w:type="dxa"/>
            </w:tcMar>
            <w:vAlign w:val="top"/>
          </w:tcPr>
          <w:p w14:paraId="7291DF9E">
            <w:pPr>
              <w:spacing w:after="0" w:line="240" w:lineRule="auto"/>
            </w:pPr>
            <w:r>
              <w:rPr>
                <w:b w:val="0"/>
                <w:i w:val="0"/>
                <w:sz w:val="17"/>
              </w:rPr>
              <w:t>Create/list/read/update/delete threads and comments; vote.</w:t>
            </w:r>
          </w:p>
        </w:tc>
        <w:tc>
          <w:tcPr>
            <w:tcW w:w="3061" w:type="dxa"/>
            <w:tcMar>
              <w:top w:w="70" w:type="dxa"/>
              <w:left w:w="70" w:type="dxa"/>
              <w:bottom w:w="70" w:type="dxa"/>
              <w:right w:w="70" w:type="dxa"/>
            </w:tcMar>
            <w:vAlign w:val="top"/>
          </w:tcPr>
          <w:p w14:paraId="6F92D796">
            <w:pPr>
              <w:spacing w:after="0" w:line="240" w:lineRule="auto"/>
            </w:pPr>
            <w:r>
              <w:rPr>
                <w:b w:val="0"/>
                <w:i w:val="0"/>
                <w:sz w:val="17"/>
              </w:rPr>
              <w:t>SPA</w:t>
            </w:r>
          </w:p>
        </w:tc>
      </w:tr>
      <w:tr w14:paraId="01836AA6">
        <w:trPr>
          <w:jc w:val="center"/>
        </w:trPr>
        <w:tc>
          <w:tcPr>
            <w:tcW w:w="3061" w:type="dxa"/>
            <w:tcMar>
              <w:top w:w="70" w:type="dxa"/>
              <w:left w:w="70" w:type="dxa"/>
              <w:bottom w:w="70" w:type="dxa"/>
              <w:right w:w="70" w:type="dxa"/>
            </w:tcMar>
            <w:vAlign w:val="top"/>
          </w:tcPr>
          <w:p w14:paraId="130E63F1">
            <w:pPr>
              <w:spacing w:after="0" w:line="240" w:lineRule="auto"/>
            </w:pPr>
            <w:r>
              <w:rPr>
                <w:b w:val="0"/>
                <w:i w:val="0"/>
                <w:sz w:val="17"/>
              </w:rPr>
              <w:t>Media</w:t>
            </w:r>
          </w:p>
        </w:tc>
        <w:tc>
          <w:tcPr>
            <w:tcW w:w="3061" w:type="dxa"/>
            <w:tcMar>
              <w:top w:w="70" w:type="dxa"/>
              <w:left w:w="70" w:type="dxa"/>
              <w:bottom w:w="70" w:type="dxa"/>
              <w:right w:w="70" w:type="dxa"/>
            </w:tcMar>
            <w:vAlign w:val="top"/>
          </w:tcPr>
          <w:p w14:paraId="7DFF6A12">
            <w:pPr>
              <w:spacing w:after="0" w:line="240" w:lineRule="auto"/>
            </w:pPr>
            <w:r>
              <w:rPr>
                <w:b w:val="0"/>
                <w:i w:val="0"/>
                <w:sz w:val="17"/>
              </w:rPr>
              <w:t>Request upload, confirm upload, attach asset.</w:t>
            </w:r>
          </w:p>
        </w:tc>
        <w:tc>
          <w:tcPr>
            <w:tcW w:w="3061" w:type="dxa"/>
            <w:tcMar>
              <w:top w:w="70" w:type="dxa"/>
              <w:left w:w="70" w:type="dxa"/>
              <w:bottom w:w="70" w:type="dxa"/>
              <w:right w:w="70" w:type="dxa"/>
            </w:tcMar>
            <w:vAlign w:val="top"/>
          </w:tcPr>
          <w:p w14:paraId="72C55BAD">
            <w:pPr>
              <w:spacing w:after="0" w:line="240" w:lineRule="auto"/>
            </w:pPr>
            <w:r>
              <w:rPr>
                <w:b w:val="0"/>
                <w:i w:val="0"/>
                <w:sz w:val="17"/>
              </w:rPr>
              <w:t>SPA and direct S3 upload</w:t>
            </w:r>
          </w:p>
        </w:tc>
      </w:tr>
      <w:tr w14:paraId="46AD2100">
        <w:trPr>
          <w:jc w:val="center"/>
        </w:trPr>
        <w:tc>
          <w:tcPr>
            <w:tcW w:w="3061" w:type="dxa"/>
            <w:tcMar>
              <w:top w:w="70" w:type="dxa"/>
              <w:left w:w="70" w:type="dxa"/>
              <w:bottom w:w="70" w:type="dxa"/>
              <w:right w:w="70" w:type="dxa"/>
            </w:tcMar>
            <w:vAlign w:val="top"/>
          </w:tcPr>
          <w:p w14:paraId="2B47A524">
            <w:pPr>
              <w:spacing w:after="0" w:line="240" w:lineRule="auto"/>
            </w:pPr>
            <w:r>
              <w:rPr>
                <w:b w:val="0"/>
                <w:i w:val="0"/>
                <w:sz w:val="17"/>
              </w:rPr>
              <w:t>Moderation</w:t>
            </w:r>
          </w:p>
        </w:tc>
        <w:tc>
          <w:tcPr>
            <w:tcW w:w="3061" w:type="dxa"/>
            <w:tcMar>
              <w:top w:w="70" w:type="dxa"/>
              <w:left w:w="70" w:type="dxa"/>
              <w:bottom w:w="70" w:type="dxa"/>
              <w:right w:w="70" w:type="dxa"/>
            </w:tcMar>
            <w:vAlign w:val="top"/>
          </w:tcPr>
          <w:p w14:paraId="70746F49">
            <w:pPr>
              <w:spacing w:after="0" w:line="240" w:lineRule="auto"/>
            </w:pPr>
            <w:r>
              <w:rPr>
                <w:b w:val="0"/>
                <w:i w:val="0"/>
                <w:sz w:val="17"/>
              </w:rPr>
              <w:t>Submit report, inspect queue, decide, request reanalysis.</w:t>
            </w:r>
          </w:p>
        </w:tc>
        <w:tc>
          <w:tcPr>
            <w:tcW w:w="3061" w:type="dxa"/>
            <w:tcMar>
              <w:top w:w="70" w:type="dxa"/>
              <w:left w:w="70" w:type="dxa"/>
              <w:bottom w:w="70" w:type="dxa"/>
              <w:right w:w="70" w:type="dxa"/>
            </w:tcMar>
            <w:vAlign w:val="top"/>
          </w:tcPr>
          <w:p w14:paraId="558ACB83">
            <w:pPr>
              <w:spacing w:after="0" w:line="240" w:lineRule="auto"/>
            </w:pPr>
            <w:r>
              <w:rPr>
                <w:b w:val="0"/>
                <w:i w:val="0"/>
                <w:sz w:val="17"/>
              </w:rPr>
              <w:t>SPA</w:t>
            </w:r>
          </w:p>
        </w:tc>
      </w:tr>
      <w:tr w14:paraId="4ED74E66">
        <w:trPr>
          <w:jc w:val="center"/>
        </w:trPr>
        <w:tc>
          <w:tcPr>
            <w:tcW w:w="3061" w:type="dxa"/>
            <w:tcMar>
              <w:top w:w="70" w:type="dxa"/>
              <w:left w:w="70" w:type="dxa"/>
              <w:bottom w:w="70" w:type="dxa"/>
              <w:right w:w="70" w:type="dxa"/>
            </w:tcMar>
            <w:vAlign w:val="top"/>
          </w:tcPr>
          <w:p w14:paraId="69E4FF77">
            <w:pPr>
              <w:spacing w:after="0" w:line="240" w:lineRule="auto"/>
            </w:pPr>
            <w:r>
              <w:rPr>
                <w:b w:val="0"/>
                <w:i w:val="0"/>
                <w:sz w:val="17"/>
              </w:rPr>
              <w:t>Places</w:t>
            </w:r>
          </w:p>
        </w:tc>
        <w:tc>
          <w:tcPr>
            <w:tcW w:w="3061" w:type="dxa"/>
            <w:tcMar>
              <w:top w:w="70" w:type="dxa"/>
              <w:left w:w="70" w:type="dxa"/>
              <w:bottom w:w="70" w:type="dxa"/>
              <w:right w:w="70" w:type="dxa"/>
            </w:tcMar>
            <w:vAlign w:val="top"/>
          </w:tcPr>
          <w:p w14:paraId="70DBDCEC">
            <w:pPr>
              <w:spacing w:after="0" w:line="240" w:lineRule="auto"/>
            </w:pPr>
            <w:r>
              <w:rPr>
                <w:b w:val="0"/>
                <w:i w:val="0"/>
                <w:sz w:val="17"/>
              </w:rPr>
              <w:t>Search, retrieve, reverse geocode.</w:t>
            </w:r>
          </w:p>
        </w:tc>
        <w:tc>
          <w:tcPr>
            <w:tcW w:w="3061" w:type="dxa"/>
            <w:tcMar>
              <w:top w:w="70" w:type="dxa"/>
              <w:left w:w="70" w:type="dxa"/>
              <w:bottom w:w="70" w:type="dxa"/>
              <w:right w:w="70" w:type="dxa"/>
            </w:tcMar>
            <w:vAlign w:val="top"/>
          </w:tcPr>
          <w:p w14:paraId="59551705">
            <w:pPr>
              <w:spacing w:after="0" w:line="240" w:lineRule="auto"/>
            </w:pPr>
            <w:r>
              <w:rPr>
                <w:b w:val="0"/>
                <w:i w:val="0"/>
                <w:sz w:val="17"/>
              </w:rPr>
              <w:t>SPA through ECS</w:t>
            </w:r>
          </w:p>
        </w:tc>
      </w:tr>
      <w:tr w14:paraId="35840BD9">
        <w:trPr>
          <w:jc w:val="center"/>
        </w:trPr>
        <w:tc>
          <w:tcPr>
            <w:tcW w:w="3061" w:type="dxa"/>
            <w:tcMar>
              <w:top w:w="70" w:type="dxa"/>
              <w:left w:w="70" w:type="dxa"/>
              <w:bottom w:w="70" w:type="dxa"/>
              <w:right w:w="70" w:type="dxa"/>
            </w:tcMar>
            <w:vAlign w:val="top"/>
          </w:tcPr>
          <w:p w14:paraId="5C15BA9C">
            <w:pPr>
              <w:spacing w:after="0" w:line="240" w:lineRule="auto"/>
            </w:pPr>
            <w:r>
              <w:rPr>
                <w:b w:val="0"/>
                <w:i w:val="0"/>
                <w:sz w:val="17"/>
              </w:rPr>
              <w:t>Analytics v2</w:t>
            </w:r>
          </w:p>
        </w:tc>
        <w:tc>
          <w:tcPr>
            <w:tcW w:w="3061" w:type="dxa"/>
            <w:tcMar>
              <w:top w:w="70" w:type="dxa"/>
              <w:left w:w="70" w:type="dxa"/>
              <w:bottom w:w="70" w:type="dxa"/>
              <w:right w:w="70" w:type="dxa"/>
            </w:tcMar>
            <w:vAlign w:val="top"/>
          </w:tcPr>
          <w:p w14:paraId="431E6DEB">
            <w:pPr>
              <w:spacing w:after="0" w:line="240" w:lineRule="auto"/>
            </w:pPr>
            <w:r>
              <w:rPr>
                <w:b w:val="0"/>
                <w:i w:val="0"/>
                <w:sz w:val="17"/>
              </w:rPr>
              <w:t>Query metrics; create, cancel, inspect refresh.</w:t>
            </w:r>
          </w:p>
        </w:tc>
        <w:tc>
          <w:tcPr>
            <w:tcW w:w="3061" w:type="dxa"/>
            <w:tcMar>
              <w:top w:w="70" w:type="dxa"/>
              <w:left w:w="70" w:type="dxa"/>
              <w:bottom w:w="70" w:type="dxa"/>
              <w:right w:w="70" w:type="dxa"/>
            </w:tcMar>
            <w:vAlign w:val="top"/>
          </w:tcPr>
          <w:p w14:paraId="0084DD3D">
            <w:pPr>
              <w:spacing w:after="0" w:line="240" w:lineRule="auto"/>
            </w:pPr>
            <w:r>
              <w:rPr>
                <w:b w:val="0"/>
                <w:i w:val="0"/>
                <w:sz w:val="17"/>
              </w:rPr>
              <w:t>Admin Center</w:t>
            </w:r>
          </w:p>
        </w:tc>
      </w:tr>
      <w:tr w14:paraId="2C26FFB8">
        <w:trPr>
          <w:jc w:val="center"/>
        </w:trPr>
        <w:tc>
          <w:tcPr>
            <w:tcW w:w="3061" w:type="dxa"/>
            <w:tcMar>
              <w:top w:w="70" w:type="dxa"/>
              <w:left w:w="70" w:type="dxa"/>
              <w:bottom w:w="70" w:type="dxa"/>
              <w:right w:w="70" w:type="dxa"/>
            </w:tcMar>
            <w:vAlign w:val="top"/>
          </w:tcPr>
          <w:p w14:paraId="701FF345">
            <w:pPr>
              <w:spacing w:after="0" w:line="240" w:lineRule="auto"/>
            </w:pPr>
            <w:r>
              <w:rPr>
                <w:b w:val="0"/>
                <w:i w:val="0"/>
                <w:sz w:val="17"/>
              </w:rPr>
              <w:t>Scheduled analytics</w:t>
            </w:r>
          </w:p>
        </w:tc>
        <w:tc>
          <w:tcPr>
            <w:tcW w:w="3061" w:type="dxa"/>
            <w:tcMar>
              <w:top w:w="70" w:type="dxa"/>
              <w:left w:w="70" w:type="dxa"/>
              <w:bottom w:w="70" w:type="dxa"/>
              <w:right w:w="70" w:type="dxa"/>
            </w:tcMar>
            <w:vAlign w:val="top"/>
          </w:tcPr>
          <w:p w14:paraId="28E4BA82">
            <w:pPr>
              <w:spacing w:after="0" w:line="240" w:lineRule="auto"/>
            </w:pPr>
            <w:r>
              <w:rPr>
                <w:b w:val="0"/>
                <w:i w:val="0"/>
                <w:sz w:val="17"/>
              </w:rPr>
              <w:t>Start scheduled refresh.</w:t>
            </w:r>
          </w:p>
        </w:tc>
        <w:tc>
          <w:tcPr>
            <w:tcW w:w="3061" w:type="dxa"/>
            <w:tcMar>
              <w:top w:w="70" w:type="dxa"/>
              <w:left w:w="70" w:type="dxa"/>
              <w:bottom w:w="70" w:type="dxa"/>
              <w:right w:w="70" w:type="dxa"/>
            </w:tcMar>
            <w:vAlign w:val="top"/>
          </w:tcPr>
          <w:p w14:paraId="48EFB2F9">
            <w:pPr>
              <w:spacing w:after="0" w:line="240" w:lineRule="auto"/>
            </w:pPr>
            <w:r>
              <w:rPr>
                <w:b w:val="0"/>
                <w:i w:val="0"/>
                <w:sz w:val="17"/>
              </w:rPr>
              <w:t>EventBridge only</w:t>
            </w:r>
          </w:p>
        </w:tc>
      </w:tr>
    </w:tbl>
    <w:p w14:paraId="74CEA3C3">
      <w:pPr>
        <w:spacing w:after="40"/>
      </w:pPr>
    </w:p>
    <w:p w14:paraId="32439AEF">
      <w:pPr>
        <w:spacing w:after="100" w:line="259" w:lineRule="auto"/>
      </w:pPr>
      <w:r>
        <w:rPr>
          <w:b w:val="0"/>
          <w:i w:val="0"/>
        </w:rPr>
        <w:t>The browser communicates with the ECS backend through API Gateway. It does not directly access RDS, Secrets Manager, Glue, Athena, or other private services. The Mapbox and OpenRouter contracts are mediated by backend or Lambda adapters so that credentials and verification policies remain server-side.</w:t>
      </w:r>
    </w:p>
    <w:p w14:paraId="7B40CCA5">
      <w:pPr>
        <w:pStyle w:val="2"/>
      </w:pPr>
      <w:bookmarkStart w:id="20" w:name="_Toc196321809"/>
      <w:r>
        <w:t>Evidence register and finalisation checklist</w:t>
      </w:r>
      <w:bookmarkEnd w:id="20"/>
    </w:p>
    <w:p w14:paraId="5BFD84F8">
      <w:pPr>
        <w:spacing w:after="100" w:line="259" w:lineRule="auto"/>
      </w:pPr>
      <w:r>
        <w:rPr>
          <w:b w:val="0"/>
          <w:i w:val="0"/>
        </w:rPr>
        <w:t>The following register is intentionally unfilled. It prevents the final report from promoting a planned component to deployed evidence.</w:t>
      </w:r>
    </w:p>
    <w:p w14:paraId="39B0BD51">
      <w:pPr>
        <w:spacing w:before="80" w:after="60"/>
        <w:jc w:val="center"/>
      </w:pPr>
      <w:r>
        <w:rPr>
          <w:i/>
          <w:sz w:val="18"/>
        </w:rPr>
        <w:t>Evidence register to complete during deployment rehearsal.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3061"/>
        <w:gridCol w:w="3061"/>
      </w:tblGrid>
      <w:tr w14:paraId="073F0F5E">
        <w:trPr>
          <w:tblHeader/>
          <w:jc w:val="center"/>
        </w:trPr>
        <w:tc>
          <w:tcPr>
            <w:tcW w:w="3061" w:type="dxa"/>
            <w:shd w:val="clear" w:color="auto" w:fill="E7E6E6"/>
            <w:tcMar>
              <w:top w:w="70" w:type="dxa"/>
              <w:left w:w="70" w:type="dxa"/>
              <w:bottom w:w="70" w:type="dxa"/>
              <w:right w:w="70" w:type="dxa"/>
            </w:tcMar>
            <w:vAlign w:val="top"/>
          </w:tcPr>
          <w:p w14:paraId="1EE5BD3F">
            <w:pPr>
              <w:spacing w:after="0" w:line="240" w:lineRule="auto"/>
            </w:pPr>
            <w:r>
              <w:rPr>
                <w:b/>
                <w:i w:val="0"/>
                <w:sz w:val="17"/>
              </w:rPr>
              <w:t>Claimed capability</w:t>
            </w:r>
          </w:p>
        </w:tc>
        <w:tc>
          <w:tcPr>
            <w:tcW w:w="3061" w:type="dxa"/>
            <w:shd w:val="clear" w:color="auto" w:fill="E7E6E6"/>
            <w:tcMar>
              <w:top w:w="70" w:type="dxa"/>
              <w:left w:w="70" w:type="dxa"/>
              <w:bottom w:w="70" w:type="dxa"/>
              <w:right w:w="70" w:type="dxa"/>
            </w:tcMar>
            <w:vAlign w:val="top"/>
          </w:tcPr>
          <w:p w14:paraId="67C8B208">
            <w:pPr>
              <w:spacing w:after="0" w:line="240" w:lineRule="auto"/>
            </w:pPr>
            <w:r>
              <w:rPr>
                <w:b/>
                <w:i w:val="0"/>
                <w:sz w:val="17"/>
              </w:rPr>
              <w:t>Evidence to capture, redacted</w:t>
            </w:r>
          </w:p>
        </w:tc>
        <w:tc>
          <w:tcPr>
            <w:tcW w:w="3061" w:type="dxa"/>
            <w:shd w:val="clear" w:color="auto" w:fill="E7E6E6"/>
            <w:tcMar>
              <w:top w:w="70" w:type="dxa"/>
              <w:left w:w="70" w:type="dxa"/>
              <w:bottom w:w="70" w:type="dxa"/>
              <w:right w:w="70" w:type="dxa"/>
            </w:tcMar>
            <w:vAlign w:val="top"/>
          </w:tcPr>
          <w:p w14:paraId="045AB097">
            <w:pPr>
              <w:spacing w:after="0" w:line="240" w:lineRule="auto"/>
            </w:pPr>
            <w:r>
              <w:rPr>
                <w:b/>
                <w:i w:val="0"/>
                <w:sz w:val="17"/>
              </w:rPr>
              <w:t>Report use</w:t>
            </w:r>
          </w:p>
        </w:tc>
      </w:tr>
      <w:tr w14:paraId="37F15653">
        <w:trPr>
          <w:jc w:val="center"/>
        </w:trPr>
        <w:tc>
          <w:tcPr>
            <w:tcW w:w="3061" w:type="dxa"/>
            <w:tcMar>
              <w:top w:w="70" w:type="dxa"/>
              <w:left w:w="70" w:type="dxa"/>
              <w:bottom w:w="70" w:type="dxa"/>
              <w:right w:w="70" w:type="dxa"/>
            </w:tcMar>
            <w:vAlign w:val="top"/>
          </w:tcPr>
          <w:p w14:paraId="7209768B">
            <w:pPr>
              <w:spacing w:after="0" w:line="240" w:lineRule="auto"/>
            </w:pPr>
            <w:r>
              <w:rPr>
                <w:b w:val="0"/>
                <w:i w:val="0"/>
                <w:sz w:val="17"/>
              </w:rPr>
              <w:t>SPA hosting and API routing</w:t>
            </w:r>
          </w:p>
        </w:tc>
        <w:tc>
          <w:tcPr>
            <w:tcW w:w="3061" w:type="dxa"/>
            <w:tcMar>
              <w:top w:w="70" w:type="dxa"/>
              <w:left w:w="70" w:type="dxa"/>
              <w:bottom w:w="70" w:type="dxa"/>
              <w:right w:w="70" w:type="dxa"/>
            </w:tcMar>
            <w:vAlign w:val="top"/>
          </w:tcPr>
          <w:p w14:paraId="1F88DE50">
            <w:pPr>
              <w:spacing w:after="0" w:line="240" w:lineRule="auto"/>
            </w:pPr>
            <w:r>
              <w:rPr>
                <w:b w:val="0"/>
                <w:i w:val="0"/>
                <w:sz w:val="17"/>
              </w:rPr>
              <w:t>Browser screenshot and successful authenticated workflow.</w:t>
            </w:r>
          </w:p>
        </w:tc>
        <w:tc>
          <w:tcPr>
            <w:tcW w:w="3061" w:type="dxa"/>
            <w:tcMar>
              <w:top w:w="70" w:type="dxa"/>
              <w:left w:w="70" w:type="dxa"/>
              <w:bottom w:w="70" w:type="dxa"/>
              <w:right w:w="70" w:type="dxa"/>
            </w:tcMar>
            <w:vAlign w:val="top"/>
          </w:tcPr>
          <w:p w14:paraId="7B07AEA4">
            <w:pPr>
              <w:spacing w:after="0" w:line="240" w:lineRule="auto"/>
            </w:pPr>
            <w:r>
              <w:rPr>
                <w:b w:val="0"/>
                <w:i w:val="0"/>
                <w:sz w:val="17"/>
              </w:rPr>
              <w:t>Links, Figure 2, demo</w:t>
            </w:r>
          </w:p>
        </w:tc>
      </w:tr>
      <w:tr w14:paraId="3D803643">
        <w:trPr>
          <w:jc w:val="center"/>
        </w:trPr>
        <w:tc>
          <w:tcPr>
            <w:tcW w:w="3061" w:type="dxa"/>
            <w:tcMar>
              <w:top w:w="70" w:type="dxa"/>
              <w:left w:w="70" w:type="dxa"/>
              <w:bottom w:w="70" w:type="dxa"/>
              <w:right w:w="70" w:type="dxa"/>
            </w:tcMar>
            <w:vAlign w:val="top"/>
          </w:tcPr>
          <w:p w14:paraId="3BFA0A1F">
            <w:pPr>
              <w:spacing w:after="0" w:line="240" w:lineRule="auto"/>
            </w:pPr>
            <w:r>
              <w:rPr>
                <w:b w:val="0"/>
                <w:i w:val="0"/>
                <w:sz w:val="17"/>
              </w:rPr>
              <w:t>ECS/EC2 backend execution</w:t>
            </w:r>
          </w:p>
        </w:tc>
        <w:tc>
          <w:tcPr>
            <w:tcW w:w="3061" w:type="dxa"/>
            <w:tcMar>
              <w:top w:w="70" w:type="dxa"/>
              <w:left w:w="70" w:type="dxa"/>
              <w:bottom w:w="70" w:type="dxa"/>
              <w:right w:w="70" w:type="dxa"/>
            </w:tcMar>
            <w:vAlign w:val="top"/>
          </w:tcPr>
          <w:p w14:paraId="3A18646F">
            <w:pPr>
              <w:spacing w:after="0" w:line="240" w:lineRule="auto"/>
            </w:pPr>
            <w:r>
              <w:rPr>
                <w:b w:val="0"/>
                <w:i w:val="0"/>
                <w:sz w:val="17"/>
              </w:rPr>
              <w:t>ECS service/task state and CloudWatch evidence.</w:t>
            </w:r>
          </w:p>
        </w:tc>
        <w:tc>
          <w:tcPr>
            <w:tcW w:w="3061" w:type="dxa"/>
            <w:tcMar>
              <w:top w:w="70" w:type="dxa"/>
              <w:left w:w="70" w:type="dxa"/>
              <w:bottom w:w="70" w:type="dxa"/>
              <w:right w:w="70" w:type="dxa"/>
            </w:tcMar>
            <w:vAlign w:val="top"/>
          </w:tcPr>
          <w:p w14:paraId="716B5B63">
            <w:pPr>
              <w:spacing w:after="0" w:line="240" w:lineRule="auto"/>
            </w:pPr>
            <w:r>
              <w:rPr>
                <w:b w:val="0"/>
                <w:i w:val="0"/>
                <w:sz w:val="17"/>
              </w:rPr>
              <w:t>Figure 2, Table 3</w:t>
            </w:r>
          </w:p>
        </w:tc>
      </w:tr>
      <w:tr w14:paraId="6F967DE3">
        <w:trPr>
          <w:jc w:val="center"/>
        </w:trPr>
        <w:tc>
          <w:tcPr>
            <w:tcW w:w="3061" w:type="dxa"/>
            <w:tcMar>
              <w:top w:w="70" w:type="dxa"/>
              <w:left w:w="70" w:type="dxa"/>
              <w:bottom w:w="70" w:type="dxa"/>
              <w:right w:w="70" w:type="dxa"/>
            </w:tcMar>
            <w:vAlign w:val="top"/>
          </w:tcPr>
          <w:p w14:paraId="53408C42">
            <w:pPr>
              <w:spacing w:after="0" w:line="240" w:lineRule="auto"/>
            </w:pPr>
            <w:r>
              <w:rPr>
                <w:b w:val="0"/>
                <w:i w:val="0"/>
                <w:sz w:val="17"/>
              </w:rPr>
              <w:t>RDS persistence</w:t>
            </w:r>
          </w:p>
        </w:tc>
        <w:tc>
          <w:tcPr>
            <w:tcW w:w="3061" w:type="dxa"/>
            <w:tcMar>
              <w:top w:w="70" w:type="dxa"/>
              <w:left w:w="70" w:type="dxa"/>
              <w:bottom w:w="70" w:type="dxa"/>
              <w:right w:w="70" w:type="dxa"/>
            </w:tcMar>
            <w:vAlign w:val="top"/>
          </w:tcPr>
          <w:p w14:paraId="6A1502F2">
            <w:pPr>
              <w:spacing w:after="0" w:line="240" w:lineRule="auto"/>
            </w:pPr>
            <w:r>
              <w:rPr>
                <w:b w:val="0"/>
                <w:i w:val="0"/>
                <w:sz w:val="17"/>
              </w:rPr>
              <w:t>Visible create/read/update workflow and redacted task/database evidence.</w:t>
            </w:r>
          </w:p>
        </w:tc>
        <w:tc>
          <w:tcPr>
            <w:tcW w:w="3061" w:type="dxa"/>
            <w:tcMar>
              <w:top w:w="70" w:type="dxa"/>
              <w:left w:w="70" w:type="dxa"/>
              <w:bottom w:w="70" w:type="dxa"/>
              <w:right w:w="70" w:type="dxa"/>
            </w:tcMar>
            <w:vAlign w:val="top"/>
          </w:tcPr>
          <w:p w14:paraId="2F8D7AFB">
            <w:pPr>
              <w:spacing w:after="0" w:line="240" w:lineRule="auto"/>
            </w:pPr>
            <w:r>
              <w:rPr>
                <w:b w:val="0"/>
                <w:i w:val="0"/>
                <w:sz w:val="17"/>
              </w:rPr>
              <w:t>Figures 3--A.2</w:t>
            </w:r>
          </w:p>
        </w:tc>
      </w:tr>
      <w:tr w14:paraId="5DF83D20">
        <w:trPr>
          <w:jc w:val="center"/>
        </w:trPr>
        <w:tc>
          <w:tcPr>
            <w:tcW w:w="3061" w:type="dxa"/>
            <w:tcMar>
              <w:top w:w="70" w:type="dxa"/>
              <w:left w:w="70" w:type="dxa"/>
              <w:bottom w:w="70" w:type="dxa"/>
              <w:right w:w="70" w:type="dxa"/>
            </w:tcMar>
            <w:vAlign w:val="top"/>
          </w:tcPr>
          <w:p w14:paraId="2297132E">
            <w:pPr>
              <w:spacing w:after="0" w:line="240" w:lineRule="auto"/>
            </w:pPr>
            <w:r>
              <w:rPr>
                <w:b w:val="0"/>
                <w:i w:val="0"/>
                <w:sz w:val="17"/>
              </w:rPr>
              <w:t>S3 media path</w:t>
            </w:r>
          </w:p>
        </w:tc>
        <w:tc>
          <w:tcPr>
            <w:tcW w:w="3061" w:type="dxa"/>
            <w:tcMar>
              <w:top w:w="70" w:type="dxa"/>
              <w:left w:w="70" w:type="dxa"/>
              <w:bottom w:w="70" w:type="dxa"/>
              <w:right w:w="70" w:type="dxa"/>
            </w:tcMar>
            <w:vAlign w:val="top"/>
          </w:tcPr>
          <w:p w14:paraId="35736F0B">
            <w:pPr>
              <w:spacing w:after="0" w:line="240" w:lineRule="auto"/>
            </w:pPr>
            <w:r>
              <w:rPr>
                <w:b w:val="0"/>
                <w:i w:val="0"/>
                <w:sz w:val="17"/>
              </w:rPr>
              <w:t>Upload, retrieval, and browser-visible attachment.</w:t>
            </w:r>
          </w:p>
        </w:tc>
        <w:tc>
          <w:tcPr>
            <w:tcW w:w="3061" w:type="dxa"/>
            <w:tcMar>
              <w:top w:w="70" w:type="dxa"/>
              <w:left w:w="70" w:type="dxa"/>
              <w:bottom w:w="70" w:type="dxa"/>
              <w:right w:w="70" w:type="dxa"/>
            </w:tcMar>
            <w:vAlign w:val="top"/>
          </w:tcPr>
          <w:p w14:paraId="1BF03AEE">
            <w:pPr>
              <w:spacing w:after="0" w:line="240" w:lineRule="auto"/>
            </w:pPr>
            <w:r>
              <w:rPr>
                <w:b w:val="0"/>
                <w:i w:val="0"/>
                <w:sz w:val="17"/>
              </w:rPr>
              <w:t>Figure A.1</w:t>
            </w:r>
          </w:p>
        </w:tc>
      </w:tr>
      <w:tr w14:paraId="0A32680C">
        <w:trPr>
          <w:jc w:val="center"/>
        </w:trPr>
        <w:tc>
          <w:tcPr>
            <w:tcW w:w="3061" w:type="dxa"/>
            <w:tcMar>
              <w:top w:w="70" w:type="dxa"/>
              <w:left w:w="70" w:type="dxa"/>
              <w:bottom w:w="70" w:type="dxa"/>
              <w:right w:w="70" w:type="dxa"/>
            </w:tcMar>
            <w:vAlign w:val="top"/>
          </w:tcPr>
          <w:p w14:paraId="12CA8AC8">
            <w:pPr>
              <w:spacing w:after="0" w:line="240" w:lineRule="auto"/>
            </w:pPr>
            <w:r>
              <w:rPr>
                <w:b w:val="0"/>
                <w:i w:val="0"/>
                <w:sz w:val="17"/>
              </w:rPr>
              <w:t>Mapbox location verification</w:t>
            </w:r>
          </w:p>
        </w:tc>
        <w:tc>
          <w:tcPr>
            <w:tcW w:w="3061" w:type="dxa"/>
            <w:tcMar>
              <w:top w:w="70" w:type="dxa"/>
              <w:left w:w="70" w:type="dxa"/>
              <w:bottom w:w="70" w:type="dxa"/>
              <w:right w:w="70" w:type="dxa"/>
            </w:tcMar>
            <w:vAlign w:val="top"/>
          </w:tcPr>
          <w:p w14:paraId="2D58947E">
            <w:pPr>
              <w:spacing w:after="0" w:line="240" w:lineRule="auto"/>
            </w:pPr>
            <w:r>
              <w:rPr>
                <w:b w:val="0"/>
                <w:i w:val="0"/>
                <w:sz w:val="17"/>
              </w:rPr>
              <w:t>Create and display a thread with one verified location.</w:t>
            </w:r>
          </w:p>
        </w:tc>
        <w:tc>
          <w:tcPr>
            <w:tcW w:w="3061" w:type="dxa"/>
            <w:tcMar>
              <w:top w:w="70" w:type="dxa"/>
              <w:left w:w="70" w:type="dxa"/>
              <w:bottom w:w="70" w:type="dxa"/>
              <w:right w:w="70" w:type="dxa"/>
            </w:tcMar>
            <w:vAlign w:val="top"/>
          </w:tcPr>
          <w:p w14:paraId="0DE172DC">
            <w:pPr>
              <w:spacing w:after="0" w:line="240" w:lineRule="auto"/>
            </w:pPr>
            <w:r>
              <w:rPr>
                <w:b w:val="0"/>
                <w:i w:val="0"/>
                <w:sz w:val="17"/>
              </w:rPr>
              <w:t>Figure A.1</w:t>
            </w:r>
          </w:p>
        </w:tc>
      </w:tr>
      <w:tr w14:paraId="38BCA68F">
        <w:trPr>
          <w:jc w:val="center"/>
        </w:trPr>
        <w:tc>
          <w:tcPr>
            <w:tcW w:w="3061" w:type="dxa"/>
            <w:tcMar>
              <w:top w:w="70" w:type="dxa"/>
              <w:left w:w="70" w:type="dxa"/>
              <w:bottom w:w="70" w:type="dxa"/>
              <w:right w:w="70" w:type="dxa"/>
            </w:tcMar>
            <w:vAlign w:val="top"/>
          </w:tcPr>
          <w:p w14:paraId="4793F73A">
            <w:pPr>
              <w:spacing w:after="0" w:line="240" w:lineRule="auto"/>
            </w:pPr>
            <w:r>
              <w:rPr>
                <w:b w:val="0"/>
                <w:i w:val="0"/>
                <w:sz w:val="17"/>
              </w:rPr>
              <w:t>Moderator boundary</w:t>
            </w:r>
          </w:p>
        </w:tc>
        <w:tc>
          <w:tcPr>
            <w:tcW w:w="3061" w:type="dxa"/>
            <w:tcMar>
              <w:top w:w="70" w:type="dxa"/>
              <w:left w:w="70" w:type="dxa"/>
              <w:bottom w:w="70" w:type="dxa"/>
              <w:right w:w="70" w:type="dxa"/>
            </w:tcMar>
            <w:vAlign w:val="top"/>
          </w:tcPr>
          <w:p w14:paraId="623C49C1">
            <w:pPr>
              <w:spacing w:after="0" w:line="240" w:lineRule="auto"/>
            </w:pPr>
            <w:r>
              <w:rPr>
                <w:b w:val="0"/>
                <w:i w:val="0"/>
                <w:sz w:val="17"/>
              </w:rPr>
              <w:t>Student report and moderator decision within one society.</w:t>
            </w:r>
          </w:p>
        </w:tc>
        <w:tc>
          <w:tcPr>
            <w:tcW w:w="3061" w:type="dxa"/>
            <w:tcMar>
              <w:top w:w="70" w:type="dxa"/>
              <w:left w:w="70" w:type="dxa"/>
              <w:bottom w:w="70" w:type="dxa"/>
              <w:right w:w="70" w:type="dxa"/>
            </w:tcMar>
            <w:vAlign w:val="top"/>
          </w:tcPr>
          <w:p w14:paraId="1892ADC9">
            <w:pPr>
              <w:spacing w:after="0" w:line="240" w:lineRule="auto"/>
            </w:pPr>
            <w:r>
              <w:rPr>
                <w:b w:val="0"/>
                <w:i w:val="0"/>
                <w:sz w:val="17"/>
              </w:rPr>
              <w:t>Figure A.2</w:t>
            </w:r>
          </w:p>
        </w:tc>
      </w:tr>
      <w:tr w14:paraId="18275565">
        <w:trPr>
          <w:jc w:val="center"/>
        </w:trPr>
        <w:tc>
          <w:tcPr>
            <w:tcW w:w="3061" w:type="dxa"/>
            <w:tcMar>
              <w:top w:w="70" w:type="dxa"/>
              <w:left w:w="70" w:type="dxa"/>
              <w:bottom w:w="70" w:type="dxa"/>
              <w:right w:w="70" w:type="dxa"/>
            </w:tcMar>
            <w:vAlign w:val="top"/>
          </w:tcPr>
          <w:p w14:paraId="3486B174">
            <w:pPr>
              <w:spacing w:after="0" w:line="240" w:lineRule="auto"/>
            </w:pPr>
            <w:r>
              <w:rPr>
                <w:b w:val="0"/>
                <w:i w:val="0"/>
                <w:sz w:val="17"/>
              </w:rPr>
              <w:t>Content analysis</w:t>
            </w:r>
          </w:p>
        </w:tc>
        <w:tc>
          <w:tcPr>
            <w:tcW w:w="3061" w:type="dxa"/>
            <w:tcMar>
              <w:top w:w="70" w:type="dxa"/>
              <w:left w:w="70" w:type="dxa"/>
              <w:bottom w:w="70" w:type="dxa"/>
              <w:right w:w="70" w:type="dxa"/>
            </w:tcMar>
            <w:vAlign w:val="top"/>
          </w:tcPr>
          <w:p w14:paraId="1D4CB129">
            <w:pPr>
              <w:spacing w:after="0" w:line="240" w:lineRule="auto"/>
            </w:pPr>
            <w:r>
              <w:rPr>
                <w:b w:val="0"/>
                <w:i w:val="0"/>
                <w:sz w:val="17"/>
              </w:rPr>
              <w:t>Enqueue, process, persist, and display result, if enabled.</w:t>
            </w:r>
          </w:p>
        </w:tc>
        <w:tc>
          <w:tcPr>
            <w:tcW w:w="3061" w:type="dxa"/>
            <w:tcMar>
              <w:top w:w="70" w:type="dxa"/>
              <w:left w:w="70" w:type="dxa"/>
              <w:bottom w:w="70" w:type="dxa"/>
              <w:right w:w="70" w:type="dxa"/>
            </w:tcMar>
            <w:vAlign w:val="top"/>
          </w:tcPr>
          <w:p w14:paraId="199713A6">
            <w:pPr>
              <w:spacing w:after="0" w:line="240" w:lineRule="auto"/>
            </w:pPr>
            <w:r>
              <w:rPr>
                <w:b w:val="0"/>
                <w:i w:val="0"/>
                <w:sz w:val="17"/>
              </w:rPr>
              <w:t>Figure A.2</w:t>
            </w:r>
          </w:p>
        </w:tc>
      </w:tr>
      <w:tr w14:paraId="0700315A">
        <w:trPr>
          <w:jc w:val="center"/>
        </w:trPr>
        <w:tc>
          <w:tcPr>
            <w:tcW w:w="3061" w:type="dxa"/>
            <w:tcMar>
              <w:top w:w="70" w:type="dxa"/>
              <w:left w:w="70" w:type="dxa"/>
              <w:bottom w:w="70" w:type="dxa"/>
              <w:right w:w="70" w:type="dxa"/>
            </w:tcMar>
            <w:vAlign w:val="top"/>
          </w:tcPr>
          <w:p w14:paraId="14C49E21">
            <w:pPr>
              <w:spacing w:after="0" w:line="240" w:lineRule="auto"/>
            </w:pPr>
            <w:r>
              <w:rPr>
                <w:b w:val="0"/>
                <w:i w:val="0"/>
                <w:sz w:val="17"/>
              </w:rPr>
              <w:t>Analytics pipeline</w:t>
            </w:r>
          </w:p>
        </w:tc>
        <w:tc>
          <w:tcPr>
            <w:tcW w:w="3061" w:type="dxa"/>
            <w:tcMar>
              <w:top w:w="70" w:type="dxa"/>
              <w:left w:w="70" w:type="dxa"/>
              <w:bottom w:w="70" w:type="dxa"/>
              <w:right w:w="70" w:type="dxa"/>
            </w:tcMar>
            <w:vAlign w:val="top"/>
          </w:tcPr>
          <w:p w14:paraId="54C6F0D3">
            <w:pPr>
              <w:spacing w:after="0" w:line="240" w:lineRule="auto"/>
            </w:pPr>
            <w:r>
              <w:rPr>
                <w:b w:val="0"/>
                <w:i w:val="0"/>
                <w:sz w:val="17"/>
              </w:rPr>
              <w:t>Refresh, status, Glue output, Athena queries, persisted metric, displayed table/chart, if enabled.</w:t>
            </w:r>
          </w:p>
        </w:tc>
        <w:tc>
          <w:tcPr>
            <w:tcW w:w="3061" w:type="dxa"/>
            <w:tcMar>
              <w:top w:w="70" w:type="dxa"/>
              <w:left w:w="70" w:type="dxa"/>
              <w:bottom w:w="70" w:type="dxa"/>
              <w:right w:w="70" w:type="dxa"/>
            </w:tcMar>
            <w:vAlign w:val="top"/>
          </w:tcPr>
          <w:p w14:paraId="2720F0D1">
            <w:pPr>
              <w:spacing w:after="0" w:line="240" w:lineRule="auto"/>
            </w:pPr>
            <w:r>
              <w:rPr>
                <w:b w:val="0"/>
                <w:i w:val="0"/>
                <w:sz w:val="17"/>
              </w:rPr>
              <w:t>Figure A.3</w:t>
            </w:r>
          </w:p>
        </w:tc>
      </w:tr>
    </w:tbl>
    <w:p w14:paraId="10A51AC5">
      <w:pPr>
        <w:spacing w:after="40"/>
      </w:pPr>
    </w:p>
    <w:p w14:paraId="700CA0F7">
      <w:pPr>
        <w:spacing w:after="100" w:line="259" w:lineRule="auto"/>
      </w:pPr>
      <w:r>
        <w:rPr>
          <w:b w:val="0"/>
          <w:i w:val="0"/>
        </w:rPr>
        <w:t xml:space="preserve">Before export, replace the cover and link placeholders; verify the live URL in a browser; confirm every claimed AWS service is provisioned and exercised; ensure every client operation appears in the coverage table and a flow figure; label feature-gated components accurately; include no secrets, private URLs, full ARNs, account identifiers, or credential material; and copy the rendered figure PDFs to the submission package's </w:t>
      </w:r>
      <w:r>
        <w:rPr>
          <w:rFonts w:ascii="Courier New" w:hAnsi="Courier New" w:eastAsia="Courier New"/>
          <w:b w:val="0"/>
          <w:i w:val="0"/>
        </w:rPr>
        <w:t>doc_images/</w:t>
      </w:r>
      <w:r>
        <w:rPr>
          <w:b w:val="0"/>
          <w:i w:val="0"/>
        </w:rPr>
        <w:t xml:space="preserve"> directory.</w:t>
      </w:r>
    </w:p>
    <w:p w14:paraId="76D37EBA">
      <w:pPr>
        <w:pStyle w:val="2"/>
      </w:pPr>
      <w:bookmarkStart w:id="21" w:name="_Toc1045762071"/>
      <w:r>
        <w:t>Detailed operation sequences</w:t>
      </w:r>
      <w:bookmarkEnd w:id="21"/>
    </w:p>
    <w:p w14:paraId="4F616EC4">
      <w:pPr>
        <w:spacing w:after="100" w:line="259" w:lineRule="auto"/>
      </w:pPr>
      <w:r>
        <w:rPr>
          <w:b w:val="0"/>
          <w:i w:val="0"/>
        </w:rPr>
        <w:t>The main architecture section links to these full-width operation sequences. They are placed here to keep the main narrative concise while retaining the complete invocation paths.</w:t>
      </w:r>
    </w:p>
    <w:p w14:paraId="2B3A68AF">
      <w:pPr>
        <w:jc w:val="center"/>
      </w:pPr>
      <w:r>
        <w:drawing>
          <wp:inline distT="0" distB="0" distL="114300" distR="114300">
            <wp:extent cx="5760720" cy="4840605"/>
            <wp:effectExtent l="12700" t="12700" r="1778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60720" cy="4840605"/>
                    </a:xfrm>
                    <a:prstGeom prst="rect">
                      <a:avLst/>
                    </a:prstGeom>
                    <a:ln>
                      <a:solidFill>
                        <a:schemeClr val="tx1"/>
                      </a:solidFill>
                    </a:ln>
                  </pic:spPr>
                </pic:pic>
              </a:graphicData>
            </a:graphic>
          </wp:inline>
        </w:drawing>
      </w:r>
    </w:p>
    <w:p w14:paraId="1D6C87A1">
      <w:pPr>
        <w:pStyle w:val="167"/>
        <w:jc w:val="center"/>
      </w:pPr>
      <w:r>
        <w:rPr>
          <w:b w:val="0"/>
          <w:i w:val="0"/>
        </w:rPr>
        <w:t>Two-lane media-upload and verified-location flow. The backend controls authorization and persistence; the browser sends media bytes directly to S3 and location data is verified against Mapbox.</w:t>
      </w:r>
    </w:p>
    <w:p w14:paraId="3CC70114">
      <w:pPr>
        <w:jc w:val="center"/>
      </w:pPr>
      <w:r>
        <w:drawing>
          <wp:inline distT="0" distB="0" distL="114300" distR="114300">
            <wp:extent cx="5760720" cy="3348990"/>
            <wp:effectExtent l="12700" t="12700" r="1778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60720" cy="3349548"/>
                    </a:xfrm>
                    <a:prstGeom prst="rect">
                      <a:avLst/>
                    </a:prstGeom>
                    <a:ln>
                      <a:solidFill>
                        <a:schemeClr val="tx1"/>
                      </a:solidFill>
                    </a:ln>
                  </pic:spPr>
                </pic:pic>
              </a:graphicData>
            </a:graphic>
          </wp:inline>
        </w:drawing>
      </w:r>
    </w:p>
    <w:p w14:paraId="2B17C7F5">
      <w:pPr>
        <w:pStyle w:val="167"/>
        <w:jc w:val="center"/>
      </w:pPr>
      <w:r>
        <w:rPr>
          <w:b w:val="0"/>
          <w:i w:val="0"/>
        </w:rPr>
        <w:t>Moderation and optional content-analysis flow. Orange elements are feature-gated; do not claim them as deployed evidence without an end-to-end observation.</w:t>
      </w:r>
    </w:p>
    <w:p w14:paraId="51252A98">
      <w:pPr>
        <w:jc w:val="center"/>
      </w:pPr>
      <w:r>
        <w:drawing>
          <wp:inline distT="0" distB="0" distL="114300" distR="114300">
            <wp:extent cx="5760720" cy="4050030"/>
            <wp:effectExtent l="0" t="0" r="508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60720" cy="4050506"/>
                    </a:xfrm>
                    <a:prstGeom prst="rect">
                      <a:avLst/>
                    </a:prstGeom>
                    <a:ln>
                      <a:solidFill>
                        <a:schemeClr val="tx1"/>
                      </a:solidFill>
                    </a:ln>
                  </pic:spPr>
                </pic:pic>
              </a:graphicData>
            </a:graphic>
          </wp:inline>
        </w:drawing>
      </w:r>
    </w:p>
    <w:p w14:paraId="5E98C37B">
      <w:pPr>
        <w:pStyle w:val="167"/>
        <w:jc w:val="center"/>
      </w:pPr>
      <w:r>
        <w:rPr>
          <w:b w:val="0"/>
          <w:i w:val="0"/>
        </w:rPr>
        <w:t>Optional analytics refresh and reporting flow. Dashed arrows represent scheduling and orchestration transitions. The full path must be enabled and observed before it is stated as deployed.</w:t>
      </w:r>
    </w:p>
    <w:p w14:paraId="4909A89A">
      <w:r>
        <w:br w:type="page"/>
      </w:r>
    </w:p>
    <w:p w14:paraId="6D8E9014">
      <w:pPr>
        <w:pStyle w:val="2"/>
      </w:pPr>
      <w:bookmarkStart w:id="22" w:name="_Toc1116960249"/>
      <w:r>
        <w:t>References</w:t>
      </w:r>
      <w:bookmarkEnd w:id="22"/>
    </w:p>
    <w:p w14:paraId="7D4D5DB0">
      <w:pPr>
        <w:spacing w:after="80"/>
        <w:ind w:left="360" w:hanging="360"/>
      </w:pPr>
      <w:r>
        <w:t xml:space="preserve">[1] Amazon Web Services, “AWS Amplify Hosting User Guide,” 2026. </w:t>
      </w:r>
      <w:r>
        <w:fldChar w:fldCharType="begin"/>
      </w:r>
      <w:r>
        <w:instrText xml:space="preserve"> HYPERLINK "https://docs.aws.amazon.com/amplify/latest/userguide/welcome.html" \h </w:instrText>
      </w:r>
      <w:r>
        <w:fldChar w:fldCharType="separate"/>
      </w:r>
      <w:r>
        <w:rPr>
          <w:color w:val="0563C1"/>
          <w:u w:val="single"/>
        </w:rPr>
        <w:t>https://docs.aws.amazon.com/amplify/latest/userguide/welcome.html</w:t>
      </w:r>
      <w:r>
        <w:rPr>
          <w:color w:val="0563C1"/>
          <w:u w:val="single"/>
        </w:rPr>
        <w:fldChar w:fldCharType="end"/>
      </w:r>
      <w:r>
        <w:t xml:space="preserve"> (Accessed: 2026-09-08).</w:t>
      </w:r>
    </w:p>
    <w:p w14:paraId="597D77B2">
      <w:pPr>
        <w:spacing w:after="80"/>
        <w:ind w:left="360" w:hanging="360"/>
      </w:pPr>
      <w:r>
        <w:t xml:space="preserve">[2] Amazon Web Services, “What is Amazon API Gateway?,” 2026. </w:t>
      </w:r>
      <w:r>
        <w:fldChar w:fldCharType="begin"/>
      </w:r>
      <w:r>
        <w:instrText xml:space="preserve"> HYPERLINK "https://docs.aws.amazon.com/apigateway/latest/developerguide/welcome.html" \h </w:instrText>
      </w:r>
      <w:r>
        <w:fldChar w:fldCharType="separate"/>
      </w:r>
      <w:r>
        <w:rPr>
          <w:color w:val="0563C1"/>
          <w:u w:val="single"/>
        </w:rPr>
        <w:t>https://docs.aws.amazon.com/apigateway/latest/developerguide/welcome.html</w:t>
      </w:r>
      <w:r>
        <w:rPr>
          <w:color w:val="0563C1"/>
          <w:u w:val="single"/>
        </w:rPr>
        <w:fldChar w:fldCharType="end"/>
      </w:r>
      <w:r>
        <w:t xml:space="preserve"> (Accessed: 2026-09-08).</w:t>
      </w:r>
    </w:p>
    <w:p w14:paraId="2E1712C8">
      <w:pPr>
        <w:spacing w:after="80"/>
        <w:ind w:left="360" w:hanging="360"/>
      </w:pPr>
      <w:r>
        <w:t xml:space="preserve">[3] Amazon Web Services, “What is Amazon Elastic Container Service?,” 2026. </w:t>
      </w:r>
      <w:r>
        <w:fldChar w:fldCharType="begin"/>
      </w:r>
      <w:r>
        <w:instrText xml:space="preserve"> HYPERLINK "https://docs.aws.amazon.com/AmazonECS/latest/developerguide/Welcome.html" \h </w:instrText>
      </w:r>
      <w:r>
        <w:fldChar w:fldCharType="separate"/>
      </w:r>
      <w:r>
        <w:rPr>
          <w:color w:val="0563C1"/>
          <w:u w:val="single"/>
        </w:rPr>
        <w:t>https://docs.aws.amazon.com/AmazonECS/latest/developerguide/Welcome.html</w:t>
      </w:r>
      <w:r>
        <w:rPr>
          <w:color w:val="0563C1"/>
          <w:u w:val="single"/>
        </w:rPr>
        <w:fldChar w:fldCharType="end"/>
      </w:r>
      <w:r>
        <w:t xml:space="preserve"> (Accessed: 2026-09-08).</w:t>
      </w:r>
    </w:p>
    <w:p w14:paraId="0324B5AF">
      <w:pPr>
        <w:spacing w:after="80"/>
        <w:ind w:left="360" w:hanging="360"/>
      </w:pPr>
      <w:r>
        <w:t xml:space="preserve">[4] Amazon Web Services, “What is Amazon RDS?,” 2026. </w:t>
      </w:r>
      <w:r>
        <w:fldChar w:fldCharType="begin"/>
      </w:r>
      <w:r>
        <w:instrText xml:space="preserve"> HYPERLINK "https://docs.aws.amazon.com/AmazonRDS/latest/UserGuide/Welcome.html" \h </w:instrText>
      </w:r>
      <w:r>
        <w:fldChar w:fldCharType="separate"/>
      </w:r>
      <w:r>
        <w:rPr>
          <w:color w:val="0563C1"/>
          <w:u w:val="single"/>
        </w:rPr>
        <w:t>https://docs.aws.amazon.com/AmazonRDS/latest/UserGuide/Welcome.html</w:t>
      </w:r>
      <w:r>
        <w:rPr>
          <w:color w:val="0563C1"/>
          <w:u w:val="single"/>
        </w:rPr>
        <w:fldChar w:fldCharType="end"/>
      </w:r>
      <w:r>
        <w:t xml:space="preserve"> (Accessed: 2026-09-08).</w:t>
      </w:r>
    </w:p>
    <w:p w14:paraId="36DDC3F8">
      <w:pPr>
        <w:spacing w:after="80"/>
        <w:ind w:left="360" w:hanging="360"/>
      </w:pPr>
      <w:r>
        <w:t xml:space="preserve">[5] Amazon Web Services, “Amazon S3 User Guide,” 2026. </w:t>
      </w:r>
      <w:r>
        <w:fldChar w:fldCharType="begin"/>
      </w:r>
      <w:r>
        <w:instrText xml:space="preserve"> HYPERLINK "https://docs.aws.amazon.com/AmazonS3/latest/userguide/Welcome.html" \h </w:instrText>
      </w:r>
      <w:r>
        <w:fldChar w:fldCharType="separate"/>
      </w:r>
      <w:r>
        <w:rPr>
          <w:color w:val="0563C1"/>
          <w:u w:val="single"/>
        </w:rPr>
        <w:t>https://docs.aws.amazon.com/AmazonS3/latest/userguide/Welcome.html</w:t>
      </w:r>
      <w:r>
        <w:rPr>
          <w:color w:val="0563C1"/>
          <w:u w:val="single"/>
        </w:rPr>
        <w:fldChar w:fldCharType="end"/>
      </w:r>
      <w:r>
        <w:t xml:space="preserve"> (Accessed: 2026-09-08).</w:t>
      </w:r>
    </w:p>
    <w:p w14:paraId="0F40D4F3">
      <w:pPr>
        <w:spacing w:after="80"/>
        <w:ind w:left="360" w:hanging="360"/>
      </w:pPr>
      <w:r>
        <w:t xml:space="preserve">[6] Reddit, Inc., “Reddit Help: Communities and Moderation,” 2026. </w:t>
      </w:r>
      <w:r>
        <w:fldChar w:fldCharType="begin"/>
      </w:r>
      <w:r>
        <w:instrText xml:space="preserve"> HYPERLINK "https://support.reddithelp.com/hc/en-us/categories/200073949-Reddit-101" \h </w:instrText>
      </w:r>
      <w:r>
        <w:fldChar w:fldCharType="separate"/>
      </w:r>
      <w:r>
        <w:rPr>
          <w:color w:val="0563C1"/>
          <w:u w:val="single"/>
        </w:rPr>
        <w:t>https://support.reddithelp.com/hc/en-us/categories/200073949-Reddit-101</w:t>
      </w:r>
      <w:r>
        <w:rPr>
          <w:color w:val="0563C1"/>
          <w:u w:val="single"/>
        </w:rPr>
        <w:fldChar w:fldCharType="end"/>
      </w:r>
      <w:r>
        <w:t xml:space="preserve"> (Accessed: 2026-09-08).</w:t>
      </w:r>
    </w:p>
    <w:p w14:paraId="153200DA">
      <w:pPr>
        <w:spacing w:after="80"/>
        <w:ind w:left="360" w:hanging="360"/>
      </w:pPr>
      <w:r>
        <w:t xml:space="preserve">[7] Discourse, “Discourse Documentation,” 2026. </w:t>
      </w:r>
      <w:r>
        <w:fldChar w:fldCharType="begin"/>
      </w:r>
      <w:r>
        <w:instrText xml:space="preserve"> HYPERLINK "https://meta.discourse.org/c/documentation/6" \h </w:instrText>
      </w:r>
      <w:r>
        <w:fldChar w:fldCharType="separate"/>
      </w:r>
      <w:r>
        <w:rPr>
          <w:color w:val="0563C1"/>
          <w:u w:val="single"/>
        </w:rPr>
        <w:t>https://meta.discourse.org/c/documentation/6</w:t>
      </w:r>
      <w:r>
        <w:rPr>
          <w:color w:val="0563C1"/>
          <w:u w:val="single"/>
        </w:rPr>
        <w:fldChar w:fldCharType="end"/>
      </w:r>
      <w:r>
        <w:t xml:space="preserve"> (Accessed: 2026-09-08).</w:t>
      </w:r>
    </w:p>
    <w:p w14:paraId="5DAE78A6">
      <w:pPr>
        <w:spacing w:after="80"/>
        <w:ind w:left="360" w:hanging="360"/>
      </w:pPr>
      <w:r>
        <w:t xml:space="preserve">[8] Piazza Technologies, Inc., “Piazza: The Q&amp;A Platform for Class,” 2026. </w:t>
      </w:r>
      <w:r>
        <w:fldChar w:fldCharType="begin"/>
      </w:r>
      <w:r>
        <w:instrText xml:space="preserve"> HYPERLINK "https://piazza.com/product" \h </w:instrText>
      </w:r>
      <w:r>
        <w:fldChar w:fldCharType="separate"/>
      </w:r>
      <w:r>
        <w:rPr>
          <w:color w:val="0563C1"/>
          <w:u w:val="single"/>
        </w:rPr>
        <w:t>https://piazza.com/product</w:t>
      </w:r>
      <w:r>
        <w:rPr>
          <w:color w:val="0563C1"/>
          <w:u w:val="single"/>
        </w:rPr>
        <w:fldChar w:fldCharType="end"/>
      </w:r>
      <w:r>
        <w:t xml:space="preserve"> (Accessed: 2026-09-08).</w:t>
      </w:r>
    </w:p>
    <w:p w14:paraId="24D4AA35">
      <w:pPr>
        <w:spacing w:after="80"/>
        <w:ind w:left="360" w:hanging="360"/>
      </w:pPr>
      <w:r>
        <w:t xml:space="preserve">[9] CampusGroups, “CampusGroups: Campus Engagement Platform,” 2026. </w:t>
      </w:r>
      <w:r>
        <w:fldChar w:fldCharType="begin"/>
      </w:r>
      <w:r>
        <w:instrText xml:space="preserve"> HYPERLINK "https://www.campusgroups.com/" \h </w:instrText>
      </w:r>
      <w:r>
        <w:fldChar w:fldCharType="separate"/>
      </w:r>
      <w:r>
        <w:rPr>
          <w:color w:val="0563C1"/>
          <w:u w:val="single"/>
        </w:rPr>
        <w:t>https://www.campusgroups.com/</w:t>
      </w:r>
      <w:r>
        <w:rPr>
          <w:color w:val="0563C1"/>
          <w:u w:val="single"/>
        </w:rPr>
        <w:fldChar w:fldCharType="end"/>
      </w:r>
      <w:r>
        <w:t xml:space="preserve"> (Accessed: 2026-09-08).</w:t>
      </w:r>
    </w:p>
    <w:p w14:paraId="3CA56C93">
      <w:pPr>
        <w:spacing w:after="80"/>
        <w:ind w:left="360" w:hanging="360"/>
      </w:pPr>
      <w:r>
        <w:t xml:space="preserve">[10] Mapbox, “Search API Documentation,” 2026. </w:t>
      </w:r>
      <w:r>
        <w:fldChar w:fldCharType="begin"/>
      </w:r>
      <w:r>
        <w:instrText xml:space="preserve"> HYPERLINK "https://docs.mapbox.com/api/search/" \h </w:instrText>
      </w:r>
      <w:r>
        <w:fldChar w:fldCharType="separate"/>
      </w:r>
      <w:r>
        <w:rPr>
          <w:color w:val="0563C1"/>
          <w:u w:val="single"/>
        </w:rPr>
        <w:t>https://docs.mapbox.com/api/search/</w:t>
      </w:r>
      <w:r>
        <w:rPr>
          <w:color w:val="0563C1"/>
          <w:u w:val="single"/>
        </w:rPr>
        <w:fldChar w:fldCharType="end"/>
      </w:r>
      <w:r>
        <w:t xml:space="preserve"> (Accessed: 2026-09-08).</w:t>
      </w:r>
    </w:p>
    <w:p w14:paraId="1670B511">
      <w:pPr>
        <w:spacing w:after="80"/>
        <w:ind w:left="360" w:hanging="360"/>
      </w:pPr>
      <w:r>
        <w:t xml:space="preserve">[11] OpenRouter, “OpenRouter API Documentation,” 2026. </w:t>
      </w:r>
      <w:r>
        <w:fldChar w:fldCharType="begin"/>
      </w:r>
      <w:r>
        <w:instrText xml:space="preserve"> HYPERLINK "https://openrouter.ai/docs/api-reference/overview" \h </w:instrText>
      </w:r>
      <w:r>
        <w:fldChar w:fldCharType="separate"/>
      </w:r>
      <w:r>
        <w:rPr>
          <w:color w:val="0563C1"/>
          <w:u w:val="single"/>
        </w:rPr>
        <w:t>https://openrouter.ai/docs/api-reference/overview</w:t>
      </w:r>
      <w:r>
        <w:rPr>
          <w:color w:val="0563C1"/>
          <w:u w:val="single"/>
        </w:rPr>
        <w:fldChar w:fldCharType="end"/>
      </w:r>
      <w:r>
        <w:t xml:space="preserve"> (Accessed: 2026-09-08).</w:t>
      </w:r>
    </w:p>
    <w:p w14:paraId="31E6AFDE">
      <w:pPr>
        <w:spacing w:after="80"/>
        <w:ind w:left="360" w:hanging="360"/>
      </w:pPr>
      <w:r>
        <w:t xml:space="preserve">[12] Amazon Web Services, “What is Step Functions?,” 2026. </w:t>
      </w:r>
      <w:r>
        <w:fldChar w:fldCharType="begin"/>
      </w:r>
      <w:r>
        <w:instrText xml:space="preserve"> HYPERLINK "https://docs.aws.amazon.com/step-functions/latest/dg/welcome.html" \h </w:instrText>
      </w:r>
      <w:r>
        <w:fldChar w:fldCharType="separate"/>
      </w:r>
      <w:r>
        <w:rPr>
          <w:color w:val="0563C1"/>
          <w:u w:val="single"/>
        </w:rPr>
        <w:t>https://docs.aws.amazon.com/step-functions/latest/dg/welcome.html</w:t>
      </w:r>
      <w:r>
        <w:rPr>
          <w:color w:val="0563C1"/>
          <w:u w:val="single"/>
        </w:rPr>
        <w:fldChar w:fldCharType="end"/>
      </w:r>
      <w:r>
        <w:t xml:space="preserve"> (Accessed: 2026-09-08).</w:t>
      </w:r>
    </w:p>
    <w:p w14:paraId="7AEB0EB8">
      <w:pPr>
        <w:spacing w:after="80"/>
        <w:ind w:left="360" w:hanging="360"/>
      </w:pPr>
      <w:r>
        <w:t xml:space="preserve">[13] Amazon Web Services, “What is AWS Glue?,” 2026. </w:t>
      </w:r>
      <w:r>
        <w:fldChar w:fldCharType="begin"/>
      </w:r>
      <w:r>
        <w:instrText xml:space="preserve"> HYPERLINK "https://docs.aws.amazon.com/glue/latest/dg/what-is-glue.html" \h </w:instrText>
      </w:r>
      <w:r>
        <w:fldChar w:fldCharType="separate"/>
      </w:r>
      <w:r>
        <w:rPr>
          <w:color w:val="0563C1"/>
          <w:u w:val="single"/>
        </w:rPr>
        <w:t>https://docs.aws.amazon.com/glue/latest/dg/what-is-glue.html</w:t>
      </w:r>
      <w:r>
        <w:rPr>
          <w:color w:val="0563C1"/>
          <w:u w:val="single"/>
        </w:rPr>
        <w:fldChar w:fldCharType="end"/>
      </w:r>
      <w:r>
        <w:t xml:space="preserve"> (Accessed: 2026-09-08).</w:t>
      </w:r>
    </w:p>
    <w:p w14:paraId="1DCDADD3">
      <w:pPr>
        <w:spacing w:after="80"/>
        <w:ind w:left="360" w:hanging="360"/>
      </w:pPr>
      <w:r>
        <w:t xml:space="preserve">[14] Amazon Web Services, “What is Amazon Athena?,” 2026. </w:t>
      </w:r>
      <w:r>
        <w:fldChar w:fldCharType="begin"/>
      </w:r>
      <w:r>
        <w:instrText xml:space="preserve"> HYPERLINK "https://docs.aws.amazon.com/athena/latest/ug/what-is.html" \h </w:instrText>
      </w:r>
      <w:r>
        <w:fldChar w:fldCharType="separate"/>
      </w:r>
      <w:r>
        <w:rPr>
          <w:color w:val="0563C1"/>
          <w:u w:val="single"/>
        </w:rPr>
        <w:t>https://docs.aws.amazon.com/athena/latest/ug/what-is.html</w:t>
      </w:r>
      <w:r>
        <w:rPr>
          <w:color w:val="0563C1"/>
          <w:u w:val="single"/>
        </w:rPr>
        <w:fldChar w:fldCharType="end"/>
      </w:r>
      <w:r>
        <w:t xml:space="preserve"> (Accessed: 2026-09-08).</w:t>
      </w:r>
    </w:p>
    <w:p w14:paraId="7195B2DE">
      <w:pPr>
        <w:spacing w:after="80"/>
        <w:ind w:left="360" w:hanging="360"/>
      </w:pPr>
      <w:r>
        <w:t xml:space="preserve">[15] Amazon Web Services, “What is Amazon EventBridge?,” 2026. </w:t>
      </w:r>
      <w:r>
        <w:fldChar w:fldCharType="begin"/>
      </w:r>
      <w:r>
        <w:instrText xml:space="preserve"> HYPERLINK "https://docs.aws.amazon.com/eventbridge/latest/userguide/eb-what-is.html" \h </w:instrText>
      </w:r>
      <w:r>
        <w:fldChar w:fldCharType="separate"/>
      </w:r>
      <w:r>
        <w:rPr>
          <w:color w:val="0563C1"/>
          <w:u w:val="single"/>
        </w:rPr>
        <w:t>https://docs.aws.amazon.com/eventbridge/latest/userguide/eb-what-is.html</w:t>
      </w:r>
      <w:r>
        <w:rPr>
          <w:color w:val="0563C1"/>
          <w:u w:val="single"/>
        </w:rPr>
        <w:fldChar w:fldCharType="end"/>
      </w:r>
      <w:r>
        <w:t xml:space="preserve"> (Accessed: 2026-09-08).</w:t>
      </w:r>
    </w:p>
    <w:sectPr>
      <w:type w:val="continuous"/>
      <w:pgSz w:w="11906" w:h="16838"/>
      <w:pgMar w:top="1368" w:right="1368" w:bottom="1368" w:left="1368"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449B3">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C03BA6">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40C03BA6">
                    <w:pPr>
                      <w:pStyle w:val="1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72FFF">
    <w:pPr>
      <w:pStyle w:val="18"/>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1FCCC">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3491FCCC">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BF9E3A"/>
    <w:rsid w:val="347A6DEA"/>
    <w:rsid w:val="5FDF115A"/>
    <w:rsid w:val="72FF40D1"/>
    <w:rsid w:val="7A5FD4BE"/>
    <w:rsid w:val="7FEF9875"/>
    <w:rsid w:val="BFAB6B80"/>
    <w:rsid w:val="DADF137E"/>
    <w:rsid w:val="DFBDDB58"/>
    <w:rsid w:val="F67B789C"/>
    <w:rsid w:val="FFDC21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unhideWhenUsed/>
    <w:qFormat/>
    <w:uiPriority w:val="35"/>
    <w:pPr>
      <w:spacing w:line="240" w:lineRule="auto"/>
      <w:jc w:val="center"/>
    </w:pPr>
    <w:rPr>
      <w:bCs/>
      <w:i/>
      <w:color w:val="000000" w:themeColor="text1"/>
      <w:sz w:val="18"/>
      <w:szCs w:val="18"/>
      <w14:textFill>
        <w14:solidFill>
          <w14:schemeClr w14:val="tx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52"/>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3"/>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Figure Caption"/>
    <w:basedOn w:val="1"/>
    <w:uiPriority w:val="0"/>
    <w:pPr>
      <w:spacing w:after="160"/>
    </w:pPr>
    <w:rPr>
      <w:i/>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Jung Lee</cp:lastModifiedBy>
  <dcterms:modified xsi:type="dcterms:W3CDTF">2026-09-10T11:54:58Z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351C0AB5E0CF883DA467A16A61853B6B_42</vt:lpwstr>
  </property>
</Properties>
</file>