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231FE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ПWS</w:t>
      </w:r>
    </w:p>
    <w:p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ПОИТ-4, </w:t>
      </w:r>
    </w:p>
    <w:p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лабораторная 4</w:t>
      </w:r>
    </w:p>
    <w:p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4 часа</w:t>
      </w:r>
    </w:p>
    <w:p>
      <w:pPr>
        <w:jc w:val="center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   </w:t>
      </w:r>
    </w:p>
    <w:p>
      <w:pPr>
        <w:jc w:val="center"/>
        <w:rPr>
          <w:rFonts w:ascii="Courier New" w:hAnsi="Courier New"/>
          <w:b w:val="1"/>
          <w:sz w:val="28"/>
        </w:rPr>
      </w:pPr>
      <w:r>
        <w:rPr>
          <w:rFonts w:ascii="Courier New" w:hAnsi="Courier New"/>
          <w:b w:val="1"/>
          <w:sz w:val="28"/>
        </w:rPr>
        <w:t xml:space="preserve">Разработка  и исследование простейшего SOAP-сервиса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Разработайте ASMX-сервис с именем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помощью технологии ASP.NET.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Найдите на сайте W3C описание  стандарта WSDL.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Найдите на сайте W3C описание протоколов SOAP 1.1, SOAP 1.2.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Установите для ASMX-сервиса собственное пространство имен http://XYZ/, где XYZ – ваши инициалы.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ASMX-сервис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 включает в себя следующие три метода.</w:t>
      </w:r>
    </w:p>
    <w:tbl>
      <w:tblPr>
        <w:tblStyle w:val="T2"/>
        <w:tblW w:w="0" w:type="auto"/>
        <w:tblInd w:w="720" w:type="dxa"/>
        <w:tblLook w:val="04A0"/>
      </w:tblPr>
      <w:tblGrid/>
      <w:tr>
        <w:tc>
          <w:tcPr>
            <w:tcW w:w="4633" w:type="dxa"/>
          </w:tcPr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Возвращаемый тип </w:t>
            </w:r>
          </w:p>
        </w:tc>
      </w:tr>
      <w:tr>
        <w:trPr>
          <w:trHeight w:hRule="atLeast" w:val="1084"/>
        </w:trPr>
        <w:tc>
          <w:tcPr>
            <w:tcW w:w="4633" w:type="dxa"/>
          </w:tcPr>
          <w:p>
            <w:pPr>
              <w:pStyle w:val="P1"/>
              <w:ind w:left="0"/>
              <w:jc w:val="both"/>
              <w:rPr>
                <w:rFonts w:ascii="Courier New" w:hAnsi="Courier New"/>
                <w:b w:val="1"/>
                <w:sz w:val="28"/>
                <w:u w:val="single"/>
              </w:rPr>
            </w:pPr>
            <w:r>
              <w:rPr>
                <w:rFonts w:ascii="Courier New" w:hAnsi="Courier New"/>
                <w:b w:val="1"/>
                <w:sz w:val="28"/>
                <w:u w:val="single"/>
              </w:rPr>
              <w:t>Add</w:t>
            </w:r>
          </w:p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int x, </w:t>
            </w:r>
          </w:p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int y </w:t>
            </w:r>
          </w:p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</w:p>
        </w:tc>
        <w:tc>
          <w:tcPr>
            <w:tcW w:w="2233" w:type="dxa"/>
          </w:tcPr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int </w:t>
            </w:r>
          </w:p>
        </w:tc>
      </w:tr>
      <w:tr>
        <w:tc>
          <w:tcPr>
            <w:tcW w:w="4633" w:type="dxa"/>
          </w:tcPr>
          <w:p>
            <w:pPr>
              <w:pStyle w:val="P1"/>
              <w:ind w:left="0"/>
              <w:jc w:val="both"/>
              <w:rPr>
                <w:rFonts w:ascii="Courier New" w:hAnsi="Courier New"/>
                <w:b w:val="1"/>
                <w:sz w:val="28"/>
                <w:u w:val="single"/>
              </w:rPr>
            </w:pPr>
            <w:r>
              <w:rPr>
                <w:rFonts w:ascii="Courier New" w:hAnsi="Courier New"/>
                <w:b w:val="1"/>
                <w:sz w:val="28"/>
                <w:u w:val="single"/>
              </w:rPr>
              <w:t>Concat</w:t>
            </w:r>
          </w:p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Возвращает конкатенацию первого и второго параметров </w:t>
            </w:r>
          </w:p>
        </w:tc>
        <w:tc>
          <w:tcPr>
            <w:tcW w:w="1985" w:type="dxa"/>
          </w:tcPr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string s</w:t>
            </w:r>
          </w:p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double d, </w:t>
            </w:r>
          </w:p>
        </w:tc>
        <w:tc>
          <w:tcPr>
            <w:tcW w:w="2233" w:type="dxa"/>
          </w:tcPr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string </w:t>
            </w:r>
          </w:p>
        </w:tc>
      </w:tr>
      <w:tr>
        <w:tc>
          <w:tcPr>
            <w:tcW w:w="4633" w:type="dxa"/>
          </w:tcPr>
          <w:p>
            <w:pPr>
              <w:pStyle w:val="P1"/>
              <w:ind w:left="0"/>
              <w:jc w:val="both"/>
              <w:rPr>
                <w:rFonts w:ascii="Courier New" w:hAnsi="Courier New"/>
                <w:b w:val="1"/>
                <w:sz w:val="28"/>
                <w:u w:val="single"/>
              </w:rPr>
            </w:pPr>
            <w:r>
              <w:rPr>
                <w:rFonts w:ascii="Courier New" w:hAnsi="Courier New"/>
                <w:b w:val="1"/>
                <w:sz w:val="28"/>
                <w:u w:val="single"/>
              </w:rPr>
              <w:t>Sum</w:t>
            </w:r>
          </w:p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Возвращает объект A:</w:t>
            </w:r>
          </w:p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поле s – конкатенация a1.s и a2.s;</w:t>
            </w:r>
          </w:p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поле к – сумма a1.k и a2.k;</w:t>
            </w:r>
          </w:p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поле f – сумма a1.f и a2.f;</w:t>
            </w:r>
          </w:p>
          <w:p>
            <w:pPr>
              <w:pStyle w:val="P1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  </w:t>
            </w:r>
          </w:p>
        </w:tc>
        <w:tc>
          <w:tcPr>
            <w:tcW w:w="1985" w:type="dxa"/>
          </w:tcPr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A a1, </w:t>
            </w:r>
          </w:p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A a2</w:t>
            </w:r>
          </w:p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</w:p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drawing>
                <wp:inline xmlns:wp="http://schemas.openxmlformats.org/drawingml/2006/wordprocessingDrawing">
                  <wp:extent cx="1133475" cy="904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048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</w:p>
        </w:tc>
        <w:tc>
          <w:tcPr>
            <w:tcW w:w="2233" w:type="dxa"/>
          </w:tcPr>
          <w:p>
            <w:pPr>
              <w:pStyle w:val="P1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A</w:t>
            </w:r>
          </w:p>
        </w:tc>
      </w:tr>
    </w:tbl>
    <w:p>
      <w:pPr>
        <w:jc w:val="both"/>
        <w:rPr>
          <w:rFonts w:ascii="Courier New" w:hAnsi="Courier New"/>
          <w:sz w:val="28"/>
        </w:rPr>
      </w:pP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b w:val="1"/>
          <w:sz w:val="28"/>
        </w:rPr>
      </w:pPr>
      <w:r>
        <w:rPr>
          <w:rFonts w:ascii="Courier New" w:hAnsi="Courier New"/>
          <w:sz w:val="28"/>
        </w:rPr>
        <w:t xml:space="preserve">Для класса ASM-сервиса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определите параметр  </w:t>
      </w:r>
      <w:r>
        <w:rPr>
          <w:rFonts w:ascii="Courier New" w:hAnsi="Courier New"/>
          <w:b w:val="1"/>
          <w:sz w:val="28"/>
        </w:rPr>
        <w:t>Description</w:t>
      </w:r>
      <w:r>
        <w:rPr>
          <w:rFonts w:ascii="Courier New" w:hAnsi="Courier New"/>
          <w:sz w:val="28"/>
        </w:rPr>
        <w:t xml:space="preserve"> атрибута </w:t>
      </w:r>
      <w:r>
        <w:rPr>
          <w:rFonts w:ascii="Courier New" w:hAnsi="Courier New"/>
          <w:b w:val="1"/>
          <w:sz w:val="28"/>
        </w:rPr>
        <w:t>WebService</w:t>
      </w:r>
      <w:r>
        <w:rPr>
          <w:rFonts w:ascii="Courier New" w:hAnsi="Courier New"/>
          <w:sz w:val="28"/>
        </w:rPr>
        <w:t xml:space="preserve">. Поясните его назначение. 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b w:val="1"/>
          <w:sz w:val="28"/>
        </w:rPr>
      </w:pPr>
      <w:r>
        <w:rPr>
          <w:rFonts w:ascii="Courier New" w:hAnsi="Courier New"/>
          <w:sz w:val="28"/>
        </w:rPr>
        <w:t xml:space="preserve">Для каждого метода ASM-сервиса определите параметр  </w:t>
      </w:r>
      <w:r>
        <w:rPr>
          <w:rFonts w:ascii="Courier New" w:hAnsi="Courier New"/>
          <w:b w:val="1"/>
          <w:sz w:val="28"/>
        </w:rPr>
        <w:t>Description</w:t>
      </w:r>
      <w:r>
        <w:rPr>
          <w:rFonts w:ascii="Courier New" w:hAnsi="Courier New"/>
          <w:sz w:val="28"/>
        </w:rPr>
        <w:t xml:space="preserve"> атрибута </w:t>
      </w:r>
      <w:r>
        <w:rPr>
          <w:rFonts w:ascii="Courier New" w:hAnsi="Courier New"/>
          <w:b w:val="1"/>
          <w:sz w:val="28"/>
        </w:rPr>
        <w:t>WebMethod</w:t>
      </w:r>
      <w:r>
        <w:rPr>
          <w:rFonts w:ascii="Courier New" w:hAnsi="Courier New"/>
          <w:sz w:val="28"/>
        </w:rPr>
        <w:t xml:space="preserve">. Поясните его назначение. 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b w:val="1"/>
          <w:sz w:val="28"/>
        </w:rPr>
      </w:pPr>
      <w:r>
        <w:rPr>
          <w:rFonts w:ascii="Courier New" w:hAnsi="Courier New"/>
          <w:sz w:val="28"/>
        </w:rPr>
        <w:t xml:space="preserve">Для каждого метода ASM-сервиса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определите параметр  </w:t>
      </w:r>
      <w:r>
        <w:rPr>
          <w:rFonts w:ascii="Courier New" w:hAnsi="Courier New"/>
          <w:b w:val="1"/>
          <w:sz w:val="28"/>
        </w:rPr>
        <w:t xml:space="preserve">MessageName </w:t>
      </w:r>
      <w:r>
        <w:rPr>
          <w:rFonts w:ascii="Courier New" w:hAnsi="Courier New"/>
          <w:sz w:val="28"/>
        </w:rPr>
        <w:t xml:space="preserve">атрибута </w:t>
      </w:r>
      <w:r>
        <w:rPr>
          <w:rFonts w:ascii="Courier New" w:hAnsi="Courier New"/>
          <w:b w:val="1"/>
          <w:sz w:val="28"/>
        </w:rPr>
        <w:t>WebMethod</w:t>
      </w:r>
      <w:r>
        <w:rPr>
          <w:rFonts w:ascii="Courier New" w:hAnsi="Courier New"/>
          <w:sz w:val="28"/>
        </w:rPr>
        <w:t xml:space="preserve">. Поясните его назначение. 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Подключитесь с помощью браузера к ASMX-сервису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.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b w:val="1"/>
          <w:sz w:val="28"/>
        </w:rPr>
      </w:pPr>
      <w:r>
        <w:rPr>
          <w:rFonts w:ascii="Courier New" w:hAnsi="Courier New"/>
          <w:sz w:val="28"/>
        </w:rPr>
        <w:t xml:space="preserve">Проверьте работоспособность методов </w:t>
      </w:r>
      <w:r>
        <w:rPr>
          <w:rFonts w:ascii="Courier New" w:hAnsi="Courier New"/>
          <w:b w:val="1"/>
          <w:sz w:val="28"/>
        </w:rPr>
        <w:t xml:space="preserve">Add </w:t>
      </w:r>
      <w:r>
        <w:rPr>
          <w:rFonts w:ascii="Courier New" w:hAnsi="Courier New"/>
          <w:sz w:val="28"/>
        </w:rPr>
        <w:t xml:space="preserve">и </w:t>
      </w:r>
      <w:r>
        <w:rPr>
          <w:rFonts w:ascii="Courier New" w:hAnsi="Courier New"/>
          <w:b w:val="1"/>
          <w:sz w:val="28"/>
        </w:rPr>
        <w:t xml:space="preserve">Concat </w:t>
      </w:r>
      <w:r>
        <w:rPr>
          <w:rFonts w:ascii="Courier New" w:hAnsi="Courier New"/>
          <w:sz w:val="28"/>
        </w:rPr>
        <w:t xml:space="preserve">c </w:t>
      </w:r>
    </w:p>
    <w:p>
      <w:pPr>
        <w:pStyle w:val="P1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помощью стандартной web-формы описания ASMX-сервиса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.  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Для проверки работоспособности метода </w:t>
      </w:r>
      <w:r>
        <w:rPr>
          <w:rFonts w:ascii="Courier New" w:hAnsi="Courier New"/>
          <w:b w:val="1"/>
          <w:sz w:val="28"/>
        </w:rPr>
        <w:t>Sum</w:t>
      </w:r>
      <w:r>
        <w:rPr>
          <w:rFonts w:ascii="Courier New" w:hAnsi="Courier New"/>
          <w:sz w:val="28"/>
        </w:rPr>
        <w:t xml:space="preserve">  ASMX-сервиса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разработайте WinForm-приложение. Используя объект </w:t>
      </w:r>
      <w:r>
        <w:rPr>
          <w:rFonts w:ascii="Courier New" w:hAnsi="Courier New"/>
          <w:b w:val="1"/>
          <w:sz w:val="28"/>
        </w:rPr>
        <w:t>Request</w:t>
      </w:r>
      <w:r>
        <w:rPr>
          <w:rFonts w:ascii="Courier New" w:hAnsi="Courier New"/>
          <w:sz w:val="28"/>
        </w:rPr>
        <w:t xml:space="preserve"> в методе </w:t>
      </w:r>
      <w:r>
        <w:rPr>
          <w:rFonts w:ascii="Courier New" w:hAnsi="Courier New"/>
          <w:b w:val="1"/>
          <w:sz w:val="28"/>
        </w:rPr>
        <w:t xml:space="preserve">Sum </w:t>
      </w:r>
      <w:r>
        <w:rPr>
          <w:rFonts w:ascii="Courier New" w:hAnsi="Courier New"/>
          <w:sz w:val="28"/>
        </w:rPr>
        <w:t xml:space="preserve">ASMX-сервиса, продемонстрируйте и исследуйте содержимое тела запроса, пришедшего от клиента.  </w:t>
      </w:r>
      <w:r>
        <w:rPr>
          <w:rFonts w:ascii="Courier New" w:hAnsi="Courier New"/>
          <w:b w:val="1"/>
          <w:sz w:val="28"/>
        </w:rPr>
        <w:t xml:space="preserve">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Исследуйте WSDL-описание (отображается в браузере), ASMX-сервиса 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и укажите:</w:t>
      </w:r>
    </w:p>
    <w:p>
      <w:pPr>
        <w:ind w:left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- где применяется собственное пространство имен;</w:t>
      </w:r>
    </w:p>
    <w:p>
      <w:pPr>
        <w:pStyle w:val="P1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типов данных для всех методов сервиса;</w:t>
      </w:r>
    </w:p>
    <w:p>
      <w:pPr>
        <w:pStyle w:val="P1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входных и выходных сообщений всех методов сервиса;</w:t>
      </w:r>
    </w:p>
    <w:p>
      <w:pPr>
        <w:pStyle w:val="P1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методов сервиса;</w:t>
      </w:r>
    </w:p>
    <w:p>
      <w:pPr>
        <w:pStyle w:val="P1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протоколов обмена данных;</w:t>
      </w:r>
    </w:p>
    <w:p>
      <w:pPr>
        <w:pStyle w:val="P1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описание сервиса.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Ознакомьтесь со структурой http-запросов для доступа к ASMX-сервису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(отображается на  стандартной web-форме в браузере).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С помощью приложения </w:t>
      </w:r>
      <w:r>
        <w:rPr>
          <w:rFonts w:ascii="Courier New" w:hAnsi="Courier New"/>
          <w:b w:val="1"/>
          <w:sz w:val="28"/>
        </w:rPr>
        <w:t>POSTMAN</w:t>
      </w:r>
      <w:r>
        <w:rPr>
          <w:rFonts w:ascii="Courier New" w:hAnsi="Courier New"/>
          <w:sz w:val="28"/>
        </w:rPr>
        <w:t xml:space="preserve"> выполните два  типа запросов (SOAP 1.2, HTTP POST) к ASMX-сервису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 и убедитесь в их работоспособности. 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Разработайте WinForm-приложение. С помощью утилиты </w:t>
      </w:r>
      <w:r>
        <w:rPr>
          <w:rFonts w:ascii="Courier New" w:hAnsi="Courier New"/>
          <w:b w:val="1"/>
          <w:sz w:val="28"/>
        </w:rPr>
        <w:t xml:space="preserve">WSDL.EXE </w:t>
      </w:r>
      <w:r>
        <w:rPr>
          <w:rFonts w:ascii="Courier New" w:hAnsi="Courier New"/>
          <w:sz w:val="28"/>
        </w:rPr>
        <w:t xml:space="preserve">сгенерируйте proxy-класс. Продемонстрируйте его работоспособность в отдельном приложении.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Разработайте WebForm-приложение. С помощью утилиты </w:t>
      </w:r>
      <w:r>
        <w:rPr>
          <w:rFonts w:ascii="Courier New" w:hAnsi="Courier New"/>
          <w:b w:val="1"/>
          <w:sz w:val="28"/>
        </w:rPr>
        <w:t xml:space="preserve">WSDL.EXE </w:t>
      </w:r>
      <w:r>
        <w:rPr>
          <w:rFonts w:ascii="Courier New" w:hAnsi="Courier New"/>
          <w:sz w:val="28"/>
        </w:rPr>
        <w:t>сгенерируйте класс для отдельного ASMX-сервиса. Продемонстрируйте его работоспособность.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Создайте в ASMX-сервисе </w:t>
      </w:r>
      <w:r>
        <w:rPr>
          <w:rFonts w:ascii="Courier New" w:hAnsi="Courier New"/>
          <w:b w:val="1"/>
          <w:sz w:val="28"/>
        </w:rPr>
        <w:t>Simplex</w:t>
      </w:r>
      <w:r>
        <w:rPr>
          <w:rFonts w:ascii="Courier New" w:hAnsi="Courier New"/>
          <w:sz w:val="28"/>
        </w:rPr>
        <w:t xml:space="preserve"> дополнительный метод </w:t>
      </w:r>
      <w:r>
        <w:rPr>
          <w:rFonts w:ascii="Courier New" w:hAnsi="Courier New"/>
          <w:b w:val="1"/>
          <w:sz w:val="28"/>
        </w:rPr>
        <w:t xml:space="preserve">AddS. </w:t>
      </w:r>
      <w:r>
        <w:rPr>
          <w:rFonts w:ascii="Courier New" w:hAnsi="Courier New"/>
          <w:sz w:val="28"/>
        </w:rPr>
        <w:t xml:space="preserve">Метод </w:t>
      </w:r>
      <w:r>
        <w:rPr>
          <w:rFonts w:ascii="Courier New" w:hAnsi="Courier New"/>
          <w:b w:val="1"/>
          <w:sz w:val="28"/>
        </w:rPr>
        <w:t xml:space="preserve">AddS </w:t>
      </w:r>
      <w:r>
        <w:rPr>
          <w:rFonts w:ascii="Courier New" w:hAnsi="Courier New"/>
          <w:sz w:val="28"/>
        </w:rPr>
        <w:t xml:space="preserve">аналогичен методу </w:t>
      </w:r>
      <w:r>
        <w:rPr>
          <w:rFonts w:ascii="Courier New" w:hAnsi="Courier New"/>
          <w:b w:val="1"/>
          <w:sz w:val="28"/>
        </w:rPr>
        <w:t xml:space="preserve">Add, </w:t>
      </w:r>
      <w:r>
        <w:rPr>
          <w:rFonts w:ascii="Courier New" w:hAnsi="Courier New"/>
          <w:sz w:val="28"/>
        </w:rPr>
        <w:t xml:space="preserve">но предназначен для вызова с помощью AJAX-запроса, отправляющего и принимающего сообщения в формате JSON. </w:t>
      </w:r>
    </w:p>
    <w:p>
      <w:pPr>
        <w:pStyle w:val="P1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Разработайте ASP.NET-приложение, применяющее AJAX-запрос (jQuery) и демонстрирующее работоспособность метода </w:t>
      </w:r>
      <w:r>
        <w:rPr>
          <w:rFonts w:ascii="Courier New" w:hAnsi="Courier New"/>
          <w:b w:val="1"/>
          <w:sz w:val="28"/>
        </w:rPr>
        <w:t xml:space="preserve">AddS </w:t>
      </w:r>
      <w:r>
        <w:rPr>
          <w:rFonts w:ascii="Courier New" w:hAnsi="Courier New"/>
          <w:sz w:val="28"/>
        </w:rPr>
        <w:t xml:space="preserve">ASMX-сервиса </w:t>
      </w:r>
      <w:r>
        <w:rPr>
          <w:rFonts w:ascii="Courier New" w:hAnsi="Courier New"/>
          <w:b w:val="1"/>
          <w:sz w:val="28"/>
        </w:rPr>
        <w:t>Simplex.</w:t>
      </w:r>
      <w:bookmarkStart w:id="0" w:name="_GoBack"/>
      <w:bookmarkEnd w:id="0"/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Courier New" w:hAnsi="Courier New"/>
          <w:sz w:val="28"/>
        </w:rPr>
        <w:br w:type="page"/>
      </w:r>
      <w:r>
        <w:rPr>
          <w:rFonts w:ascii="Times New Roman" w:hAnsi="Times New Roman"/>
          <w:b w:val="1"/>
          <w:color w:val="FF0000"/>
          <w:sz w:val="24"/>
        </w:rPr>
        <w:t>Web-сервис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прил, предост откр интерфейс для других приложений.Его юзеры – другие приложения. Мы говорим здесь о WEB.API приложениях.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FF0000"/>
          <w:sz w:val="24"/>
        </w:rPr>
        <w:t>SOA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сервис-ориентид-архитектура – наше прил взаимод. по протоколу http с др. приложениями, чтобы из них брать инфу или вып. другие д-вия.</w:t>
      </w:r>
    </w:p>
    <w:p>
      <w:pPr>
        <w:pStyle w:val="P1"/>
        <w:ind w:left="0"/>
        <w:jc w:val="both"/>
        <w:rPr>
          <w:rFonts w:ascii="Courier New" w:hAnsi="Courier New"/>
          <w:sz w:val="28"/>
        </w:rPr>
      </w:pP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FF0000"/>
          <w:sz w:val="24"/>
        </w:rPr>
        <w:t>ASMX сервисы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обесп способ взаимод-я rpc</w:t>
        <w:br w:type="textWrapping"/>
      </w:r>
      <w:r>
        <w:rPr>
          <w:rFonts w:ascii="Times New Roman" w:hAnsi="Times New Roman"/>
          <w:b w:val="1"/>
          <w:color w:val="00B050"/>
          <w:sz w:val="24"/>
        </w:rPr>
        <w:t>4 технологии, на к-х основ этот веб-сервис</w:t>
      </w:r>
      <w:r>
        <w:rPr>
          <w:rFonts w:ascii="Times New Roman" w:hAnsi="Times New Roman"/>
          <w:sz w:val="24"/>
        </w:rPr>
        <w:t>: XML, SOAP, WSDL, UDDI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* </w:t>
      </w:r>
      <w:r>
        <w:rPr>
          <w:rFonts w:ascii="Times New Roman" w:hAnsi="Times New Roman"/>
          <w:b w:val="1"/>
          <w:color w:val="F4B083"/>
          <w:sz w:val="24"/>
        </w:rPr>
        <w:t>XML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>– структура языка разметки, с пом. него мы м. разраб собст. языки для разметки наших д—х, храним эти д-е в фс либо в бд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b w:val="1"/>
          <w:color w:val="F4B083"/>
          <w:sz w:val="24"/>
        </w:rPr>
        <w:t>SOAP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протокол обмена инфой в </w:t>
      </w:r>
      <w:r>
        <w:rPr>
          <w:rFonts w:ascii="Times New Roman" w:hAnsi="Times New Roman"/>
          <w:sz w:val="24"/>
        </w:rPr>
        <w:t>ASMX</w:t>
      </w:r>
      <w:r>
        <w:rPr>
          <w:rFonts w:ascii="Times New Roman" w:hAnsi="Times New Roman"/>
          <w:sz w:val="24"/>
        </w:rPr>
        <w:t xml:space="preserve"> между клиентом и сервером. Клиент м. отсылать запросы по протоколу SOAP и по нему получать ответы</w:t>
      </w:r>
      <w:r>
        <w:rPr>
          <w:rFonts w:ascii="Times New Roman" w:hAnsi="Times New Roman"/>
          <w:sz w:val="24"/>
        </w:rPr>
        <w:t xml:space="preserve"> в формате xml.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b w:val="1"/>
          <w:color w:val="F4B083"/>
          <w:sz w:val="24"/>
        </w:rPr>
        <w:t>WSDL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web service definition language – спец язык, исп формат xml для описания web-сервиса. Он позв нам описать веб-сервис досконально, исчерпывающе. Чтобы мб обратиться к этому сервису с запросами и знать формат ответов кот мы от него получим. </w:t>
      </w: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b w:val="1"/>
          <w:color w:val="F4B083"/>
          <w:sz w:val="24"/>
        </w:rPr>
        <w:t>UDDI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color w:val="545454"/>
          <w:sz w:val="24"/>
          <w:shd w:val="clear" w:fill="FFFFFF"/>
        </w:rPr>
        <w:t xml:space="preserve">Universal Description Discovery &amp; Integration </w:t>
      </w:r>
      <w:r>
        <w:rPr>
          <w:rFonts w:ascii="Times New Roman" w:hAnsi="Times New Roman"/>
          <w:sz w:val="24"/>
        </w:rPr>
        <w:t xml:space="preserve">– эта технология подразумевала создание стандарт. хранилищ в wsdl-описаниях – каталоги, кот. будут содерать описание сервисов, Будут какие-то большие компании (алик) и у них будет оч много сервисов, к к-м другие компании смогут подключать свои прогр. продукты. 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ind w:left="0"/>
        <w:jc w:val="both"/>
        <w:rPr>
          <w:rFonts w:ascii="Courier New" w:hAnsi="Courier New"/>
          <w:sz w:val="28"/>
        </w:rPr>
      </w:pPr>
    </w:p>
    <w:p>
      <w:pPr>
        <w:pStyle w:val="P1"/>
        <w:ind w:left="0"/>
        <w:jc w:val="both"/>
        <w:rPr>
          <w:rFonts w:ascii="Courier New" w:hAnsi="Courier New"/>
          <w:sz w:val="28"/>
        </w:rPr>
      </w:pPr>
      <w:r>
        <w:rPr>
          <w:rFonts w:ascii="Times New Roman" w:hAnsi="Times New Roman"/>
          <w:b w:val="1"/>
          <w:sz w:val="24"/>
          <w:shd w:val="clear" w:fill="FFFF00"/>
        </w:rPr>
        <w:t>Структура SOAP-СООБЩЕНИЯ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&lt;Envelope&gt; - корневой тег, кот опред сообщение и пр-во имет, исп-ное в доке. Обязателен толко тег &lt;body&gt; (это запрос от К к С, предполаг что будет вызыв процедура GetFoto). Есть еще &lt;soap:header&gt; (служ инфа для программистов), &lt;soap:Fault&gt; (ошибки)</w:t>
      </w:r>
    </w:p>
    <w:p>
      <w:pPr>
        <w:pStyle w:val="P1"/>
        <w:ind w:left="0"/>
        <w:jc w:val="both"/>
        <w:rPr>
          <w:rFonts w:ascii="Courier New" w:hAnsi="Courier New"/>
          <w:sz w:val="28"/>
        </w:rPr>
      </w:pPr>
    </w:p>
    <w:p>
      <w:pPr>
        <w:pStyle w:val="P1"/>
        <w:ind w:left="0"/>
        <w:jc w:val="both"/>
        <w:rPr>
          <w:rFonts w:ascii="Courier New" w:hAnsi="Courier New"/>
          <w:sz w:val="28"/>
        </w:rPr>
      </w:pPr>
      <w:r>
        <w:rPr>
          <w:rFonts w:ascii="Times New Roman" w:hAnsi="Times New Roman"/>
          <w:b w:val="1"/>
          <w:sz w:val="24"/>
          <w:shd w:val="clear" w:fill="FFFF00"/>
        </w:rPr>
        <w:t>Структура WSDL дока</w:t>
      </w:r>
      <w:r>
        <w:rPr>
          <w:rFonts w:ascii="Times New Roman" w:hAnsi="Times New Roman"/>
          <w:b w:val="1"/>
          <w:sz w:val="24"/>
        </w:rPr>
        <w:t>:</w:t>
      </w:r>
    </w:p>
    <w:p>
      <w:pPr>
        <w:pStyle w:val="P1"/>
        <w:ind w:left="0"/>
        <w:jc w:val="left"/>
        <w:rPr>
          <w:rFonts w:ascii="Courier New" w:hAnsi="Courier New"/>
          <w:sz w:val="28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b w:val="1"/>
          <w:color w:val="00B050"/>
          <w:sz w:val="24"/>
        </w:rPr>
        <w:t>TYPES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>– тд от К к С, мб стандартные и комплексные – структ/класс содержат поля/св-ва, содержащие фундаментальные ТД</w:t>
        <w:br w:type="textWrapping"/>
        <w:t xml:space="preserve">* </w:t>
      </w:r>
      <w:r>
        <w:rPr>
          <w:rFonts w:ascii="Times New Roman" w:hAnsi="Times New Roman"/>
          <w:b w:val="1"/>
          <w:color w:val="00B050"/>
          <w:sz w:val="24"/>
        </w:rPr>
        <w:t>MESSAGE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опис сообщения между К-С, здесь опис их структура и там исп ТД, кот опис в </w:t>
      </w:r>
      <w:r>
        <w:rPr>
          <w:rFonts w:ascii="Times New Roman" w:hAnsi="Times New Roman"/>
          <w:i w:val="1"/>
          <w:sz w:val="24"/>
        </w:rPr>
        <w:t>types</w:t>
      </w:r>
      <w:r>
        <w:rPr>
          <w:rFonts w:ascii="Times New Roman" w:hAnsi="Times New Roman"/>
          <w:sz w:val="24"/>
        </w:rPr>
        <w:br w:type="textWrapping"/>
        <w:t xml:space="preserve">* </w:t>
      </w:r>
      <w:r>
        <w:rPr>
          <w:rFonts w:ascii="Times New Roman" w:hAnsi="Times New Roman"/>
          <w:b w:val="1"/>
          <w:color w:val="00B050"/>
          <w:sz w:val="24"/>
        </w:rPr>
        <w:t>PORTTYPE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>– сод. методы удалнного сервера, у сервера есть методы, удал. процедуры кот мы можем вызывать. Эти методы связаны с сообщениями (</w:t>
      </w:r>
      <w:r>
        <w:rPr>
          <w:rFonts w:ascii="Times New Roman" w:hAnsi="Times New Roman"/>
          <w:i w:val="1"/>
          <w:sz w:val="24"/>
        </w:rPr>
        <w:t>messages</w:t>
      </w:r>
      <w:r>
        <w:rPr>
          <w:rFonts w:ascii="Times New Roman" w:hAnsi="Times New Roman"/>
          <w:sz w:val="24"/>
        </w:rPr>
        <w:t>), они могут их получать и отправлять, сообщ кот описаны выше</w:t>
        <w:br w:type="textWrapping"/>
        <w:t xml:space="preserve">* </w:t>
      </w:r>
      <w:r>
        <w:rPr>
          <w:rFonts w:ascii="Times New Roman" w:hAnsi="Times New Roman"/>
          <w:b w:val="1"/>
          <w:color w:val="00B050"/>
          <w:sz w:val="24"/>
        </w:rPr>
        <w:t>BINDING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>–сод. описание связи soap и протокола транспорта (http), здесь инфа кот позволяет связать soap-протокол с этим http-протоколом, по к-му мы отсылаем сообщение</w:t>
      </w:r>
    </w:p>
    <w:p>
      <w:pPr>
        <w:pStyle w:val="P1"/>
        <w:ind w:left="0"/>
        <w:jc w:val="both"/>
        <w:rPr>
          <w:rFonts w:ascii="Courier New" w:hAnsi="Courier New"/>
          <w:sz w:val="28"/>
        </w:rPr>
      </w:pPr>
    </w:p>
    <w:p>
      <w:pPr>
        <w:spacing w:lineRule="auto" w:line="2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  <w:shd w:val="clear" w:fill="FFFF00"/>
        </w:rPr>
        <w:t>ТЕХНОЛОГИИ:</w:t>
      </w:r>
    </w:p>
    <w:p>
      <w:pPr>
        <w:spacing w:lineRule="auto" w:line="2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Вначале появилась ASMX, кот основана на SOAP, потом отдельно разрабатывали платформу </w:t>
      </w:r>
      <w:r>
        <w:rPr>
          <w:rFonts w:ascii="Times New Roman" w:hAnsi="Times New Roman"/>
          <w:b w:val="1"/>
          <w:color w:val="FF0000"/>
          <w:sz w:val="24"/>
        </w:rPr>
        <w:t>WCF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отд платформа для разработки прилоежния с SOA . В итоге WCF поглотила ASMX (ASMX – частный случай WCF, тем не менее она достаточно простая и удобная, ms оставил ее отдельно). Но с другой стороны она часть общей технологии asmx. В качестве транспорта исп только веб. Если разработаем сервис asmx, то он обязательно подлежит его публикация на iis-сервер.</w:t>
      </w:r>
    </w:p>
    <w:p>
      <w:pPr>
        <w:ind w:lef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FF0000"/>
          <w:sz w:val="24"/>
        </w:rPr>
        <w:t>Признаки веб-сервиса ASMX:</w:t>
      </w:r>
      <w:r>
        <w:rPr>
          <w:rFonts w:ascii="Times New Roman" w:hAnsi="Times New Roman"/>
          <w:sz w:val="24"/>
        </w:rPr>
        <w:br w:type="textWrapping"/>
        <w:t>* SOAP-протокол</w:t>
        <w:br w:type="textWrapping"/>
        <w:t>* HTTP в кач транспорта</w:t>
        <w:br w:type="textWrapping"/>
        <w:t>* исполняется IIS-сервером (дб опублик)</w:t>
      </w:r>
    </w:p>
    <w:p>
      <w:pPr>
        <w:ind w:left="0"/>
        <w:jc w:val="both"/>
        <w:rPr>
          <w:rFonts w:ascii="Times New Roman" w:hAnsi="Times New Roman"/>
          <w:sz w:val="24"/>
        </w:rPr>
      </w:pPr>
    </w:p>
    <w:p>
      <w:p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методы в классе надо декорировать атрибутом [WebMethod], когда вызываем извне.</w:t>
      </w:r>
    </w:p>
    <w:p>
      <w:pPr>
        <w:ind w:left="0"/>
        <w:jc w:val="both"/>
        <w:rPr>
          <w:rFonts w:ascii="Times New Roman" w:hAnsi="Times New Roman"/>
          <w:b w:val="1"/>
          <w:sz w:val="24"/>
          <w:shd w:val="clear" w:fill="99FFFF"/>
        </w:rPr>
      </w:pPr>
      <w:r>
        <w:rPr>
          <w:rFonts w:ascii="Times New Roman" w:hAnsi="Times New Roman"/>
          <w:b w:val="1"/>
          <w:sz w:val="24"/>
          <w:shd w:val="clear" w:fill="99FFFF"/>
        </w:rPr>
        <w:t>КРАТКО: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жмем </w:t>
      </w:r>
      <w:r>
        <w:rPr>
          <w:rFonts w:ascii="Times New Roman" w:hAnsi="Times New Roman"/>
          <w:b w:val="1"/>
          <w:color w:val="FF0000"/>
          <w:sz w:val="24"/>
        </w:rPr>
        <w:t>Запустить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создается сервис (dll, кот имеет свой webconfig, и дб опубликована на IIS), запускается внутренний IIS-сервер, на кот публикуется DLL, и он готов для работы</w:t>
        <w:br w:type="textWrapping"/>
        <w:t>Создается узел Localhost, и сразу запускает браузер, кот. делает запрос на этот узел и получает инфу о методах, кот. мы создали, и м проверить их работоспособность. К. новый запрос создает новый экземпляр объекта.</w:t>
      </w:r>
    </w:p>
    <w:p>
      <w:pPr>
        <w:ind w:left="0"/>
        <w:jc w:val="both"/>
        <w:rPr>
          <w:rFonts w:ascii="Times New Roman" w:hAnsi="Times New Roman"/>
          <w:sz w:val="24"/>
        </w:rPr>
      </w:pPr>
    </w:p>
    <w:p>
      <w:pPr>
        <w:spacing w:lineRule="auto" w:line="240"/>
        <w:rPr>
          <w:rFonts w:ascii="Times New Roman" w:hAnsi="Times New Roman"/>
          <w:color w:val="980000"/>
          <w:sz w:val="24"/>
        </w:rPr>
      </w:pPr>
      <w:r>
        <w:rPr>
          <w:rFonts w:ascii="Times New Roman" w:hAnsi="Times New Roman"/>
          <w:b w:val="1"/>
          <w:i w:val="1"/>
          <w:color w:val="980000"/>
          <w:sz w:val="24"/>
          <w:shd w:val="clear" w:fill="FFFFFF"/>
        </w:rPr>
        <w:t>Proxy class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FFFFF"/>
        </w:rPr>
        <w:t>класс, построенный на основе описания сервиса(wsdl)</w:t>
      </w:r>
    </w:p>
    <w:p>
      <w:p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он имеет те же методы, что и удал. сервис, но находится здесь, эмулирует работу удал. сервиса, обращ как с обычным классом – это заместитель, кот притворяется что он сервис, им. те же методы</w:t>
      </w:r>
    </w:p>
    <w:p>
      <w:pPr>
        <w:ind w:left="0"/>
        <w:jc w:val="both"/>
        <w:rPr>
          <w:rFonts w:ascii="Courier New" w:hAnsi="Courier New"/>
          <w:sz w:val="28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F9C10A4"/>
    <w:multiLevelType w:val="hybridMultilevel"/>
    <w:lvl w:ilvl="0" w:tplc="2DE6280C">
      <w:start w:val="1"/>
      <w:numFmt w:val="decimal"/>
      <w:suff w:val="space"/>
      <w:lvlText w:val="%1."/>
      <w:lvlJc w:val="left"/>
      <w:pPr>
        <w:ind w:hanging="360" w:left="720"/>
      </w:pPr>
      <w:rPr>
        <w:b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4590665A"/>
    <w:multiLevelType w:val="hybridMultilevel"/>
    <w:lvl w:ilvl="0" w:tplc="686080B8">
      <w:start w:val="1"/>
      <w:numFmt w:val="bullet"/>
      <w:suff w:val="tab"/>
      <w:lvlText w:val="-"/>
      <w:lvlJc w:val="left"/>
      <w:pPr>
        <w:ind w:hanging="360" w:left="720"/>
      </w:pPr>
      <w:rPr>
        <w:rFonts w:ascii="Courier New" w:hAnsi="Courier New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4AF04DD"/>
    <w:multiLevelType w:val="hybridMultilevel"/>
    <w:lvl w:ilvl="0" w:tplc="7882B558">
      <w:start w:val="1"/>
      <w:numFmt w:val="bullet"/>
      <w:suff w:val="tab"/>
      <w:lvlText w:val="-"/>
      <w:lvlJc w:val="left"/>
      <w:pPr>
        <w:ind w:hanging="360" w:left="1440"/>
      </w:pPr>
      <w:rPr>
        <w:rFonts w:ascii="Courier New" w:hAnsi="Courier New"/>
      </w:rPr>
    </w:lvl>
    <w:lvl w:ilvl="1" w:tplc="041900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">
    <w:nsid w:val="6DB5170C"/>
    <w:multiLevelType w:val="hybridMultilevel"/>
    <w:lvl w:ilvl="0" w:tplc="EC806BF4">
      <w:start w:val="1"/>
      <w:numFmt w:val="decimal"/>
      <w:suff w:val="space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Balloon Text"/>
    <w:basedOn w:val="P0"/>
    <w:link w:val="C3"/>
    <w:semiHidden/>
    <w:pPr>
      <w:spacing w:lineRule="auto" w:line="24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