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color w:val="407927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407927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07927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2019-03-18T18:50:48Z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