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ED1C24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color w:val="ED1C24"/>
          <w:sz w:val="24"/>
          <w:szCs w:val="24"/>
        </w:rPr>
        <w:t xml:space="preserve"> динамически назначает </w:t>
      </w:r>
      <w:r>
        <w:rPr>
          <w:rFonts w:cs="Times New Roman" w:ascii="Times New Roman" w:hAnsi="Times New Roman"/>
          <w:color w:val="ED1C24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color w:val="ED1C24"/>
          <w:sz w:val="24"/>
          <w:szCs w:val="24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ED1C24"/>
          <w:sz w:val="24"/>
          <w:szCs w:val="24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color w:val="ED1C24"/>
          <w:sz w:val="24"/>
          <w:szCs w:val="24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</w:t>
      </w:r>
      <w:r>
        <w:rPr>
          <w:rFonts w:cs="Times New Roman" w:ascii="Times New Roman" w:hAnsi="Times New Roman"/>
          <w:color w:val="ED1C24"/>
          <w:sz w:val="24"/>
          <w:szCs w:val="24"/>
        </w:rPr>
        <w:t>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</w:t>
      </w:r>
      <w:r>
        <w:rPr>
          <w:rFonts w:cs="Times New Roman" w:ascii="Times New Roman" w:hAnsi="Times New Roman"/>
          <w:color w:val="ED1C24"/>
          <w:sz w:val="24"/>
          <w:szCs w:val="24"/>
        </w:rPr>
        <w:t>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</w:t>
      </w:r>
      <w:r>
        <w:rPr>
          <w:rFonts w:cs="Times New Roman" w:ascii="Times New Roman" w:hAnsi="Times New Roman"/>
          <w:color w:val="ED1C24"/>
          <w:sz w:val="24"/>
          <w:szCs w:val="24"/>
        </w:rPr>
        <w:t>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</w:t>
      </w:r>
      <w:r>
        <w:rPr>
          <w:rFonts w:cs="Times New Roman" w:ascii="Times New Roman" w:hAnsi="Times New Roman"/>
          <w:color w:val="ED1C24"/>
          <w:sz w:val="24"/>
          <w:szCs w:val="24"/>
        </w:rPr>
        <w:t>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ED1C24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LibreOffice/6.0.6.2$Linux_X86_64 LibreOffice_project/00m0$Build-2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2019-03-19T18:39:09Z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