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2A44"/>
          <w:sz w:val="44"/>
          <w:szCs w:val="44"/>
        </w:rPr>
        <w:t xml:space="preserve">Kleros AI Benchmark</w:t>
      </w:r>
    </w:p>
    <w:p>
      <w:pPr>
        <w:spacing w:after="40"/>
      </w:pPr>
      <w:r>
        <w:rPr>
          <w:rFonts w:ascii="Arial" w:cs="Arial" w:eastAsia="Arial" w:hAnsi="Arial"/>
          <w:color w:val="2E5AAC"/>
          <w:sz w:val="24"/>
          <w:szCs w:val="24"/>
        </w:rPr>
        <w:t xml:space="preserve">Tracking model-version drift on a fixed corpus of decentralised-arbitration disputes</w:t>
      </w:r>
    </w:p>
    <w:p>
      <w:pPr>
        <w:pBdr>
          <w:bottom w:val="single" w:color="2E5AAC" w:sz="8" w:space="2"/>
        </w:pBdr>
        <w:spacing w:after="60"/>
      </w:pPr>
      <w:r>
        <w:rPr>
          <w:rFonts w:ascii="Arial" w:cs="Arial" w:eastAsia="Arial" w:hAnsi="Arial"/>
          <w:b/>
          <w:bCs/>
          <w:sz w:val="20"/>
          <w:szCs w:val="20"/>
        </w:rPr>
        <w:t xml:space="preserve">Comparison report — Claude v4.7 Opus (Adaptive Thinking)  →  v4.8 Max Thinking</w:t>
      </w:r>
    </w:p>
    <w:p>
      <w:pPr>
        <w:spacing w:after="200"/>
      </w:pPr>
      <w:r>
        <w:rPr>
          <w:rFonts w:ascii="Arial" w:cs="Arial" w:eastAsia="Arial" w:hAnsi="Arial"/>
          <w:color w:val="666666"/>
          <w:sz w:val="17"/>
          <w:szCs w:val="17"/>
        </w:rPr>
        <w:t xml:space="preserve">Corpus: 99 Kleros “Lemon Cash” disputes  ·  Prepared 3 June 2026  ·  Both versions assessed the identical case set</w:t>
      </w:r>
    </w:p>
    <w:p>
      <w:pPr>
        <w:pStyle w:val="Heading1"/>
        <w:spacing w:after="140" w:before="280"/>
      </w:pPr>
      <w:r>
        <w:rPr>
          <w:rFonts w:ascii="Arial" w:cs="Arial" w:eastAsia="Arial" w:hAnsi="Arial"/>
        </w:rPr>
        <w:t xml:space="preserve">Executive summary</w:t>
      </w:r>
    </w:p>
    <w:p>
      <w:pPr>
        <w:spacing w:after="120" w:line="276"/>
      </w:pPr>
      <w:r>
        <w:rPr>
          <w:rFonts w:ascii="Arial" w:cs="Arial" w:eastAsia="Arial" w:hAnsi="Arial"/>
        </w:rPr>
        <w:t xml:space="preserve">Running the same 99 Kleros “Lemon” disputes through two Claude versions as a juror produces the same verdict in 88 of 99 cases — an 88.9% agreement rate. The 11 disagreements are not random noise: they are strongly directional. Ten cases moved from “Rule for the User” to “Rule for Lemon,” and only one moved the other way. The platform’s share of wins rises from 85 cases (86%) under v4.7 to 94 cases (95%) under v4.8; the consumer’s share falls from 14 to 5.</w:t>
      </w:r>
    </w:p>
    <w:p>
      <w:pPr>
        <w:spacing w:after="120" w:line="276"/>
      </w:pPr>
      <w:r>
        <w:rPr>
          <w:rFonts w:ascii="Arial" w:cs="Arial" w:eastAsia="Arial" w:hAnsi="Arial"/>
        </w:rPr>
        <w:t xml:space="preserve">The mechanism behind the shift is consistent across the flipped cases. v4.8 holds the claimant to a stricter burden of proof, decides on the documentary record actually produced, treats Lemon’s terms and conditions as presumptively consistent with the governing policy rather than overridden by it, and confines the pro-consumer tie-breaker (in dubio pro consumidor) to genuine ambiguity in the terms rather than factual uncertainty. The single case that moved toward the consumer (Case 4) is the exception that proves the rule: there the very same rigour — demanding that Lemon prove its exculpatory theory — favoured the user. Two of the flips reversed a verdict that v4.7 had reached with High confidence (Cases 25 and 117), and on two others v4.8 reached the opposite verdict with higher confidence than v4.7 held for its original. The change is therefore better described as a different adjudicative posture than as hedging or a fixed bias.</w:t>
      </w:r>
    </w:p>
    <w:p>
      <w:pPr>
        <w:pStyle w:val="Heading2"/>
        <w:spacing w:after="120" w:before="220"/>
      </w:pPr>
      <w:r>
        <w:rPr>
          <w:rFonts w:ascii="Arial" w:cs="Arial" w:eastAsia="Arial" w:hAnsi="Arial"/>
        </w:rPr>
        <w:t xml:space="preserve">Headline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cantSplit/>
        </w:trPr>
        <w:tc>
          <w:tcPr>
            <w:tcW w:type="dxa" w:w="468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Metric</w:t>
            </w:r>
          </w:p>
        </w:tc>
        <w:tc>
          <w:tcPr>
            <w:tcW w:type="dxa" w:w="234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Value</w:t>
            </w:r>
          </w:p>
        </w:tc>
        <w:tc>
          <w:tcPr>
            <w:tcW w:type="dxa" w:w="234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Read</w:t>
            </w:r>
          </w:p>
        </w:tc>
      </w:tr>
      <w:tr>
        <w:trPr>
          <w:cantSplit/>
        </w:trPr>
        <w:tc>
          <w:tcPr>
            <w:tcW w:type="dxa" w:w="46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Case-by-case agreement</w:t>
            </w:r>
          </w:p>
        </w:tc>
        <w:tc>
          <w:tcPr>
            <w:tcW w:type="dxa" w:w="23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2E5AAC"/>
                <w:sz w:val="19"/>
                <w:szCs w:val="19"/>
              </w:rPr>
              <w:t xml:space="preserve">88.9%</w:t>
            </w:r>
          </w:p>
        </w:tc>
        <w:tc>
          <w:tcPr>
            <w:tcW w:type="dxa" w:w="23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88 of 99 identical</w:t>
            </w:r>
          </w:p>
        </w:tc>
      </w:tr>
      <w:tr>
        <w:trPr>
          <w:cantSplit/>
        </w:trPr>
        <w:tc>
          <w:tcPr>
            <w:tcW w:type="dxa" w:w="46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Verdicts flipped</w:t>
            </w:r>
          </w:p>
        </w:tc>
        <w:tc>
          <w:tcPr>
            <w:tcW w:type="dxa" w:w="23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11</w:t>
            </w:r>
          </w:p>
        </w:tc>
        <w:tc>
          <w:tcPr>
            <w:tcW w:type="dxa" w:w="23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of 99 cases</w:t>
            </w:r>
          </w:p>
        </w:tc>
      </w:tr>
      <w:tr>
        <w:trPr>
          <w:cantSplit/>
        </w:trPr>
        <w:tc>
          <w:tcPr>
            <w:tcW w:type="dxa" w:w="46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Flips toward the platform (User→Lemon)</w:t>
            </w:r>
          </w:p>
        </w:tc>
        <w:tc>
          <w:tcPr>
            <w:tcW w:type="dxa" w:w="23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10</w:t>
            </w:r>
          </w:p>
        </w:tc>
        <w:tc>
          <w:tcPr>
            <w:tcW w:type="dxa" w:w="23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more pro-platform</w:t>
            </w:r>
          </w:p>
        </w:tc>
      </w:tr>
      <w:tr>
        <w:trPr>
          <w:cantSplit/>
        </w:trPr>
        <w:tc>
          <w:tcPr>
            <w:tcW w:type="dxa" w:w="46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Flips toward the consumer (Lemon→User)</w:t>
            </w:r>
          </w:p>
        </w:tc>
        <w:tc>
          <w:tcPr>
            <w:tcW w:type="dxa" w:w="23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3F6212"/>
                <w:sz w:val="19"/>
                <w:szCs w:val="19"/>
              </w:rPr>
              <w:t xml:space="preserve">1</w:t>
            </w:r>
          </w:p>
        </w:tc>
        <w:tc>
          <w:tcPr>
            <w:tcW w:type="dxa" w:w="23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Case 4</w:t>
            </w:r>
          </w:p>
        </w:tc>
      </w:tr>
      <w:tr>
        <w:trPr>
          <w:cantSplit/>
        </w:trPr>
        <w:tc>
          <w:tcPr>
            <w:tcW w:type="dxa" w:w="46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High-confidence reversals</w:t>
            </w:r>
          </w:p>
        </w:tc>
        <w:tc>
          <w:tcPr>
            <w:tcW w:type="dxa" w:w="23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2</w:t>
            </w:r>
          </w:p>
        </w:tc>
        <w:tc>
          <w:tcPr>
            <w:tcW w:type="dxa" w:w="23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Cases 25 &amp; 117</w:t>
            </w:r>
          </w:p>
        </w:tc>
      </w:tr>
    </w:tbl>
    <w:p>
      <w:pPr>
        <w:pStyle w:val="Heading2"/>
        <w:spacing w:after="120" w:before="220"/>
      </w:pPr>
      <w:r>
        <w:rPr>
          <w:rFonts w:ascii="Arial" w:cs="Arial" w:eastAsia="Arial" w:hAnsi="Arial"/>
        </w:rPr>
        <w:t xml:space="preserve">Verdict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cantSplit/>
        </w:trPr>
        <w:tc>
          <w:tcPr>
            <w:tcW w:type="dxa" w:w="468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Outcome</w:t>
            </w:r>
          </w:p>
        </w:tc>
        <w:tc>
          <w:tcPr>
            <w:tcW w:type="dxa" w:w="156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v4.7</w:t>
            </w:r>
          </w:p>
        </w:tc>
        <w:tc>
          <w:tcPr>
            <w:tcW w:type="dxa" w:w="156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v4.8</w:t>
            </w:r>
          </w:p>
        </w:tc>
        <w:tc>
          <w:tcPr>
            <w:tcW w:type="dxa" w:w="156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Change</w:t>
            </w:r>
          </w:p>
        </w:tc>
      </w:tr>
      <w:tr>
        <w:trPr>
          <w:cantSplit/>
        </w:trPr>
        <w:tc>
          <w:tcPr>
            <w:tcW w:type="dxa" w:w="4680"/>
            <w:tcBorders>
              <w:top w:val="single" w:color="C9D2E0" w:sz="1"/>
              <w:left w:val="single" w:color="C9D2E0" w:sz="1"/>
              <w:bottom w:val="single" w:color="C9D2E0" w:sz="1"/>
              <w:right w:val="single" w:color="C9D2E0" w:sz="1"/>
            </w:tcBorders>
            <w:shd w:fill="FCE9D8" w:color="auto" w:val="clear"/>
            <w:tcMar>
              <w:top w:type="dxa" w:w="70"/>
              <w:left w:type="dxa" w:w="110"/>
              <w:bottom w:type="dxa" w:w="70"/>
              <w:right w:type="dxa" w:w="110"/>
            </w:tcMar>
            <w:vAlign w:val="center"/>
          </w:tcPr>
          <w:p>
            <w:pPr>
              <w:spacing w:after="0"/>
              <w:jc w:val="left"/>
            </w:pPr>
            <w:r>
              <w:rPr>
                <w:rFonts w:ascii="Arial" w:cs="Arial" w:eastAsia="Arial" w:hAnsi="Arial"/>
                <w:b/>
                <w:bCs/>
                <w:color w:val="B45309"/>
                <w:sz w:val="19"/>
                <w:szCs w:val="19"/>
              </w:rPr>
              <w:t xml:space="preserve">Rule for Lemon</w:t>
            </w:r>
          </w:p>
        </w:tc>
        <w:tc>
          <w:tcPr>
            <w:tcW w:type="dxa" w:w="15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val="false"/>
                <w:bCs w:val="false"/>
                <w:color w:val="1A1A1A"/>
                <w:sz w:val="19"/>
                <w:szCs w:val="19"/>
              </w:rPr>
              <w:t xml:space="preserve">85</w:t>
            </w:r>
          </w:p>
        </w:tc>
        <w:tc>
          <w:tcPr>
            <w:tcW w:type="dxa" w:w="15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94</w:t>
            </w:r>
          </w:p>
        </w:tc>
        <w:tc>
          <w:tcPr>
            <w:tcW w:type="dxa" w:w="15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+9</w:t>
            </w:r>
          </w:p>
        </w:tc>
      </w:tr>
      <w:tr>
        <w:trPr>
          <w:cantSplit/>
        </w:trPr>
        <w:tc>
          <w:tcPr>
            <w:tcW w:type="dxa" w:w="4680"/>
            <w:tcBorders>
              <w:top w:val="single" w:color="C9D2E0" w:sz="1"/>
              <w:left w:val="single" w:color="C9D2E0" w:sz="1"/>
              <w:bottom w:val="single" w:color="C9D2E0" w:sz="1"/>
              <w:right w:val="single" w:color="C9D2E0" w:sz="1"/>
            </w:tcBorders>
            <w:shd w:fill="DDEBD8" w:color="auto" w:val="clear"/>
            <w:tcMar>
              <w:top w:type="dxa" w:w="70"/>
              <w:left w:type="dxa" w:w="110"/>
              <w:bottom w:type="dxa" w:w="70"/>
              <w:right w:type="dxa" w:w="110"/>
            </w:tcMar>
            <w:vAlign w:val="center"/>
          </w:tcPr>
          <w:p>
            <w:pPr>
              <w:spacing w:after="0"/>
              <w:jc w:val="left"/>
            </w:pPr>
            <w:r>
              <w:rPr>
                <w:rFonts w:ascii="Arial" w:cs="Arial" w:eastAsia="Arial" w:hAnsi="Arial"/>
                <w:b/>
                <w:bCs/>
                <w:color w:val="3F6212"/>
                <w:sz w:val="19"/>
                <w:szCs w:val="19"/>
              </w:rPr>
              <w:t xml:space="preserve">Rule for the User</w:t>
            </w:r>
          </w:p>
        </w:tc>
        <w:tc>
          <w:tcPr>
            <w:tcW w:type="dxa" w:w="15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val="false"/>
                <w:bCs w:val="false"/>
                <w:color w:val="1A1A1A"/>
                <w:sz w:val="19"/>
                <w:szCs w:val="19"/>
              </w:rPr>
              <w:t xml:space="preserve">14</w:t>
            </w:r>
          </w:p>
        </w:tc>
        <w:tc>
          <w:tcPr>
            <w:tcW w:type="dxa" w:w="15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5</w:t>
            </w:r>
          </w:p>
        </w:tc>
        <w:tc>
          <w:tcPr>
            <w:tcW w:type="dxa" w:w="15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3F6212"/>
                <w:sz w:val="19"/>
                <w:szCs w:val="19"/>
              </w:rPr>
              <w:t xml:space="preserve">−9</w:t>
            </w:r>
          </w:p>
        </w:tc>
      </w:tr>
      <w:tr>
        <w:trPr>
          <w:cantSplit/>
        </w:trPr>
        <w:tc>
          <w:tcPr>
            <w:tcW w:type="dxa" w:w="46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bCs/>
                <w:color w:val="1A1A1A"/>
                <w:sz w:val="19"/>
                <w:szCs w:val="19"/>
              </w:rPr>
              <w:t xml:space="preserve">Total</w:t>
            </w:r>
          </w:p>
        </w:tc>
        <w:tc>
          <w:tcPr>
            <w:tcW w:type="dxa" w:w="15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99</w:t>
            </w:r>
          </w:p>
        </w:tc>
        <w:tc>
          <w:tcPr>
            <w:tcW w:type="dxa" w:w="15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99</w:t>
            </w:r>
          </w:p>
        </w:tc>
        <w:tc>
          <w:tcPr>
            <w:tcW w:type="dxa" w:w="15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
            </w:r>
          </w:p>
        </w:tc>
      </w:tr>
    </w:tbl>
    <w:p>
      <w:pPr>
        <w:spacing w:before="80"/>
      </w:pPr>
      <w:r>
        <w:rPr>
          <w:rFonts w:ascii="Arial" w:cs="Arial" w:eastAsia="Arial" w:hAnsi="Arial"/>
          <w:i/>
          <w:iCs/>
          <w:color w:val="555555"/>
          <w:sz w:val="18"/>
          <w:szCs w:val="18"/>
        </w:rPr>
        <w:t xml:space="preserve">Confidence is broadly stable (v4.7 High/Medium = 72/27; v4.8 = 68/31), so the swing is not explained by either model becoming more tentative. On two flips v4.8 raised confidence to High (Cases 56 and 85) — it is confidently reaching the opposite conclusion.</w:t>
      </w:r>
    </w:p>
    <w:p>
      <w:pPr>
        <w:pStyle w:val="Heading1"/>
        <w:spacing w:after="140" w:before="280"/>
      </w:pPr>
      <w:r>
        <w:rPr>
          <w:rFonts w:ascii="Arial" w:cs="Arial" w:eastAsia="Arial" w:hAnsi="Arial"/>
        </w:rPr>
        <w:t xml:space="preserve">What this benchmark is</w:t>
      </w:r>
    </w:p>
    <w:p>
      <w:pPr>
        <w:spacing w:after="120" w:line="276"/>
      </w:pPr>
      <w:r>
        <w:rPr>
          <w:rFonts w:ascii="Arial" w:cs="Arial" w:eastAsia="Arial" w:hAnsi="Arial"/>
        </w:rPr>
        <w:t xml:space="preserve">This corpus of 99 real Kleros disputes is treated as a fixed regression test for Claude’s behaviour as a Schelling-point juror. Every model version is given the identical cases, the identical juror skill, and the identical inputs, and asked for the same output: a verdict (Rule for Lemon / Rule for the User) and a confidence level. Holding everything constant except the model means any difference in output is attributable to the model itself, which is exactly what a version-tracking benchmark needs.</w:t>
      </w:r>
    </w:p>
    <w:p>
      <w:pPr>
        <w:spacing w:after="120" w:line="276"/>
      </w:pPr>
      <w:r>
        <w:rPr>
          <w:rFonts w:ascii="Arial" w:cs="Arial" w:eastAsia="Arial" w:hAnsi="Arial"/>
        </w:rPr>
        <w:t xml:space="preserve">Two things make this useful beyond a one-off comparison. First, adjudication is a high-leverage, judgement-heavy task where small shifts in posture — who bears the burden, how literally terms are read, when a tie-breaker applies — move real outcomes; the benchmark surfaces those shifts case by case rather than as an aggregate score. Second, the corpus is reusable: when the next version ships, the same 99 cases re-run and slot in as new columns, so drift is tracked cumulatively. The companion workbook (Kleros_AI_Benchmark.xlsx) is built to be extended this way and carries the full case matrix, a formula-driven dashboard, the flip log and the change-driver taxonomy.</w:t>
      </w:r>
    </w:p>
    <w:p>
      <w:pPr>
        <w:shd w:fill="EAF0FB" w:color="auto" w:val="clear"/>
        <w:spacing w:after="120"/>
      </w:pPr>
      <w:r>
        <w:rPr>
          <w:rFonts w:ascii="Arial" w:cs="Arial" w:eastAsia="Arial" w:hAnsi="Arial"/>
          <w:b/>
          <w:bCs/>
        </w:rPr>
        <w:t xml:space="preserve">Scope note. </w:t>
      </w:r>
      <w:r>
        <w:rPr>
          <w:rFonts w:ascii="Arial" w:cs="Arial" w:eastAsia="Arial" w:hAnsi="Arial"/>
        </w:rPr>
        <w:t xml:space="preserve">Agreement here is a consistency metric, not an accuracy metric: it measures whether two versions decide alike, not whether either is legally correct. These are real disputes with real on-chain rulings, so the natural next step is to add those actual outcomes as a “gold” column and convert consistency tracking into accuracy scoring. Until then, no version is asserted to be “more right” — only different, in a characterisable way.</w:t>
      </w:r>
    </w:p>
    <w:p>
      <w:r>
        <w:br w:type="page"/>
      </w:r>
    </w:p>
    <w:p>
      <w:pPr>
        <w:pStyle w:val="Heading1"/>
        <w:spacing w:after="140" w:before="280"/>
      </w:pPr>
      <w:r>
        <w:rPr>
          <w:rFonts w:ascii="Arial" w:cs="Arial" w:eastAsia="Arial" w:hAnsi="Arial"/>
        </w:rPr>
        <w:t xml:space="preserve">Why the verdicts moved: five change drivers</w:t>
      </w:r>
    </w:p>
    <w:p>
      <w:pPr>
        <w:spacing w:after="120" w:line="276"/>
      </w:pPr>
      <w:r>
        <w:rPr>
          <w:rFonts w:ascii="Arial" w:cs="Arial" w:eastAsia="Arial" w:hAnsi="Arial"/>
        </w:rPr>
        <w:t xml:space="preserve">Reading both models’ full reasoning on all 11 flipped cases, the same handful of mechanisms recur. They overlap — a single flip usually combines two or three — so the counts below are the number of flips in which each mechanism was operative, not a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400"/>
        <w:gridCol w:w="900"/>
        <w:gridCol w:w="4440"/>
      </w:tblGrid>
      <w:tr>
        <w:trPr>
          <w:cantSplit/>
        </w:trPr>
        <w:tc>
          <w:tcPr>
            <w:tcW w:type="dxa" w:w="62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
            </w:r>
          </w:p>
        </w:tc>
        <w:tc>
          <w:tcPr>
            <w:tcW w:type="dxa" w:w="340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Mechanism</w:t>
            </w:r>
          </w:p>
        </w:tc>
        <w:tc>
          <w:tcPr>
            <w:tcW w:type="dxa" w:w="90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Flips</w:t>
            </w:r>
          </w:p>
        </w:tc>
        <w:tc>
          <w:tcPr>
            <w:tcW w:type="dxa" w:w="444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What changed from v4.7 to v4.8</w:t>
            </w:r>
          </w:p>
        </w:tc>
      </w:tr>
      <w:tr>
        <w:trPr>
          <w:cantSplit/>
        </w:trPr>
        <w:tc>
          <w:tcPr>
            <w:tcW w:type="dxa" w:w="62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F2A44"/>
                <w:sz w:val="19"/>
                <w:szCs w:val="19"/>
              </w:rPr>
              <w:t xml:space="preserve">D1</w:t>
            </w:r>
          </w:p>
        </w:tc>
        <w:tc>
          <w:tcPr>
            <w:tcW w:type="dxa" w:w="340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bCs/>
                <w:color w:val="1A1A1A"/>
                <w:sz w:val="19"/>
                <w:szCs w:val="19"/>
              </w:rPr>
              <w:t xml:space="preserve">Burden of proof relocated to the claimant</w:t>
            </w:r>
          </w:p>
        </w:tc>
        <w:tc>
          <w:tcPr>
            <w:tcW w:type="dxa" w:w="90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9A7B12"/>
                <w:sz w:val="19"/>
                <w:szCs w:val="19"/>
              </w:rPr>
              <w:t xml:space="preserve">10</w:t>
            </w:r>
          </w:p>
        </w:tc>
        <w:tc>
          <w:tcPr>
            <w:tcW w:type="dxa" w:w="44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The user must affirmatively prove a Lemon-side breach; a weak or thin platform defence is no longer enough to win. v4.7 shifted the burden onto Lemon once the user made a coherent prima facie showing.</w:t>
            </w:r>
          </w:p>
        </w:tc>
      </w:tr>
      <w:tr>
        <w:trPr>
          <w:cantSplit/>
        </w:trPr>
        <w:tc>
          <w:tcPr>
            <w:tcW w:type="dxa" w:w="62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F2A44"/>
                <w:sz w:val="19"/>
                <w:szCs w:val="19"/>
              </w:rPr>
              <w:t xml:space="preserve">D2</w:t>
            </w:r>
          </w:p>
        </w:tc>
        <w:tc>
          <w:tcPr>
            <w:tcW w:type="dxa" w:w="340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bCs/>
                <w:color w:val="1A1A1A"/>
                <w:sz w:val="19"/>
                <w:szCs w:val="19"/>
              </w:rPr>
              <w:t xml:space="preserve">T&amp;C clause read as policy-consistent, not overridden</w:t>
            </w:r>
          </w:p>
        </w:tc>
        <w:tc>
          <w:tcPr>
            <w:tcW w:type="dxa" w:w="90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9A7B12"/>
                <w:sz w:val="19"/>
                <w:szCs w:val="19"/>
              </w:rPr>
              <w:t xml:space="preserve">3</w:t>
            </w:r>
          </w:p>
        </w:tc>
        <w:tc>
          <w:tcPr>
            <w:tcW w:type="dxa" w:w="44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Clauses such as 13.7 (unlisted assets) and 5.1/5.2 (chargeback routing) are treated as legitimate operational limits. v4.7 routinely set such clauses aside under a “catch-all cannot override the policy” move.</w:t>
            </w:r>
          </w:p>
        </w:tc>
      </w:tr>
      <w:tr>
        <w:trPr>
          <w:cantSplit/>
        </w:trPr>
        <w:tc>
          <w:tcPr>
            <w:tcW w:type="dxa" w:w="62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F2A44"/>
                <w:sz w:val="19"/>
                <w:szCs w:val="19"/>
              </w:rPr>
              <w:t xml:space="preserve">D3</w:t>
            </w:r>
          </w:p>
        </w:tc>
        <w:tc>
          <w:tcPr>
            <w:tcW w:type="dxa" w:w="340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bCs/>
                <w:color w:val="1A1A1A"/>
                <w:sz w:val="19"/>
                <w:szCs w:val="19"/>
              </w:rPr>
              <w:t xml:space="preserve">“As-presented” offer read literally / conditionally</w:t>
            </w:r>
          </w:p>
        </w:tc>
        <w:tc>
          <w:tcPr>
            <w:tcW w:type="dxa" w:w="90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9A7B12"/>
                <w:sz w:val="19"/>
                <w:szCs w:val="19"/>
              </w:rPr>
              <w:t xml:space="preserve">5</w:t>
            </w:r>
          </w:p>
        </w:tc>
        <w:tc>
          <w:tcPr>
            <w:tcW w:type="dxa" w:w="44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Vouchers, FAQs and announcement emails that v4.7 treated as binding promises, v4.8 reads as conditional, already-disclosed, or not a promise at all (e.g. a FAQ saying “if we can recover them”).</w:t>
            </w:r>
          </w:p>
        </w:tc>
      </w:tr>
      <w:tr>
        <w:trPr>
          <w:cantSplit/>
        </w:trPr>
        <w:tc>
          <w:tcPr>
            <w:tcW w:type="dxa" w:w="62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F2A44"/>
                <w:sz w:val="19"/>
                <w:szCs w:val="19"/>
              </w:rPr>
              <w:t xml:space="preserve">D4</w:t>
            </w:r>
          </w:p>
        </w:tc>
        <w:tc>
          <w:tcPr>
            <w:tcW w:type="dxa" w:w="340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bCs/>
                <w:color w:val="1A1A1A"/>
                <w:sz w:val="19"/>
                <w:szCs w:val="19"/>
              </w:rPr>
              <w:t xml:space="preserve">in dubio pro consumidor confined to genuine ambiguity</w:t>
            </w:r>
          </w:p>
        </w:tc>
        <w:tc>
          <w:tcPr>
            <w:tcW w:type="dxa" w:w="90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9A7B12"/>
                <w:sz w:val="19"/>
                <w:szCs w:val="19"/>
              </w:rPr>
              <w:t xml:space="preserve">3</w:t>
            </w:r>
          </w:p>
        </w:tc>
        <w:tc>
          <w:tcPr>
            <w:tcW w:type="dxa" w:w="44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The pro-consumer tie-breaker is reserved for ambiguity in the terms and withheld from factual disputes (was it fraud? a duplicate?). In Case 4 the same discipline favoured the consumer.</w:t>
            </w:r>
          </w:p>
        </w:tc>
      </w:tr>
      <w:tr>
        <w:trPr>
          <w:cantSplit/>
        </w:trPr>
        <w:tc>
          <w:tcPr>
            <w:tcW w:type="dxa" w:w="62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F2A44"/>
                <w:sz w:val="19"/>
                <w:szCs w:val="19"/>
              </w:rPr>
              <w:t xml:space="preserve">D5</w:t>
            </w:r>
          </w:p>
        </w:tc>
        <w:tc>
          <w:tcPr>
            <w:tcW w:type="dxa" w:w="340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bCs/>
                <w:color w:val="1A1A1A"/>
                <w:sz w:val="19"/>
                <w:szCs w:val="19"/>
              </w:rPr>
              <w:t xml:space="preserve">Pivotal evidence reweighted</w:t>
            </w:r>
          </w:p>
        </w:tc>
        <w:tc>
          <w:tcPr>
            <w:tcW w:type="dxa" w:w="90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9A7B12"/>
                <w:sz w:val="19"/>
                <w:szCs w:val="19"/>
              </w:rPr>
              <w:t xml:space="preserve">6</w:t>
            </w:r>
          </w:p>
        </w:tc>
        <w:tc>
          <w:tcPr>
            <w:tcW w:type="dxa" w:w="444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The same exhibit is read to the opposite conclusion — a device-ID log as theft-corroboration vs user-fault; identical transfer metadata as a duplicate vs two authorised cash-outs; a processor “no record” email as fraud vs deflection.</w:t>
            </w:r>
          </w:p>
        </w:tc>
      </w:tr>
    </w:tbl>
    <w:p>
      <w:pPr>
        <w:shd w:fill="EAF0FB" w:color="auto" w:val="clear"/>
        <w:spacing w:after="120" w:before="100"/>
      </w:pPr>
      <w:r>
        <w:rPr>
          <w:rFonts w:ascii="Arial" w:cs="Arial" w:eastAsia="Arial" w:hAnsi="Arial"/>
          <w:b/>
          <w:bCs/>
          <w:color w:val="1F2A44"/>
        </w:rPr>
        <w:t xml:space="preserve">Headline: </w:t>
      </w:r>
      <w:r>
        <w:rPr>
          <w:rFonts w:ascii="Arial" w:cs="Arial" w:eastAsia="Arial" w:hAnsi="Arial"/>
        </w:rPr>
        <w:t xml:space="preserve">in all 10 cases that moved toward the platform, D1 is operative — v4.8 holds the claimant to a strict burden and will not convert a weak Lemon defence into a consumer win. The one consumer-ward flip comes from the same rigour applied to Lemon’s unproven theory.</w:t>
      </w:r>
    </w:p>
    <w:p>
      <w:r>
        <w:br w:type="page"/>
      </w:r>
    </w:p>
    <w:p>
      <w:pPr>
        <w:pStyle w:val="Heading1"/>
        <w:spacing w:after="140" w:before="280"/>
      </w:pPr>
      <w:r>
        <w:rPr>
          <w:rFonts w:ascii="Arial" w:cs="Arial" w:eastAsia="Arial" w:hAnsi="Arial"/>
        </w:rPr>
        <w:t xml:space="preserve">The 11 flipped cases</w:t>
      </w:r>
    </w:p>
    <w:p>
      <w:pPr>
        <w:pStyle w:val="Heading2"/>
        <w:spacing w:after="120" w:before="220"/>
      </w:pPr>
      <w:r>
        <w:rPr>
          <w:rFonts w:ascii="Arial" w:cs="Arial" w:eastAsia="Arial" w:hAnsi="Arial"/>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460"/>
        <w:gridCol w:w="1380"/>
        <w:gridCol w:w="1380"/>
        <w:gridCol w:w="2380"/>
      </w:tblGrid>
      <w:tr>
        <w:trPr>
          <w:cantSplit/>
        </w:trPr>
        <w:tc>
          <w:tcPr>
            <w:tcW w:type="dxa" w:w="76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Case</w:t>
            </w:r>
          </w:p>
        </w:tc>
        <w:tc>
          <w:tcPr>
            <w:tcW w:type="dxa" w:w="346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Category</w:t>
            </w:r>
          </w:p>
        </w:tc>
        <w:tc>
          <w:tcPr>
            <w:tcW w:type="dxa" w:w="138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v4.7</w:t>
            </w:r>
          </w:p>
        </w:tc>
        <w:tc>
          <w:tcPr>
            <w:tcW w:type="dxa" w:w="138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v4.8</w:t>
            </w:r>
          </w:p>
        </w:tc>
        <w:tc>
          <w:tcPr>
            <w:tcW w:type="dxa" w:w="2380"/>
            <w:tcBorders>
              <w:top w:val="single" w:color="C9D2E0" w:sz="1"/>
              <w:left w:val="single" w:color="C9D2E0" w:sz="1"/>
              <w:bottom w:val="single" w:color="C9D2E0" w:sz="1"/>
              <w:right w:val="single" w:color="C9D2E0" w:sz="1"/>
            </w:tcBorders>
            <w:shd w:fill="1F2A44"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Direction</w:t>
            </w:r>
          </w:p>
        </w:tc>
      </w:tr>
      <w:tr>
        <w:trPr>
          <w:cantSplit/>
        </w:trPr>
        <w:tc>
          <w:tcPr>
            <w:tcW w:type="dxa" w:w="7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4</w:t>
            </w:r>
          </w:p>
        </w:tc>
        <w:tc>
          <w:tcPr>
            <w:tcW w:type="dxa" w:w="34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Unauthorised charge after theft</w:t>
            </w:r>
          </w:p>
        </w:tc>
        <w:tc>
          <w:tcPr>
            <w:tcW w:type="dxa" w:w="1380"/>
            <w:tcBorders>
              <w:top w:val="single" w:color="C9D2E0" w:sz="1"/>
              <w:left w:val="single" w:color="C9D2E0" w:sz="1"/>
              <w:bottom w:val="single" w:color="C9D2E0" w:sz="1"/>
              <w:right w:val="single" w:color="C9D2E0" w:sz="1"/>
            </w:tcBorders>
            <w:shd w:fill="FCE9D8" w:color="auto" w:val="clear"/>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Lemon</w:t>
            </w:r>
          </w:p>
        </w:tc>
        <w:tc>
          <w:tcPr>
            <w:tcW w:type="dxa" w:w="1380"/>
            <w:tcBorders>
              <w:top w:val="single" w:color="C9D2E0" w:sz="1"/>
              <w:left w:val="single" w:color="C9D2E0" w:sz="1"/>
              <w:bottom w:val="single" w:color="C9D2E0" w:sz="1"/>
              <w:right w:val="single" w:color="C9D2E0" w:sz="1"/>
            </w:tcBorders>
            <w:shd w:fill="DDEBD8" w:color="auto" w:val="clear"/>
            <w:tcMar>
              <w:top w:type="dxa" w:w="70"/>
              <w:left w:type="dxa" w:w="110"/>
              <w:bottom w:type="dxa" w:w="70"/>
              <w:right w:type="dxa" w:w="110"/>
            </w:tcMar>
            <w:vAlign w:val="center"/>
          </w:tcPr>
          <w:p>
            <w:pPr>
              <w:spacing w:after="0"/>
              <w:jc w:val="center"/>
            </w:pPr>
            <w:r>
              <w:rPr>
                <w:rFonts w:ascii="Arial" w:cs="Arial" w:eastAsia="Arial" w:hAnsi="Arial"/>
                <w:b/>
                <w:bCs/>
                <w:color w:val="3F6212"/>
                <w:sz w:val="19"/>
                <w:szCs w:val="19"/>
              </w:rPr>
              <w:t xml:space="preserve">User</w:t>
            </w:r>
          </w:p>
        </w:tc>
        <w:tc>
          <w:tcPr>
            <w:tcW w:type="dxa" w:w="23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3F6212"/>
                <w:sz w:val="17"/>
                <w:szCs w:val="17"/>
              </w:rPr>
              <w:t xml:space="preserve">Lemon→User  ↑consumer</w:t>
            </w:r>
          </w:p>
        </w:tc>
      </w:tr>
      <w:tr>
        <w:trPr>
          <w:cantSplit/>
        </w:trPr>
        <w:tc>
          <w:tcPr>
            <w:tcW w:type="dxa" w:w="7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7</w:t>
            </w:r>
          </w:p>
        </w:tc>
        <w:tc>
          <w:tcPr>
            <w:tcW w:type="dxa" w:w="34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Wrong-network deposit</w:t>
            </w:r>
          </w:p>
        </w:tc>
        <w:tc>
          <w:tcPr>
            <w:tcW w:type="dxa" w:w="1380"/>
            <w:tcBorders>
              <w:top w:val="single" w:color="C9D2E0" w:sz="1"/>
              <w:left w:val="single" w:color="C9D2E0" w:sz="1"/>
              <w:bottom w:val="single" w:color="C9D2E0" w:sz="1"/>
              <w:right w:val="single" w:color="C9D2E0" w:sz="1"/>
            </w:tcBorders>
            <w:shd w:fill="DDEBD8" w:color="auto" w:val="clear"/>
            <w:tcMar>
              <w:top w:type="dxa" w:w="70"/>
              <w:left w:type="dxa" w:w="110"/>
              <w:bottom w:type="dxa" w:w="70"/>
              <w:right w:type="dxa" w:w="110"/>
            </w:tcMar>
            <w:vAlign w:val="center"/>
          </w:tcPr>
          <w:p>
            <w:pPr>
              <w:spacing w:after="0"/>
              <w:jc w:val="center"/>
            </w:pPr>
            <w:r>
              <w:rPr>
                <w:rFonts w:ascii="Arial" w:cs="Arial" w:eastAsia="Arial" w:hAnsi="Arial"/>
                <w:b/>
                <w:bCs/>
                <w:color w:val="3F6212"/>
                <w:sz w:val="19"/>
                <w:szCs w:val="19"/>
              </w:rPr>
              <w:t xml:space="preserve">User</w:t>
            </w:r>
          </w:p>
        </w:tc>
        <w:tc>
          <w:tcPr>
            <w:tcW w:type="dxa" w:w="1380"/>
            <w:tcBorders>
              <w:top w:val="single" w:color="C9D2E0" w:sz="1"/>
              <w:left w:val="single" w:color="C9D2E0" w:sz="1"/>
              <w:bottom w:val="single" w:color="C9D2E0" w:sz="1"/>
              <w:right w:val="single" w:color="C9D2E0" w:sz="1"/>
            </w:tcBorders>
            <w:shd w:fill="FCE9D8" w:color="auto" w:val="clear"/>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Lemon</w:t>
            </w:r>
          </w:p>
        </w:tc>
        <w:tc>
          <w:tcPr>
            <w:tcW w:type="dxa" w:w="23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B45309"/>
                <w:sz w:val="17"/>
                <w:szCs w:val="17"/>
              </w:rPr>
              <w:t xml:space="preserve">User→Lemon</w:t>
            </w:r>
          </w:p>
        </w:tc>
      </w:tr>
      <w:tr>
        <w:trPr>
          <w:cantSplit/>
        </w:trPr>
        <w:tc>
          <w:tcPr>
            <w:tcW w:type="dxa" w:w="7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11</w:t>
            </w:r>
          </w:p>
        </w:tc>
        <w:tc>
          <w:tcPr>
            <w:tcW w:type="dxa" w:w="34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Disputed merchant charge</w:t>
            </w:r>
          </w:p>
        </w:tc>
        <w:tc>
          <w:tcPr>
            <w:tcW w:type="dxa" w:w="1380"/>
            <w:tcBorders>
              <w:top w:val="single" w:color="C9D2E0" w:sz="1"/>
              <w:left w:val="single" w:color="C9D2E0" w:sz="1"/>
              <w:bottom w:val="single" w:color="C9D2E0" w:sz="1"/>
              <w:right w:val="single" w:color="C9D2E0" w:sz="1"/>
            </w:tcBorders>
            <w:shd w:fill="DDEBD8" w:color="auto" w:val="clear"/>
            <w:tcMar>
              <w:top w:type="dxa" w:w="70"/>
              <w:left w:type="dxa" w:w="110"/>
              <w:bottom w:type="dxa" w:w="70"/>
              <w:right w:type="dxa" w:w="110"/>
            </w:tcMar>
            <w:vAlign w:val="center"/>
          </w:tcPr>
          <w:p>
            <w:pPr>
              <w:spacing w:after="0"/>
              <w:jc w:val="center"/>
            </w:pPr>
            <w:r>
              <w:rPr>
                <w:rFonts w:ascii="Arial" w:cs="Arial" w:eastAsia="Arial" w:hAnsi="Arial"/>
                <w:b/>
                <w:bCs/>
                <w:color w:val="3F6212"/>
                <w:sz w:val="19"/>
                <w:szCs w:val="19"/>
              </w:rPr>
              <w:t xml:space="preserve">User</w:t>
            </w:r>
          </w:p>
        </w:tc>
        <w:tc>
          <w:tcPr>
            <w:tcW w:type="dxa" w:w="1380"/>
            <w:tcBorders>
              <w:top w:val="single" w:color="C9D2E0" w:sz="1"/>
              <w:left w:val="single" w:color="C9D2E0" w:sz="1"/>
              <w:bottom w:val="single" w:color="C9D2E0" w:sz="1"/>
              <w:right w:val="single" w:color="C9D2E0" w:sz="1"/>
            </w:tcBorders>
            <w:shd w:fill="FCE9D8" w:color="auto" w:val="clear"/>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Lemon</w:t>
            </w:r>
          </w:p>
        </w:tc>
        <w:tc>
          <w:tcPr>
            <w:tcW w:type="dxa" w:w="23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B45309"/>
                <w:sz w:val="17"/>
                <w:szCs w:val="17"/>
              </w:rPr>
              <w:t xml:space="preserve">User→Lemon</w:t>
            </w:r>
          </w:p>
        </w:tc>
      </w:tr>
      <w:tr>
        <w:trPr>
          <w:cantSplit/>
        </w:trPr>
        <w:tc>
          <w:tcPr>
            <w:tcW w:type="dxa" w:w="7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25</w:t>
            </w:r>
          </w:p>
        </w:tc>
        <w:tc>
          <w:tcPr>
            <w:tcW w:type="dxa" w:w="34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Card-not-present (Xsolla) ★</w:t>
            </w:r>
          </w:p>
        </w:tc>
        <w:tc>
          <w:tcPr>
            <w:tcW w:type="dxa" w:w="1380"/>
            <w:tcBorders>
              <w:top w:val="single" w:color="C9D2E0" w:sz="1"/>
              <w:left w:val="single" w:color="C9D2E0" w:sz="1"/>
              <w:bottom w:val="single" w:color="C9D2E0" w:sz="1"/>
              <w:right w:val="single" w:color="C9D2E0" w:sz="1"/>
            </w:tcBorders>
            <w:shd w:fill="DDEBD8" w:color="auto" w:val="clear"/>
            <w:tcMar>
              <w:top w:type="dxa" w:w="70"/>
              <w:left w:type="dxa" w:w="110"/>
              <w:bottom w:type="dxa" w:w="70"/>
              <w:right w:type="dxa" w:w="110"/>
            </w:tcMar>
            <w:vAlign w:val="center"/>
          </w:tcPr>
          <w:p>
            <w:pPr>
              <w:spacing w:after="0"/>
              <w:jc w:val="center"/>
            </w:pPr>
            <w:r>
              <w:rPr>
                <w:rFonts w:ascii="Arial" w:cs="Arial" w:eastAsia="Arial" w:hAnsi="Arial"/>
                <w:b/>
                <w:bCs/>
                <w:color w:val="3F6212"/>
                <w:sz w:val="19"/>
                <w:szCs w:val="19"/>
              </w:rPr>
              <w:t xml:space="preserve">User</w:t>
            </w:r>
          </w:p>
        </w:tc>
        <w:tc>
          <w:tcPr>
            <w:tcW w:type="dxa" w:w="1380"/>
            <w:tcBorders>
              <w:top w:val="single" w:color="C9D2E0" w:sz="1"/>
              <w:left w:val="single" w:color="C9D2E0" w:sz="1"/>
              <w:bottom w:val="single" w:color="C9D2E0" w:sz="1"/>
              <w:right w:val="single" w:color="C9D2E0" w:sz="1"/>
            </w:tcBorders>
            <w:shd w:fill="FCE9D8" w:color="auto" w:val="clear"/>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Lemon</w:t>
            </w:r>
          </w:p>
        </w:tc>
        <w:tc>
          <w:tcPr>
            <w:tcW w:type="dxa" w:w="23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B45309"/>
                <w:sz w:val="17"/>
                <w:szCs w:val="17"/>
              </w:rPr>
              <w:t xml:space="preserve">User→Lemon</w:t>
            </w:r>
          </w:p>
        </w:tc>
      </w:tr>
      <w:tr>
        <w:trPr>
          <w:cantSplit/>
        </w:trPr>
        <w:tc>
          <w:tcPr>
            <w:tcW w:type="dxa" w:w="7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27</w:t>
            </w:r>
          </w:p>
        </w:tc>
        <w:tc>
          <w:tcPr>
            <w:tcW w:type="dxa" w:w="34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Card-not-present (ABL tax)</w:t>
            </w:r>
          </w:p>
        </w:tc>
        <w:tc>
          <w:tcPr>
            <w:tcW w:type="dxa" w:w="1380"/>
            <w:tcBorders>
              <w:top w:val="single" w:color="C9D2E0" w:sz="1"/>
              <w:left w:val="single" w:color="C9D2E0" w:sz="1"/>
              <w:bottom w:val="single" w:color="C9D2E0" w:sz="1"/>
              <w:right w:val="single" w:color="C9D2E0" w:sz="1"/>
            </w:tcBorders>
            <w:shd w:fill="DDEBD8" w:color="auto" w:val="clear"/>
            <w:tcMar>
              <w:top w:type="dxa" w:w="70"/>
              <w:left w:type="dxa" w:w="110"/>
              <w:bottom w:type="dxa" w:w="70"/>
              <w:right w:type="dxa" w:w="110"/>
            </w:tcMar>
            <w:vAlign w:val="center"/>
          </w:tcPr>
          <w:p>
            <w:pPr>
              <w:spacing w:after="0"/>
              <w:jc w:val="center"/>
            </w:pPr>
            <w:r>
              <w:rPr>
                <w:rFonts w:ascii="Arial" w:cs="Arial" w:eastAsia="Arial" w:hAnsi="Arial"/>
                <w:b/>
                <w:bCs/>
                <w:color w:val="3F6212"/>
                <w:sz w:val="19"/>
                <w:szCs w:val="19"/>
              </w:rPr>
              <w:t xml:space="preserve">User</w:t>
            </w:r>
          </w:p>
        </w:tc>
        <w:tc>
          <w:tcPr>
            <w:tcW w:type="dxa" w:w="1380"/>
            <w:tcBorders>
              <w:top w:val="single" w:color="C9D2E0" w:sz="1"/>
              <w:left w:val="single" w:color="C9D2E0" w:sz="1"/>
              <w:bottom w:val="single" w:color="C9D2E0" w:sz="1"/>
              <w:right w:val="single" w:color="C9D2E0" w:sz="1"/>
            </w:tcBorders>
            <w:shd w:fill="FCE9D8" w:color="auto" w:val="clear"/>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Lemon</w:t>
            </w:r>
          </w:p>
        </w:tc>
        <w:tc>
          <w:tcPr>
            <w:tcW w:type="dxa" w:w="23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B45309"/>
                <w:sz w:val="17"/>
                <w:szCs w:val="17"/>
              </w:rPr>
              <w:t xml:space="preserve">User→Lemon</w:t>
            </w:r>
          </w:p>
        </w:tc>
      </w:tr>
      <w:tr>
        <w:trPr>
          <w:cantSplit/>
        </w:trPr>
        <w:tc>
          <w:tcPr>
            <w:tcW w:type="dxa" w:w="7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56</w:t>
            </w:r>
          </w:p>
        </w:tc>
        <w:tc>
          <w:tcPr>
            <w:tcW w:type="dxa" w:w="34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Unlisted-asset withdrawal</w:t>
            </w:r>
          </w:p>
        </w:tc>
        <w:tc>
          <w:tcPr>
            <w:tcW w:type="dxa" w:w="1380"/>
            <w:tcBorders>
              <w:top w:val="single" w:color="C9D2E0" w:sz="1"/>
              <w:left w:val="single" w:color="C9D2E0" w:sz="1"/>
              <w:bottom w:val="single" w:color="C9D2E0" w:sz="1"/>
              <w:right w:val="single" w:color="C9D2E0" w:sz="1"/>
            </w:tcBorders>
            <w:shd w:fill="DDEBD8" w:color="auto" w:val="clear"/>
            <w:tcMar>
              <w:top w:type="dxa" w:w="70"/>
              <w:left w:type="dxa" w:w="110"/>
              <w:bottom w:type="dxa" w:w="70"/>
              <w:right w:type="dxa" w:w="110"/>
            </w:tcMar>
            <w:vAlign w:val="center"/>
          </w:tcPr>
          <w:p>
            <w:pPr>
              <w:spacing w:after="0"/>
              <w:jc w:val="center"/>
            </w:pPr>
            <w:r>
              <w:rPr>
                <w:rFonts w:ascii="Arial" w:cs="Arial" w:eastAsia="Arial" w:hAnsi="Arial"/>
                <w:b/>
                <w:bCs/>
                <w:color w:val="3F6212"/>
                <w:sz w:val="19"/>
                <w:szCs w:val="19"/>
              </w:rPr>
              <w:t xml:space="preserve">User</w:t>
            </w:r>
          </w:p>
        </w:tc>
        <w:tc>
          <w:tcPr>
            <w:tcW w:type="dxa" w:w="1380"/>
            <w:tcBorders>
              <w:top w:val="single" w:color="C9D2E0" w:sz="1"/>
              <w:left w:val="single" w:color="C9D2E0" w:sz="1"/>
              <w:bottom w:val="single" w:color="C9D2E0" w:sz="1"/>
              <w:right w:val="single" w:color="C9D2E0" w:sz="1"/>
            </w:tcBorders>
            <w:shd w:fill="FCE9D8" w:color="auto" w:val="clear"/>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Lemon</w:t>
            </w:r>
          </w:p>
        </w:tc>
        <w:tc>
          <w:tcPr>
            <w:tcW w:type="dxa" w:w="23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B45309"/>
                <w:sz w:val="17"/>
                <w:szCs w:val="17"/>
              </w:rPr>
              <w:t xml:space="preserve">User→Lemon</w:t>
            </w:r>
          </w:p>
        </w:tc>
      </w:tr>
      <w:tr>
        <w:trPr>
          <w:cantSplit/>
        </w:trPr>
        <w:tc>
          <w:tcPr>
            <w:tcW w:type="dxa" w:w="7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80</w:t>
            </w:r>
          </w:p>
        </w:tc>
        <w:tc>
          <w:tcPr>
            <w:tcW w:type="dxa" w:w="34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Unlisted token (GRASS)</w:t>
            </w:r>
          </w:p>
        </w:tc>
        <w:tc>
          <w:tcPr>
            <w:tcW w:type="dxa" w:w="1380"/>
            <w:tcBorders>
              <w:top w:val="single" w:color="C9D2E0" w:sz="1"/>
              <w:left w:val="single" w:color="C9D2E0" w:sz="1"/>
              <w:bottom w:val="single" w:color="C9D2E0" w:sz="1"/>
              <w:right w:val="single" w:color="C9D2E0" w:sz="1"/>
            </w:tcBorders>
            <w:shd w:fill="DDEBD8" w:color="auto" w:val="clear"/>
            <w:tcMar>
              <w:top w:type="dxa" w:w="70"/>
              <w:left w:type="dxa" w:w="110"/>
              <w:bottom w:type="dxa" w:w="70"/>
              <w:right w:type="dxa" w:w="110"/>
            </w:tcMar>
            <w:vAlign w:val="center"/>
          </w:tcPr>
          <w:p>
            <w:pPr>
              <w:spacing w:after="0"/>
              <w:jc w:val="center"/>
            </w:pPr>
            <w:r>
              <w:rPr>
                <w:rFonts w:ascii="Arial" w:cs="Arial" w:eastAsia="Arial" w:hAnsi="Arial"/>
                <w:b/>
                <w:bCs/>
                <w:color w:val="3F6212"/>
                <w:sz w:val="19"/>
                <w:szCs w:val="19"/>
              </w:rPr>
              <w:t xml:space="preserve">User</w:t>
            </w:r>
          </w:p>
        </w:tc>
        <w:tc>
          <w:tcPr>
            <w:tcW w:type="dxa" w:w="1380"/>
            <w:tcBorders>
              <w:top w:val="single" w:color="C9D2E0" w:sz="1"/>
              <w:left w:val="single" w:color="C9D2E0" w:sz="1"/>
              <w:bottom w:val="single" w:color="C9D2E0" w:sz="1"/>
              <w:right w:val="single" w:color="C9D2E0" w:sz="1"/>
            </w:tcBorders>
            <w:shd w:fill="FCE9D8" w:color="auto" w:val="clear"/>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Lemon</w:t>
            </w:r>
          </w:p>
        </w:tc>
        <w:tc>
          <w:tcPr>
            <w:tcW w:type="dxa" w:w="23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B45309"/>
                <w:sz w:val="17"/>
                <w:szCs w:val="17"/>
              </w:rPr>
              <w:t xml:space="preserve">User→Lemon</w:t>
            </w:r>
          </w:p>
        </w:tc>
      </w:tr>
      <w:tr>
        <w:trPr>
          <w:cantSplit/>
        </w:trPr>
        <w:tc>
          <w:tcPr>
            <w:tcW w:type="dxa" w:w="7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81</w:t>
            </w:r>
          </w:p>
        </w:tc>
        <w:tc>
          <w:tcPr>
            <w:tcW w:type="dxa" w:w="34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Unlisted token (GRASS)</w:t>
            </w:r>
          </w:p>
        </w:tc>
        <w:tc>
          <w:tcPr>
            <w:tcW w:type="dxa" w:w="1380"/>
            <w:tcBorders>
              <w:top w:val="single" w:color="C9D2E0" w:sz="1"/>
              <w:left w:val="single" w:color="C9D2E0" w:sz="1"/>
              <w:bottom w:val="single" w:color="C9D2E0" w:sz="1"/>
              <w:right w:val="single" w:color="C9D2E0" w:sz="1"/>
            </w:tcBorders>
            <w:shd w:fill="DDEBD8" w:color="auto" w:val="clear"/>
            <w:tcMar>
              <w:top w:type="dxa" w:w="70"/>
              <w:left w:type="dxa" w:w="110"/>
              <w:bottom w:type="dxa" w:w="70"/>
              <w:right w:type="dxa" w:w="110"/>
            </w:tcMar>
            <w:vAlign w:val="center"/>
          </w:tcPr>
          <w:p>
            <w:pPr>
              <w:spacing w:after="0"/>
              <w:jc w:val="center"/>
            </w:pPr>
            <w:r>
              <w:rPr>
                <w:rFonts w:ascii="Arial" w:cs="Arial" w:eastAsia="Arial" w:hAnsi="Arial"/>
                <w:b/>
                <w:bCs/>
                <w:color w:val="3F6212"/>
                <w:sz w:val="19"/>
                <w:szCs w:val="19"/>
              </w:rPr>
              <w:t xml:space="preserve">User</w:t>
            </w:r>
          </w:p>
        </w:tc>
        <w:tc>
          <w:tcPr>
            <w:tcW w:type="dxa" w:w="1380"/>
            <w:tcBorders>
              <w:top w:val="single" w:color="C9D2E0" w:sz="1"/>
              <w:left w:val="single" w:color="C9D2E0" w:sz="1"/>
              <w:bottom w:val="single" w:color="C9D2E0" w:sz="1"/>
              <w:right w:val="single" w:color="C9D2E0" w:sz="1"/>
            </w:tcBorders>
            <w:shd w:fill="FCE9D8" w:color="auto" w:val="clear"/>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Lemon</w:t>
            </w:r>
          </w:p>
        </w:tc>
        <w:tc>
          <w:tcPr>
            <w:tcW w:type="dxa" w:w="23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B45309"/>
                <w:sz w:val="17"/>
                <w:szCs w:val="17"/>
              </w:rPr>
              <w:t xml:space="preserve">User→Lemon</w:t>
            </w:r>
          </w:p>
        </w:tc>
      </w:tr>
      <w:tr>
        <w:trPr>
          <w:cantSplit/>
        </w:trPr>
        <w:tc>
          <w:tcPr>
            <w:tcW w:type="dxa" w:w="7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85</w:t>
            </w:r>
          </w:p>
        </w:tc>
        <w:tc>
          <w:tcPr>
            <w:tcW w:type="dxa" w:w="34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Migration delay / valuation</w:t>
            </w:r>
          </w:p>
        </w:tc>
        <w:tc>
          <w:tcPr>
            <w:tcW w:type="dxa" w:w="1380"/>
            <w:tcBorders>
              <w:top w:val="single" w:color="C9D2E0" w:sz="1"/>
              <w:left w:val="single" w:color="C9D2E0" w:sz="1"/>
              <w:bottom w:val="single" w:color="C9D2E0" w:sz="1"/>
              <w:right w:val="single" w:color="C9D2E0" w:sz="1"/>
            </w:tcBorders>
            <w:shd w:fill="DDEBD8" w:color="auto" w:val="clear"/>
            <w:tcMar>
              <w:top w:type="dxa" w:w="70"/>
              <w:left w:type="dxa" w:w="110"/>
              <w:bottom w:type="dxa" w:w="70"/>
              <w:right w:type="dxa" w:w="110"/>
            </w:tcMar>
            <w:vAlign w:val="center"/>
          </w:tcPr>
          <w:p>
            <w:pPr>
              <w:spacing w:after="0"/>
              <w:jc w:val="center"/>
            </w:pPr>
            <w:r>
              <w:rPr>
                <w:rFonts w:ascii="Arial" w:cs="Arial" w:eastAsia="Arial" w:hAnsi="Arial"/>
                <w:b/>
                <w:bCs/>
                <w:color w:val="3F6212"/>
                <w:sz w:val="19"/>
                <w:szCs w:val="19"/>
              </w:rPr>
              <w:t xml:space="preserve">User</w:t>
            </w:r>
          </w:p>
        </w:tc>
        <w:tc>
          <w:tcPr>
            <w:tcW w:type="dxa" w:w="1380"/>
            <w:tcBorders>
              <w:top w:val="single" w:color="C9D2E0" w:sz="1"/>
              <w:left w:val="single" w:color="C9D2E0" w:sz="1"/>
              <w:bottom w:val="single" w:color="C9D2E0" w:sz="1"/>
              <w:right w:val="single" w:color="C9D2E0" w:sz="1"/>
            </w:tcBorders>
            <w:shd w:fill="FCE9D8" w:color="auto" w:val="clear"/>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Lemon</w:t>
            </w:r>
          </w:p>
        </w:tc>
        <w:tc>
          <w:tcPr>
            <w:tcW w:type="dxa" w:w="23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B45309"/>
                <w:sz w:val="17"/>
                <w:szCs w:val="17"/>
              </w:rPr>
              <w:t xml:space="preserve">User→Lemon</w:t>
            </w:r>
          </w:p>
        </w:tc>
      </w:tr>
      <w:tr>
        <w:trPr>
          <w:cantSplit/>
        </w:trPr>
        <w:tc>
          <w:tcPr>
            <w:tcW w:type="dxa" w:w="7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100</w:t>
            </w:r>
          </w:p>
        </w:tc>
        <w:tc>
          <w:tcPr>
            <w:tcW w:type="dxa" w:w="34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Duplicate transfer (Yape)</w:t>
            </w:r>
          </w:p>
        </w:tc>
        <w:tc>
          <w:tcPr>
            <w:tcW w:type="dxa" w:w="1380"/>
            <w:tcBorders>
              <w:top w:val="single" w:color="C9D2E0" w:sz="1"/>
              <w:left w:val="single" w:color="C9D2E0" w:sz="1"/>
              <w:bottom w:val="single" w:color="C9D2E0" w:sz="1"/>
              <w:right w:val="single" w:color="C9D2E0" w:sz="1"/>
            </w:tcBorders>
            <w:shd w:fill="DDEBD8" w:color="auto" w:val="clear"/>
            <w:tcMar>
              <w:top w:type="dxa" w:w="70"/>
              <w:left w:type="dxa" w:w="110"/>
              <w:bottom w:type="dxa" w:w="70"/>
              <w:right w:type="dxa" w:w="110"/>
            </w:tcMar>
            <w:vAlign w:val="center"/>
          </w:tcPr>
          <w:p>
            <w:pPr>
              <w:spacing w:after="0"/>
              <w:jc w:val="center"/>
            </w:pPr>
            <w:r>
              <w:rPr>
                <w:rFonts w:ascii="Arial" w:cs="Arial" w:eastAsia="Arial" w:hAnsi="Arial"/>
                <w:b/>
                <w:bCs/>
                <w:color w:val="3F6212"/>
                <w:sz w:val="19"/>
                <w:szCs w:val="19"/>
              </w:rPr>
              <w:t xml:space="preserve">User</w:t>
            </w:r>
          </w:p>
        </w:tc>
        <w:tc>
          <w:tcPr>
            <w:tcW w:type="dxa" w:w="1380"/>
            <w:tcBorders>
              <w:top w:val="single" w:color="C9D2E0" w:sz="1"/>
              <w:left w:val="single" w:color="C9D2E0" w:sz="1"/>
              <w:bottom w:val="single" w:color="C9D2E0" w:sz="1"/>
              <w:right w:val="single" w:color="C9D2E0" w:sz="1"/>
            </w:tcBorders>
            <w:shd w:fill="FCE9D8" w:color="auto" w:val="clear"/>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Lemon</w:t>
            </w:r>
          </w:p>
        </w:tc>
        <w:tc>
          <w:tcPr>
            <w:tcW w:type="dxa" w:w="23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B45309"/>
                <w:sz w:val="17"/>
                <w:szCs w:val="17"/>
              </w:rPr>
              <w:t xml:space="preserve">User→Lemon</w:t>
            </w:r>
          </w:p>
        </w:tc>
      </w:tr>
      <w:tr>
        <w:trPr>
          <w:cantSplit/>
        </w:trPr>
        <w:tc>
          <w:tcPr>
            <w:tcW w:type="dxa" w:w="7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1A1A1A"/>
                <w:sz w:val="19"/>
                <w:szCs w:val="19"/>
              </w:rPr>
              <w:t xml:space="preserve">117</w:t>
            </w:r>
          </w:p>
        </w:tc>
        <w:tc>
          <w:tcPr>
            <w:tcW w:type="dxa" w:w="346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1A1A1A"/>
                <w:sz w:val="19"/>
                <w:szCs w:val="19"/>
              </w:rPr>
              <w:t xml:space="preserve">Transfer not credited ★</w:t>
            </w:r>
          </w:p>
        </w:tc>
        <w:tc>
          <w:tcPr>
            <w:tcW w:type="dxa" w:w="1380"/>
            <w:tcBorders>
              <w:top w:val="single" w:color="C9D2E0" w:sz="1"/>
              <w:left w:val="single" w:color="C9D2E0" w:sz="1"/>
              <w:bottom w:val="single" w:color="C9D2E0" w:sz="1"/>
              <w:right w:val="single" w:color="C9D2E0" w:sz="1"/>
            </w:tcBorders>
            <w:shd w:fill="DDEBD8" w:color="auto" w:val="clear"/>
            <w:tcMar>
              <w:top w:type="dxa" w:w="70"/>
              <w:left w:type="dxa" w:w="110"/>
              <w:bottom w:type="dxa" w:w="70"/>
              <w:right w:type="dxa" w:w="110"/>
            </w:tcMar>
            <w:vAlign w:val="center"/>
          </w:tcPr>
          <w:p>
            <w:pPr>
              <w:spacing w:after="0"/>
              <w:jc w:val="center"/>
            </w:pPr>
            <w:r>
              <w:rPr>
                <w:rFonts w:ascii="Arial" w:cs="Arial" w:eastAsia="Arial" w:hAnsi="Arial"/>
                <w:b/>
                <w:bCs/>
                <w:color w:val="3F6212"/>
                <w:sz w:val="19"/>
                <w:szCs w:val="19"/>
              </w:rPr>
              <w:t xml:space="preserve">User</w:t>
            </w:r>
          </w:p>
        </w:tc>
        <w:tc>
          <w:tcPr>
            <w:tcW w:type="dxa" w:w="1380"/>
            <w:tcBorders>
              <w:top w:val="single" w:color="C9D2E0" w:sz="1"/>
              <w:left w:val="single" w:color="C9D2E0" w:sz="1"/>
              <w:bottom w:val="single" w:color="C9D2E0" w:sz="1"/>
              <w:right w:val="single" w:color="C9D2E0" w:sz="1"/>
            </w:tcBorders>
            <w:shd w:fill="FCE9D8" w:color="auto" w:val="clear"/>
            <w:tcMar>
              <w:top w:type="dxa" w:w="70"/>
              <w:left w:type="dxa" w:w="110"/>
              <w:bottom w:type="dxa" w:w="70"/>
              <w:right w:type="dxa" w:w="110"/>
            </w:tcMar>
            <w:vAlign w:val="center"/>
          </w:tcPr>
          <w:p>
            <w:pPr>
              <w:spacing w:after="0"/>
              <w:jc w:val="center"/>
            </w:pPr>
            <w:r>
              <w:rPr>
                <w:rFonts w:ascii="Arial" w:cs="Arial" w:eastAsia="Arial" w:hAnsi="Arial"/>
                <w:b/>
                <w:bCs/>
                <w:color w:val="B45309"/>
                <w:sz w:val="19"/>
                <w:szCs w:val="19"/>
              </w:rPr>
              <w:t xml:space="preserve">Lemon</w:t>
            </w:r>
          </w:p>
        </w:tc>
        <w:tc>
          <w:tcPr>
            <w:tcW w:type="dxa" w:w="2380"/>
            <w:tcBorders>
              <w:top w:val="single" w:color="C9D2E0" w:sz="1"/>
              <w:left w:val="single" w:color="C9D2E0" w:sz="1"/>
              <w:bottom w:val="single" w:color="C9D2E0" w:sz="1"/>
              <w:right w:val="single" w:color="C9D2E0" w:sz="1"/>
            </w:tcBorders>
            <w:tcMar>
              <w:top w:type="dxa" w:w="70"/>
              <w:left w:type="dxa" w:w="110"/>
              <w:bottom w:type="dxa" w:w="70"/>
              <w:right w:type="dxa" w:w="110"/>
            </w:tcMar>
            <w:vAlign w:val="center"/>
          </w:tcPr>
          <w:p>
            <w:pPr>
              <w:spacing w:after="0"/>
              <w:jc w:val="center"/>
            </w:pPr>
            <w:r>
              <w:rPr>
                <w:rFonts w:ascii="Arial" w:cs="Arial" w:eastAsia="Arial" w:hAnsi="Arial"/>
                <w:b/>
                <w:bCs/>
                <w:color w:val="B45309"/>
                <w:sz w:val="17"/>
                <w:szCs w:val="17"/>
              </w:rPr>
              <w:t xml:space="preserve">User→Lemon</w:t>
            </w:r>
          </w:p>
        </w:tc>
      </w:tr>
    </w:tbl>
    <w:p>
      <w:pPr>
        <w:spacing w:after="120" w:before="60"/>
      </w:pPr>
      <w:r>
        <w:rPr>
          <w:rFonts w:ascii="Arial" w:cs="Arial" w:eastAsia="Arial" w:hAnsi="Arial"/>
          <w:i/>
          <w:iCs/>
          <w:color w:val="555555"/>
          <w:sz w:val="17"/>
          <w:szCs w:val="17"/>
        </w:rPr>
        <w:t xml:space="preserve">★ = v4.7 reached this verdict with High confidence.</w:t>
      </w:r>
    </w:p>
    <w:p>
      <w:pPr>
        <w:pStyle w:val="Heading2"/>
        <w:spacing w:after="120" w:before="220"/>
      </w:pPr>
      <w:r>
        <w:rPr>
          <w:rFonts w:ascii="Arial" w:cs="Arial" w:eastAsia="Arial" w:hAnsi="Arial"/>
        </w:rPr>
        <w:t xml:space="preserve">The two high-confidence reversals</w:t>
      </w:r>
    </w:p>
    <w:p>
      <w:pPr>
        <w:spacing w:after="120" w:line="276"/>
      </w:pPr>
      <w:r>
        <w:rPr>
          <w:rFonts w:ascii="Arial" w:cs="Arial" w:eastAsia="Arial" w:hAnsi="Arial"/>
        </w:rPr>
        <w:t xml:space="preserve">These matter most: v4.7 was not hedging — it ruled for the user with High confidence — and v4.8 still reversed.</w:t>
      </w:r>
    </w:p>
    <w:p>
      <w:pPr>
        <w:pBdr>
          <w:left w:val="single" w:color="2E5AAC" w:sz="18" w:space="8"/>
        </w:pBdr>
        <w:spacing w:after="40" w:before="160"/>
      </w:pPr>
      <w:r>
        <w:rPr>
          <w:rFonts w:ascii="Arial" w:cs="Arial" w:eastAsia="Arial" w:hAnsi="Arial"/>
          <w:b/>
          <w:bCs/>
          <w:color w:val="1F2A44"/>
          <w:sz w:val="21"/>
          <w:szCs w:val="21"/>
        </w:rPr>
        <w:t xml:space="preserve">Case 25 — Card-not-present charge (Xsolla, ~USD 60)</w:t>
      </w:r>
    </w:p>
    <w:p>
      <w:pPr>
        <w:spacing w:after="80"/>
      </w:pPr>
      <w:r>
        <w:rPr>
          <w:rFonts w:ascii="Arial" w:cs="Arial" w:eastAsia="Arial" w:hAnsi="Arial"/>
          <w:b/>
          <w:bCs/>
          <w:i/>
          <w:iCs/>
          <w:color w:val="2E5AAC"/>
          <w:sz w:val="19"/>
          <w:szCs w:val="19"/>
        </w:rPr>
        <w:t xml:space="preserve">User (High) → Lemon (Medium)</w:t>
      </w:r>
    </w:p>
    <w:p>
      <w:pPr>
        <w:spacing w:after="60"/>
      </w:pPr>
      <w:r>
        <w:rPr>
          <w:rFonts w:ascii="Arial" w:cs="Arial" w:eastAsia="Arial" w:hAnsi="Arial"/>
          <w:b/>
          <w:bCs/>
          <w:color w:val="9A7B12"/>
        </w:rPr>
        <w:t xml:space="preserve">v4.7  </w:t>
      </w:r>
      <w:r>
        <w:rPr>
          <w:rFonts w:ascii="Arial" w:cs="Arial" w:eastAsia="Arial" w:hAnsi="Arial"/>
        </w:rPr>
        <w:t xml:space="preserve">Found a strong prima facie case of fraud: the card had been dormant since 2022, and the user’s only prior Xsolla purchase (2020) used a different payment method, so Lemon’s claim that he had “already given Xsolla this card’s data” was demonstrably wrong. With no 3DS, PIN or IP evidence from Lemon, it ruled for the user — one of only two user wins it marked High.</w:t>
      </w:r>
    </w:p>
    <w:p>
      <w:pPr>
        <w:spacing w:after="60"/>
      </w:pPr>
      <w:r>
        <w:rPr>
          <w:rFonts w:ascii="Arial" w:cs="Arial" w:eastAsia="Arial" w:hAnsi="Arial"/>
          <w:b/>
          <w:bCs/>
          <w:color w:val="2E5AAC"/>
        </w:rPr>
        <w:t xml:space="preserve">v4.8  </w:t>
      </w:r>
      <w:r>
        <w:rPr>
          <w:rFonts w:ascii="Arial" w:cs="Arial" w:eastAsia="Arial" w:hAnsi="Arial"/>
        </w:rPr>
        <w:t xml:space="preserve">Accepted that Lemon’s specific argument was weak, but held that a weak defence does not discharge the claimant’s burden. A card-not-present charge at a genuine processor indicates third-party data compromise, not a proven Lemon security failure, and a purely factual dispute does not trigger in dubio pro consumidor. Ruled for Lemon.</w:t>
      </w:r>
    </w:p>
    <w:p>
      <w:pPr>
        <w:shd w:fill="F2F4F8" w:color="auto" w:val="clear"/>
        <w:spacing w:after="60"/>
      </w:pPr>
      <w:r>
        <w:rPr>
          <w:rFonts w:ascii="Arial" w:cs="Arial" w:eastAsia="Arial" w:hAnsi="Arial"/>
          <w:b/>
          <w:bCs/>
          <w:color w:val="1F2A44"/>
        </w:rPr>
        <w:t xml:space="preserve">What changed  </w:t>
      </w:r>
      <w:r>
        <w:rPr>
          <w:rFonts w:ascii="Arial" w:cs="Arial" w:eastAsia="Arial" w:hAnsi="Arial"/>
        </w:rPr>
        <w:t xml:space="preserve">The burden of proof. v4.7 let a rebutted Lemon argument hand the user the win; v4.8 required independent proof of a Lemon breach and, finding none, defaulted to the platform. [D1, D4]</w:t>
      </w:r>
    </w:p>
    <w:p>
      <w:pPr>
        <w:pBdr>
          <w:left w:val="single" w:color="2E5AAC" w:sz="18" w:space="8"/>
        </w:pBdr>
        <w:spacing w:after="40" w:before="160"/>
      </w:pPr>
      <w:r>
        <w:rPr>
          <w:rFonts w:ascii="Arial" w:cs="Arial" w:eastAsia="Arial" w:hAnsi="Arial"/>
          <w:b/>
          <w:bCs/>
          <w:color w:val="1F2A44"/>
          <w:sz w:val="21"/>
          <w:szCs w:val="21"/>
        </w:rPr>
        <w:t xml:space="preserve">Case 117 — Transfer reported “not completed” (PEN 50)</w:t>
      </w:r>
    </w:p>
    <w:p>
      <w:pPr>
        <w:spacing w:after="80"/>
      </w:pPr>
      <w:r>
        <w:rPr>
          <w:rFonts w:ascii="Arial" w:cs="Arial" w:eastAsia="Arial" w:hAnsi="Arial"/>
          <w:b/>
          <w:bCs/>
          <w:i/>
          <w:iCs/>
          <w:color w:val="2E5AAC"/>
          <w:sz w:val="19"/>
          <w:szCs w:val="19"/>
        </w:rPr>
        <w:t xml:space="preserve">User (High) → Lemon (Medium)</w:t>
      </w:r>
    </w:p>
    <w:p>
      <w:pPr>
        <w:spacing w:after="60"/>
      </w:pPr>
      <w:r>
        <w:rPr>
          <w:rFonts w:ascii="Arial" w:cs="Arial" w:eastAsia="Arial" w:hAnsi="Arial"/>
          <w:b/>
          <w:bCs/>
          <w:color w:val="9A7B12"/>
        </w:rPr>
        <w:t xml:space="preserve">v4.7  </w:t>
      </w:r>
      <w:r>
        <w:rPr>
          <w:rFonts w:ascii="Arial" w:cs="Arial" w:eastAsia="Arial" w:hAnsi="Arial"/>
        </w:rPr>
        <w:t xml:space="preserve">Treated Lemon’s own “Constancia de envío” success voucher as a certification of a completed act; its retraction ~2 months later that the payment “no se realizó” — unexplained, unremediated, and carrying an unexplained operation-ID digit discrepancy — was a textbook transparency breach. High-confidence win for the user.</w:t>
      </w:r>
    </w:p>
    <w:p>
      <w:pPr>
        <w:spacing w:after="60"/>
      </w:pPr>
      <w:r>
        <w:rPr>
          <w:rFonts w:ascii="Arial" w:cs="Arial" w:eastAsia="Arial" w:hAnsi="Arial"/>
          <w:b/>
          <w:bCs/>
          <w:color w:val="2E5AAC"/>
        </w:rPr>
        <w:t xml:space="preserve">v4.8  </w:t>
      </w:r>
      <w:r>
        <w:rPr>
          <w:rFonts w:ascii="Arial" w:cs="Arial" w:eastAsia="Arial" w:hAnsi="Arial"/>
        </w:rPr>
        <w:t xml:space="preserve">Observed that both the user’s voucher and Lemon’s back-office panel show “Completada” to the exact recipient and CCI the user intended, and that the pivotal “no se realizó” notice was never actually put in evidence by either side. On the record before the panel the alleged failure is unproven. Ruled for Lemon — expressly its closest call.</w:t>
      </w:r>
    </w:p>
    <w:p>
      <w:pPr>
        <w:shd w:fill="F2F4F8" w:color="auto" w:val="clear"/>
        <w:spacing w:after="60"/>
      </w:pPr>
      <w:r>
        <w:rPr>
          <w:rFonts w:ascii="Arial" w:cs="Arial" w:eastAsia="Arial" w:hAnsi="Arial"/>
          <w:b/>
          <w:bCs/>
          <w:color w:val="1F2A44"/>
        </w:rPr>
        <w:t xml:space="preserve">What changed  </w:t>
      </w:r>
      <w:r>
        <w:rPr>
          <w:rFonts w:ascii="Arial" w:cs="Arial" w:eastAsia="Arial" w:hAnsi="Arial"/>
        </w:rPr>
        <w:t xml:space="preserve">v4.8 decides strictly on the produced record and will not infer a platform failure from an undocumented assertion; v4.7 inferred the breach from the contradiction itself. [D1, D5]</w:t>
      </w:r>
    </w:p>
    <w:p>
      <w:pPr>
        <w:pStyle w:val="Heading2"/>
        <w:spacing w:after="120" w:before="220"/>
      </w:pPr>
      <w:r>
        <w:rPr>
          <w:rFonts w:ascii="Arial" w:cs="Arial" w:eastAsia="Arial" w:hAnsi="Arial"/>
        </w:rPr>
        <w:t xml:space="preserve">The one consumer-ward flip</w:t>
      </w:r>
    </w:p>
    <w:p>
      <w:pPr>
        <w:pBdr>
          <w:left w:val="single" w:color="2E5AAC" w:sz="18" w:space="8"/>
        </w:pBdr>
        <w:spacing w:after="40" w:before="160"/>
      </w:pPr>
      <w:r>
        <w:rPr>
          <w:rFonts w:ascii="Arial" w:cs="Arial" w:eastAsia="Arial" w:hAnsi="Arial"/>
          <w:b/>
          <w:bCs/>
          <w:color w:val="1F2A44"/>
          <w:sz w:val="21"/>
          <w:szCs w:val="21"/>
        </w:rPr>
        <w:t xml:space="preserve">Case 4 — Unauthorised withdrawal after phone theft (USD 218)</w:t>
      </w:r>
    </w:p>
    <w:p>
      <w:pPr>
        <w:spacing w:after="80"/>
      </w:pPr>
      <w:r>
        <w:rPr>
          <w:rFonts w:ascii="Arial" w:cs="Arial" w:eastAsia="Arial" w:hAnsi="Arial"/>
          <w:b/>
          <w:bCs/>
          <w:i/>
          <w:iCs/>
          <w:color w:val="2E5AAC"/>
          <w:sz w:val="19"/>
          <w:szCs w:val="19"/>
        </w:rPr>
        <w:t xml:space="preserve">Lemon (Medium) → User (Medium)</w:t>
      </w:r>
    </w:p>
    <w:p>
      <w:pPr>
        <w:spacing w:after="60"/>
      </w:pPr>
      <w:r>
        <w:rPr>
          <w:rFonts w:ascii="Arial" w:cs="Arial" w:eastAsia="Arial" w:hAnsi="Arial"/>
          <w:b/>
          <w:bCs/>
          <w:color w:val="9A7B12"/>
        </w:rPr>
        <w:t xml:space="preserve">v4.7  </w:t>
      </w:r>
      <w:r>
        <w:rPr>
          <w:rFonts w:ascii="Arial" w:cs="Arial" w:eastAsia="Arial" w:hAnsi="Arial"/>
        </w:rPr>
        <w:t xml:space="preserve">Placed the burden on the user to show that Lemon’s security perimeter failed. The login log (same stolen device ID, valid credentials re-entered after the 5-minute timeout) located the breach at her own credential layer, so Protección and in dubio could not reallocate a loss caused by off-platform credential compromise. Ruled for Lemon.</w:t>
      </w:r>
    </w:p>
    <w:p>
      <w:pPr>
        <w:spacing w:after="60"/>
      </w:pPr>
      <w:r>
        <w:rPr>
          <w:rFonts w:ascii="Arial" w:cs="Arial" w:eastAsia="Arial" w:hAnsi="Arial"/>
          <w:b/>
          <w:bCs/>
          <w:color w:val="2E5AAC"/>
        </w:rPr>
        <w:t xml:space="preserve">v4.8  </w:t>
      </w:r>
      <w:r>
        <w:rPr>
          <w:rFonts w:ascii="Arial" w:cs="Arial" w:eastAsia="Arial" w:hAnsi="Arial"/>
        </w:rPr>
        <w:t xml:space="preserve">Read the same device-ID log as corroborating the documented street robbery 39 minutes earlier, and treated Lemon’s “she must have been phished” theory as speculative and unproven; the genuine doubt then resolved pro consumidor. Ruled for the user.</w:t>
      </w:r>
    </w:p>
    <w:p>
      <w:pPr>
        <w:shd w:fill="F2F4F8" w:color="auto" w:val="clear"/>
        <w:spacing w:after="60"/>
      </w:pPr>
      <w:r>
        <w:rPr>
          <w:rFonts w:ascii="Arial" w:cs="Arial" w:eastAsia="Arial" w:hAnsi="Arial"/>
          <w:b/>
          <w:bCs/>
          <w:color w:val="1F2A44"/>
        </w:rPr>
        <w:t xml:space="preserve">What changed  </w:t>
      </w:r>
      <w:r>
        <w:rPr>
          <w:rFonts w:ascii="Arial" w:cs="Arial" w:eastAsia="Arial" w:hAnsi="Arial"/>
        </w:rPr>
        <w:t xml:space="preserve">The same evidentiary rigour that elsewhere favours the platform here cut the other way: v4.8 demanded Lemon prove its exculpatory theory and, finding it unproven, found for the consumer. This is the clearest evidence that the shift is about burden and proof, not a fixed bias toward Lemon. [D4, D5]</w:t>
      </w:r>
    </w:p>
    <w:p>
      <w:pPr>
        <w:pStyle w:val="Heading2"/>
        <w:spacing w:after="120" w:before="220"/>
      </w:pPr>
      <w:r>
        <w:rPr>
          <w:rFonts w:ascii="Arial" w:cs="Arial" w:eastAsia="Arial" w:hAnsi="Arial"/>
        </w:rPr>
        <w:t xml:space="preserve">The remaining eight platform-ward flips</w:t>
      </w:r>
    </w:p>
    <w:p>
      <w:pPr>
        <w:spacing w:after="120" w:line="276"/>
      </w:pPr>
      <w:r>
        <w:rPr>
          <w:rFonts w:ascii="Arial" w:cs="Arial" w:eastAsia="Arial" w:hAnsi="Arial"/>
        </w:rPr>
        <w:t xml:space="preserve">Same pattern, smaller individually but cumulative in effect. Each gives v4.7’s rationale, v4.8’s rationale, and the operative drivers.</w:t>
      </w:r>
    </w:p>
    <w:p>
      <w:pPr>
        <w:pBdr>
          <w:left w:val="single" w:color="C9D2E0" w:sz="14" w:space="8"/>
        </w:pBdr>
        <w:spacing w:after="30" w:before="120"/>
      </w:pPr>
      <w:r>
        <w:rPr>
          <w:rFonts w:ascii="Arial" w:cs="Arial" w:eastAsia="Arial" w:hAnsi="Arial"/>
          <w:b/>
          <w:bCs/>
          <w:color w:val="1F2A44"/>
          <w:sz w:val="20"/>
          <w:szCs w:val="20"/>
        </w:rPr>
        <w:t xml:space="preserve">Case 7 — Wrong-network deposit (250 USDC)   </w:t>
      </w:r>
      <w:r>
        <w:rPr>
          <w:rFonts w:ascii="Arial" w:cs="Arial" w:eastAsia="Arial" w:hAnsi="Arial"/>
          <w:b/>
          <w:bCs/>
          <w:color w:val="2E5AAC"/>
          <w:sz w:val="17"/>
          <w:szCs w:val="17"/>
        </w:rPr>
        <w:t xml:space="preserve">[D1, D3, D5]</w:t>
      </w:r>
    </w:p>
    <w:p>
      <w:pPr>
        <w:spacing w:after="40"/>
      </w:pPr>
      <w:r>
        <w:rPr>
          <w:rFonts w:ascii="Arial" w:cs="Arial" w:eastAsia="Arial" w:hAnsi="Arial"/>
          <w:b/>
          <w:bCs/>
          <w:color w:val="9A7B12"/>
        </w:rPr>
        <w:t xml:space="preserve">v4.7  </w:t>
      </w:r>
      <w:r>
        <w:rPr>
          <w:rFonts w:ascii="Arial" w:cs="Arial" w:eastAsia="Arial" w:hAnsi="Arial"/>
        </w:rPr>
        <w:t xml:space="preserve">An unrebutted on-chain trail to a Lemon address and onward to Binance, plus Lemon’s “working with the provider to refund” admission, showed recovery was feasible.</w:t>
      </w:r>
    </w:p>
    <w:p>
      <w:pPr>
        <w:spacing w:after="80"/>
      </w:pPr>
      <w:r>
        <w:rPr>
          <w:rFonts w:ascii="Arial" w:cs="Arial" w:eastAsia="Arial" w:hAnsi="Arial"/>
          <w:b/>
          <w:bCs/>
          <w:color w:val="2E5AAC"/>
        </w:rPr>
        <w:t xml:space="preserve">v4.8  </w:t>
      </w:r>
      <w:r>
        <w:rPr>
          <w:rFonts w:ascii="Arial" w:cs="Arial" w:eastAsia="Arial" w:hAnsi="Arial"/>
        </w:rPr>
        <w:t xml:space="preserve">The explorer images show only truncated “0x” fields, so “Lemon has access” is unproven; the user conceded the T&amp;C disclosed the unsupported-network risk, so the loss is his own authorised act.</w:t>
      </w:r>
    </w:p>
    <w:p>
      <w:pPr>
        <w:pBdr>
          <w:left w:val="single" w:color="C9D2E0" w:sz="14" w:space="8"/>
        </w:pBdr>
        <w:spacing w:after="30" w:before="120"/>
      </w:pPr>
      <w:r>
        <w:rPr>
          <w:rFonts w:ascii="Arial" w:cs="Arial" w:eastAsia="Arial" w:hAnsi="Arial"/>
          <w:b/>
          <w:bCs/>
          <w:color w:val="1F2A44"/>
          <w:sz w:val="20"/>
          <w:szCs w:val="20"/>
        </w:rPr>
        <w:t xml:space="preserve">Case 11 — Disputed merchant charge (ARS 15,494)   </w:t>
      </w:r>
      <w:r>
        <w:rPr>
          <w:rFonts w:ascii="Arial" w:cs="Arial" w:eastAsia="Arial" w:hAnsi="Arial"/>
          <w:b/>
          <w:bCs/>
          <w:color w:val="2E5AAC"/>
          <w:sz w:val="17"/>
          <w:szCs w:val="17"/>
        </w:rPr>
        <w:t xml:space="preserve">[D1, D5]</w:t>
      </w:r>
    </w:p>
    <w:p>
      <w:pPr>
        <w:spacing w:after="40"/>
      </w:pPr>
      <w:r>
        <w:rPr>
          <w:rFonts w:ascii="Arial" w:cs="Arial" w:eastAsia="Arial" w:hAnsi="Arial"/>
          <w:b/>
          <w:bCs/>
          <w:color w:val="9A7B12"/>
        </w:rPr>
        <w:t xml:space="preserve">v4.7  </w:t>
      </w:r>
      <w:r>
        <w:rPr>
          <w:rFonts w:ascii="Arial" w:cs="Arial" w:eastAsia="Arial" w:hAnsi="Arial"/>
        </w:rPr>
        <w:t xml:space="preserve">Two unrebutted processor emails (“no record of the payment”) shifted the burden to Lemon, which offered only behavioural proxies.</w:t>
      </w:r>
    </w:p>
    <w:p>
      <w:pPr>
        <w:spacing w:after="80"/>
      </w:pPr>
      <w:r>
        <w:rPr>
          <w:rFonts w:ascii="Arial" w:cs="Arial" w:eastAsia="Arial" w:hAnsi="Arial"/>
          <w:b/>
          <w:bCs/>
          <w:color w:val="2E5AAC"/>
        </w:rPr>
        <w:t xml:space="preserve">v4.8  </w:t>
      </w:r>
      <w:r>
        <w:rPr>
          <w:rFonts w:ascii="Arial" w:cs="Arial" w:eastAsia="Arial" w:hAnsi="Arial"/>
        </w:rPr>
        <w:t xml:space="preserve">A “no record / ask your bank” reply is a routine deflection, not proof of fraud; the user’s own same-day cashback conversion evidences account control.</w:t>
      </w:r>
    </w:p>
    <w:p>
      <w:pPr>
        <w:pBdr>
          <w:left w:val="single" w:color="C9D2E0" w:sz="14" w:space="8"/>
        </w:pBdr>
        <w:spacing w:after="30" w:before="120"/>
      </w:pPr>
      <w:r>
        <w:rPr>
          <w:rFonts w:ascii="Arial" w:cs="Arial" w:eastAsia="Arial" w:hAnsi="Arial"/>
          <w:b/>
          <w:bCs/>
          <w:color w:val="1F2A44"/>
          <w:sz w:val="20"/>
          <w:szCs w:val="20"/>
        </w:rPr>
        <w:t xml:space="preserve">Case 27 — Card-not-present charge (ABL tax, ARS 7,172)   </w:t>
      </w:r>
      <w:r>
        <w:rPr>
          <w:rFonts w:ascii="Arial" w:cs="Arial" w:eastAsia="Arial" w:hAnsi="Arial"/>
          <w:b/>
          <w:bCs/>
          <w:color w:val="2E5AAC"/>
          <w:sz w:val="17"/>
          <w:szCs w:val="17"/>
        </w:rPr>
        <w:t xml:space="preserve">[D1, D4, D5]</w:t>
      </w:r>
    </w:p>
    <w:p>
      <w:pPr>
        <w:spacing w:after="40"/>
      </w:pPr>
      <w:r>
        <w:rPr>
          <w:rFonts w:ascii="Arial" w:cs="Arial" w:eastAsia="Arial" w:hAnsi="Arial"/>
          <w:b/>
          <w:bCs/>
          <w:color w:val="9A7B12"/>
        </w:rPr>
        <w:t xml:space="preserve">v4.7  </w:t>
      </w:r>
      <w:r>
        <w:rPr>
          <w:rFonts w:ascii="Arial" w:cs="Arial" w:eastAsia="Arial" w:hAnsi="Arial"/>
        </w:rPr>
        <w:t xml:space="preserve">A coherent, document-supported denial (Chaco resident vs a Buenos Aires city tax) set against Lemon’s failure to produce any device/IP/3DS data within its control.</w:t>
      </w:r>
    </w:p>
    <w:p>
      <w:pPr>
        <w:spacing w:after="80"/>
      </w:pPr>
      <w:r>
        <w:rPr>
          <w:rFonts w:ascii="Arial" w:cs="Arial" w:eastAsia="Arial" w:hAnsi="Arial"/>
          <w:b/>
          <w:bCs/>
          <w:color w:val="2E5AAC"/>
        </w:rPr>
        <w:t xml:space="preserve">v4.8  </w:t>
      </w:r>
      <w:r>
        <w:rPr>
          <w:rFonts w:ascii="Arial" w:cs="Arial" w:eastAsia="Arial" w:hAnsi="Arial"/>
        </w:rPr>
        <w:t xml:space="preserve">Residence is location-independent for card-not-present fraud, and the dispute is factual rather than a term ambiguity, so no Lemon breach is shown and in dubio is not engaged.</w:t>
      </w:r>
    </w:p>
    <w:p>
      <w:pPr>
        <w:pBdr>
          <w:left w:val="single" w:color="C9D2E0" w:sz="14" w:space="8"/>
        </w:pBdr>
        <w:spacing w:after="30" w:before="120"/>
      </w:pPr>
      <w:r>
        <w:rPr>
          <w:rFonts w:ascii="Arial" w:cs="Arial" w:eastAsia="Arial" w:hAnsi="Arial"/>
          <w:b/>
          <w:bCs/>
          <w:color w:val="1F2A44"/>
          <w:sz w:val="20"/>
          <w:szCs w:val="20"/>
        </w:rPr>
        <w:t xml:space="preserve">Case 56 — Unlisted-asset withdrawal (WETH, ~USD 30)   </w:t>
      </w:r>
      <w:r>
        <w:rPr>
          <w:rFonts w:ascii="Arial" w:cs="Arial" w:eastAsia="Arial" w:hAnsi="Arial"/>
          <w:b/>
          <w:bCs/>
          <w:color w:val="2E5AAC"/>
          <w:sz w:val="17"/>
          <w:szCs w:val="17"/>
        </w:rPr>
        <w:t xml:space="preserve">[D1, D2, D3]</w:t>
      </w:r>
    </w:p>
    <w:p>
      <w:pPr>
        <w:spacing w:after="40"/>
      </w:pPr>
      <w:r>
        <w:rPr>
          <w:rFonts w:ascii="Arial" w:cs="Arial" w:eastAsia="Arial" w:hAnsi="Arial"/>
          <w:b/>
          <w:bCs/>
          <w:color w:val="9A7B12"/>
        </w:rPr>
        <w:t xml:space="preserve">v4.7  </w:t>
      </w:r>
      <w:r>
        <w:rPr>
          <w:rFonts w:ascii="Arial" w:cs="Arial" w:eastAsia="Arial" w:hAnsi="Arial"/>
        </w:rPr>
        <w:t xml:space="preserve">Lemon’s own “Retiro de Ethereum / Con éxito” screen displaying a WETH quantity was internally inconsistent and misleading; clause 13.7 could not override the disclosure duties.</w:t>
      </w:r>
    </w:p>
    <w:p>
      <w:pPr>
        <w:spacing w:after="80"/>
      </w:pPr>
      <w:r>
        <w:rPr>
          <w:rFonts w:ascii="Arial" w:cs="Arial" w:eastAsia="Arial" w:hAnsi="Arial"/>
          <w:b/>
          <w:bCs/>
          <w:color w:val="2E5AAC"/>
        </w:rPr>
        <w:t xml:space="preserve">v4.8  </w:t>
      </w:r>
      <w:r>
        <w:rPr>
          <w:rFonts w:ascii="Arial" w:cs="Arial" w:eastAsia="Arial" w:hAnsi="Arial"/>
        </w:rPr>
        <w:t xml:space="preserve">The screenshot shows a successful, user-authorised, irreversible withdrawal, and 13.7 is a legitimate operational limit consistent with the policy (an exchange cannot reflect a token it does not list).</w:t>
      </w:r>
    </w:p>
    <w:p>
      <w:pPr>
        <w:pBdr>
          <w:left w:val="single" w:color="C9D2E0" w:sz="14" w:space="8"/>
        </w:pBdr>
        <w:spacing w:after="30" w:before="120"/>
      </w:pPr>
      <w:r>
        <w:rPr>
          <w:rFonts w:ascii="Arial" w:cs="Arial" w:eastAsia="Arial" w:hAnsi="Arial"/>
          <w:b/>
          <w:bCs/>
          <w:color w:val="1F2A44"/>
          <w:sz w:val="20"/>
          <w:szCs w:val="20"/>
        </w:rPr>
        <w:t xml:space="preserve">Case 80 — Unlisted token GRASS (~USD 32)   </w:t>
      </w:r>
      <w:r>
        <w:rPr>
          <w:rFonts w:ascii="Arial" w:cs="Arial" w:eastAsia="Arial" w:hAnsi="Arial"/>
          <w:b/>
          <w:bCs/>
          <w:color w:val="2E5AAC"/>
          <w:sz w:val="17"/>
          <w:szCs w:val="17"/>
        </w:rPr>
        <w:t xml:space="preserve">[D3, D2, D1]</w:t>
      </w:r>
    </w:p>
    <w:p>
      <w:pPr>
        <w:spacing w:after="40"/>
      </w:pPr>
      <w:r>
        <w:rPr>
          <w:rFonts w:ascii="Arial" w:cs="Arial" w:eastAsia="Arial" w:hAnsi="Arial"/>
          <w:b/>
          <w:bCs/>
          <w:color w:val="9A7B12"/>
        </w:rPr>
        <w:t xml:space="preserve">v4.7  </w:t>
      </w:r>
      <w:r>
        <w:rPr>
          <w:rFonts w:ascii="Arial" w:cs="Arial" w:eastAsia="Arial" w:hAnsi="Arial"/>
        </w:rPr>
        <w:t xml:space="preserve">Lemon’s own FAQ (recovery for non-ERC20 networks from USD 1 at a 10% fee) was a binding offer it had to honour or rebut with case-specific impossibility.</w:t>
      </w:r>
    </w:p>
    <w:p>
      <w:pPr>
        <w:spacing w:after="80"/>
      </w:pPr>
      <w:r>
        <w:rPr>
          <w:rFonts w:ascii="Arial" w:cs="Arial" w:eastAsia="Arial" w:hAnsi="Arial"/>
          <w:b/>
          <w:bCs/>
          <w:color w:val="2E5AAC"/>
        </w:rPr>
        <w:t xml:space="preserve">v4.8  </w:t>
      </w:r>
      <w:r>
        <w:rPr>
          <w:rFonts w:ascii="Arial" w:cs="Arial" w:eastAsia="Arial" w:hAnsi="Arial"/>
        </w:rPr>
        <w:t xml:space="preserve">The FAQ is expressly conditional (“if we can recover them”), not a promise, and 13.7 governs the unlisted token; support had already told the user it was unrecoverable.</w:t>
      </w:r>
    </w:p>
    <w:p>
      <w:pPr>
        <w:pBdr>
          <w:left w:val="single" w:color="C9D2E0" w:sz="14" w:space="8"/>
        </w:pBdr>
        <w:spacing w:after="30" w:before="120"/>
      </w:pPr>
      <w:r>
        <w:rPr>
          <w:rFonts w:ascii="Arial" w:cs="Arial" w:eastAsia="Arial" w:hAnsi="Arial"/>
          <w:b/>
          <w:bCs/>
          <w:color w:val="1F2A44"/>
          <w:sz w:val="20"/>
          <w:szCs w:val="20"/>
        </w:rPr>
        <w:t xml:space="preserve">Case 81 — Unlisted token GRASS (~USD 80)   </w:t>
      </w:r>
      <w:r>
        <w:rPr>
          <w:rFonts w:ascii="Arial" w:cs="Arial" w:eastAsia="Arial" w:hAnsi="Arial"/>
          <w:b/>
          <w:bCs/>
          <w:color w:val="2E5AAC"/>
          <w:sz w:val="17"/>
          <w:szCs w:val="17"/>
        </w:rPr>
        <w:t xml:space="preserve">[D3, D2, D1]</w:t>
      </w:r>
    </w:p>
    <w:p>
      <w:pPr>
        <w:spacing w:after="40"/>
      </w:pPr>
      <w:r>
        <w:rPr>
          <w:rFonts w:ascii="Arial" w:cs="Arial" w:eastAsia="Arial" w:hAnsi="Arial"/>
          <w:b/>
          <w:bCs/>
          <w:color w:val="9A7B12"/>
        </w:rPr>
        <w:t xml:space="preserve">v4.7  </w:t>
      </w:r>
      <w:r>
        <w:rPr>
          <w:rFonts w:ascii="Arial" w:cs="Arial" w:eastAsia="Arial" w:hAnsi="Arial"/>
        </w:rPr>
        <w:t xml:space="preserve">Same FAQ-as-offer logic, reinforced by Lemon listing BSOL — proof it already operates the Solana network — so a blanket impossibility defence failed.</w:t>
      </w:r>
    </w:p>
    <w:p>
      <w:pPr>
        <w:spacing w:after="80"/>
      </w:pPr>
      <w:r>
        <w:rPr>
          <w:rFonts w:ascii="Arial" w:cs="Arial" w:eastAsia="Arial" w:hAnsi="Arial"/>
          <w:b/>
          <w:bCs/>
          <w:color w:val="2E5AAC"/>
        </w:rPr>
        <w:t xml:space="preserve">v4.8  </w:t>
      </w:r>
      <w:r>
        <w:rPr>
          <w:rFonts w:ascii="Arial" w:cs="Arial" w:eastAsia="Arial" w:hAnsi="Arial"/>
        </w:rPr>
        <w:t xml:space="preserve">Materially identical to Case 80: a conditional FAQ is no promise, there is no genuine ambiguity, and the user over-read an explicit condition.</w:t>
      </w:r>
    </w:p>
    <w:p>
      <w:pPr>
        <w:pBdr>
          <w:left w:val="single" w:color="C9D2E0" w:sz="14" w:space="8"/>
        </w:pBdr>
        <w:spacing w:after="30" w:before="120"/>
      </w:pPr>
      <w:r>
        <w:rPr>
          <w:rFonts w:ascii="Arial" w:cs="Arial" w:eastAsia="Arial" w:hAnsi="Arial"/>
          <w:b/>
          <w:bCs/>
          <w:color w:val="1F2A44"/>
          <w:sz w:val="20"/>
          <w:szCs w:val="20"/>
        </w:rPr>
        <w:t xml:space="preserve">Case 85 — Migration delay / lost upside (USD 28)   </w:t>
      </w:r>
      <w:r>
        <w:rPr>
          <w:rFonts w:ascii="Arial" w:cs="Arial" w:eastAsia="Arial" w:hAnsi="Arial"/>
          <w:b/>
          <w:bCs/>
          <w:color w:val="2E5AAC"/>
          <w:sz w:val="17"/>
          <w:szCs w:val="17"/>
        </w:rPr>
        <w:t xml:space="preserve">[D3, D1]</w:t>
      </w:r>
    </w:p>
    <w:p>
      <w:pPr>
        <w:spacing w:after="40"/>
      </w:pPr>
      <w:r>
        <w:rPr>
          <w:rFonts w:ascii="Arial" w:cs="Arial" w:eastAsia="Arial" w:hAnsi="Arial"/>
          <w:b/>
          <w:bCs/>
          <w:color w:val="9A7B12"/>
        </w:rPr>
        <w:t xml:space="preserve">v4.7  </w:t>
      </w:r>
      <w:r>
        <w:rPr>
          <w:rFonts w:ascii="Arial" w:cs="Arial" w:eastAsia="Arial" w:hAnsi="Arial"/>
        </w:rPr>
        <w:t xml:space="preserve">Parsed Lemon’s 9 Jan email as two distinct promises and found the dated 14/01 conversion was breached — credited only on 20/01, six days late.</w:t>
      </w:r>
    </w:p>
    <w:p>
      <w:pPr>
        <w:spacing w:after="80"/>
      </w:pPr>
      <w:r>
        <w:rPr>
          <w:rFonts w:ascii="Arial" w:cs="Arial" w:eastAsia="Arial" w:hAnsi="Arial"/>
          <w:b/>
          <w:bCs/>
          <w:color w:val="2E5AAC"/>
        </w:rPr>
        <w:t xml:space="preserve">v4.8  </w:t>
      </w:r>
      <w:r>
        <w:rPr>
          <w:rFonts w:ascii="Arial" w:cs="Arial" w:eastAsia="Arial" w:hAnsi="Arial"/>
        </w:rPr>
        <w:t xml:space="preserve">The email disclosed both the ~14/01 conversion and the possible multi-day limitation up front; the migration was 1:1, the loss is an unrealised theoretical gain, and the user conceded the message “fue claro.”</w:t>
      </w:r>
    </w:p>
    <w:p>
      <w:pPr>
        <w:pBdr>
          <w:left w:val="single" w:color="C9D2E0" w:sz="14" w:space="8"/>
        </w:pBdr>
        <w:spacing w:after="30" w:before="120"/>
      </w:pPr>
      <w:r>
        <w:rPr>
          <w:rFonts w:ascii="Arial" w:cs="Arial" w:eastAsia="Arial" w:hAnsi="Arial"/>
          <w:b/>
          <w:bCs/>
          <w:color w:val="1F2A44"/>
          <w:sz w:val="20"/>
          <w:szCs w:val="20"/>
        </w:rPr>
        <w:t xml:space="preserve">Case 100 — Duplicate transfer (Yape, S/ 100)   </w:t>
      </w:r>
      <w:r>
        <w:rPr>
          <w:rFonts w:ascii="Arial" w:cs="Arial" w:eastAsia="Arial" w:hAnsi="Arial"/>
          <w:b/>
          <w:bCs/>
          <w:color w:val="2E5AAC"/>
          <w:sz w:val="17"/>
          <w:szCs w:val="17"/>
        </w:rPr>
        <w:t xml:space="preserve">[D5, D1]</w:t>
      </w:r>
    </w:p>
    <w:p>
      <w:pPr>
        <w:spacing w:after="40"/>
      </w:pPr>
      <w:r>
        <w:rPr>
          <w:rFonts w:ascii="Arial" w:cs="Arial" w:eastAsia="Arial" w:hAnsi="Arial"/>
          <w:b/>
          <w:bCs/>
          <w:color w:val="9A7B12"/>
        </w:rPr>
        <w:t xml:space="preserve">v4.7  </w:t>
      </w:r>
      <w:r>
        <w:rPr>
          <w:rFonts w:ascii="Arial" w:cs="Arial" w:eastAsia="Arial" w:hAnsi="Arial"/>
        </w:rPr>
        <w:t xml:space="preserve">Identical metadata and the same free-text message 48 seconds apart were read as the signature of one retried transfer after a UI error that Lemon never rebutted point by point.</w:t>
      </w:r>
    </w:p>
    <w:p>
      <w:pPr>
        <w:spacing w:after="80"/>
      </w:pPr>
      <w:r>
        <w:rPr>
          <w:rFonts w:ascii="Arial" w:cs="Arial" w:eastAsia="Arial" w:hAnsi="Arial"/>
          <w:b/>
          <w:bCs/>
          <w:color w:val="2E5AAC"/>
        </w:rPr>
        <w:t xml:space="preserve">v4.8  </w:t>
      </w:r>
      <w:r>
        <w:rPr>
          <w:rFonts w:ascii="Arial" w:cs="Arial" w:eastAsia="Arial" w:hAnsi="Arial"/>
        </w:rPr>
        <w:t xml:space="preserve">The two cash-outs carry distinct operation numbers and transaction IDs to the same valid CCI — two separately-authorised transfers, not a system duplicate; non-receipt is a downstream Yape matter.</w:t>
      </w:r>
    </w:p>
    <w:p>
      <w:r>
        <w:br w:type="page"/>
      </w:r>
    </w:p>
    <w:p>
      <w:pPr>
        <w:pStyle w:val="Heading1"/>
        <w:spacing w:after="140" w:before="280"/>
      </w:pPr>
      <w:r>
        <w:rPr>
          <w:rFonts w:ascii="Arial" w:cs="Arial" w:eastAsia="Arial" w:hAnsi="Arial"/>
        </w:rPr>
        <w:t xml:space="preserve">What v4.8’s behaviour profile looks like</w:t>
      </w:r>
    </w:p>
    <w:p>
      <w:pPr>
        <w:spacing w:after="120" w:line="276"/>
      </w:pPr>
      <w:r>
        <w:rPr>
          <w:rFonts w:ascii="Arial" w:cs="Arial" w:eastAsia="Arial" w:hAnsi="Arial"/>
        </w:rPr>
        <w:t xml:space="preserve">Across this corpus v4.8 behaves like a stricter, more evidentialist juror. It anchors on the claimant’s burden of proof, decides on the record actually produced rather than on the most plausible inference, reads contractual terms as presumptively consistent with the governing policy, and treats the pro-consumer tie-breaker as a tool for ambiguous terms rather than for factual uncertainty. v4.7, by contrast, more readily shifted the burden to the platform once a claimant told a coherent story, treated the platform’s own vouchers, FAQs and UI as binding representations, and used a “catch-all clauses cannot override the consumer-protection policy” move to set aside terms it found one-sided.</w:t>
      </w:r>
    </w:p>
    <w:p>
      <w:pPr>
        <w:spacing w:after="120" w:line="276"/>
      </w:pPr>
      <w:r>
        <w:rPr>
          <w:rFonts w:ascii="Arial" w:cs="Arial" w:eastAsia="Arial" w:hAnsi="Arial"/>
        </w:rPr>
        <w:t xml:space="preserve">The net effect on this corpus is a nine-point swing toward the platform, but the driver is evidentiary rigour rather than a thumb on the scale for Lemon. Case 4 is the proof: applying the same demand for proof to Lemon’s exculpatory theory produced a win for the consumer. A model that simply favoured the company would not have flipped Case 4.</w:t>
      </w:r>
    </w:p>
    <w:p>
      <w:pPr>
        <w:pStyle w:val="Heading2"/>
        <w:spacing w:after="120" w:before="220"/>
      </w:pPr>
      <w:r>
        <w:rPr>
          <w:rFonts w:ascii="Arial" w:cs="Arial" w:eastAsia="Arial" w:hAnsi="Arial"/>
        </w:rPr>
        <w:t xml:space="preserve">Why it matters for deployment</w:t>
      </w:r>
    </w:p>
    <w:p>
      <w:pPr>
        <w:spacing w:after="120" w:line="276"/>
      </w:pPr>
      <w:r>
        <w:rPr>
          <w:rFonts w:ascii="Arial" w:cs="Arial" w:eastAsia="Arial" w:hAnsi="Arial"/>
        </w:rPr>
        <w:t xml:space="preserve">Which posture is “better” is partly a values choice, and the benchmark is useful precisely because it makes that choice visible. If the goal is consumer-protection-leaning adjudication, v4.8’s stricter burden may under-protect honest claimants who cannot produce platform-side evidence they never had access to — Cases 25, 27 and 117 are exactly that profile, where a sincere user with a coherent account loses because the decisive logs or notices sit with the platform. If the goal is rigorous, record-based neutrality that resists sympathy and unproven inference, v4.8 is the stronger and more defensible juror. Without the real Kleros rulings as ground truth, neither reading can be called more accurate; what can be said is that the two versions encode materially different theories of the burden of proof, and that difference is stable and legible, not random.</w:t>
      </w:r>
    </w:p>
    <w:p>
      <w:pPr>
        <w:shd w:fill="F2F4F8" w:color="auto" w:val="clear"/>
        <w:spacing w:after="120"/>
      </w:pPr>
      <w:r>
        <w:rPr>
          <w:rFonts w:ascii="Arial" w:cs="Arial" w:eastAsia="Arial" w:hAnsi="Arial"/>
          <w:b/>
          <w:bCs/>
        </w:rPr>
        <w:t xml:space="preserve">Practical flag. </w:t>
      </w:r>
      <w:r>
        <w:rPr>
          <w:rFonts w:ascii="Arial" w:cs="Arial" w:eastAsia="Arial" w:hAnsi="Arial"/>
        </w:rPr>
        <w:t xml:space="preserve">Cases that flip on burden-of-proof grounds (the D1 group) are the ones to watch as future versions ship. If a later version flips any of them back, that is a signal the adjudicative posture is still moving and should be reviewed before the juror is relied on for real disputes.</w:t>
      </w:r>
    </w:p>
    <w:p>
      <w:pPr>
        <w:pStyle w:val="Heading1"/>
        <w:spacing w:after="140" w:before="280"/>
      </w:pPr>
      <w:r>
        <w:rPr>
          <w:rFonts w:ascii="Arial" w:cs="Arial" w:eastAsia="Arial" w:hAnsi="Arial"/>
        </w:rPr>
        <w:t xml:space="preserve">Using and extending the benchmark</w:t>
      </w:r>
    </w:p>
    <w:p>
      <w:pPr>
        <w:spacing w:after="120" w:line="276"/>
      </w:pPr>
      <w:r>
        <w:rPr>
          <w:rFonts w:ascii="Arial" w:cs="Arial" w:eastAsia="Arial" w:hAnsi="Arial"/>
        </w:rPr>
        <w:t xml:space="preserve">To benchmark the next version, re-run the same 99 cases through it with the identical juror skill and inputs, then add its verdict and confidence as two new columns in the case matrix; the dashboard’s agreement and distribution figures and the flip log extend from there. Track three things over time: the rolling agreement rate against the previous version (how much each release moves), any case that flips more than once across versions (a sign of an unstable, genuinely borderline dispute), and — once the real on-chain outcomes are entered as a gold column — each version’s accuracy against ground truth. The first two are available today from the data in hand; the third converts this from a consistency tracker into a true accuracy benchmark and is the recommended next step.</w:t>
      </w:r>
    </w:p>
    <w:p>
      <w:pPr>
        <w:spacing w:before="40"/>
      </w:pPr>
      <w:r>
        <w:rPr>
          <w:rFonts w:ascii="Arial" w:cs="Arial" w:eastAsia="Arial" w:hAnsi="Arial"/>
          <w:b/>
          <w:bCs/>
        </w:rPr>
        <w:t xml:space="preserve">Deliverables: </w:t>
      </w:r>
      <w:r>
        <w:rPr>
          <w:rFonts w:ascii="Arial" w:cs="Arial" w:eastAsia="Arial" w:hAnsi="Arial"/>
          <w:i/>
          <w:iCs/>
        </w:rPr>
        <w:t xml:space="preserve">this report and the companion workbook Kleros_AI_Benchmark.xlsx (README &amp; methodology, formula-driven dashboard, 99-case matrix, flip log, change-driver taxonomy).</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Arial" w:cs="Arial" w:eastAsia="Arial" w:hAnsi="Arial"/>
        <w:color w:val="888888"/>
        <w:sz w:val="15"/>
        <w:szCs w:val="15"/>
      </w:rPr>
      <w:t xml:space="preserve">Page </w:t>
    </w:r>
    <w:r>
      <w:rPr>
        <w:rFonts w:ascii="Arial" w:cs="Arial" w:eastAsia="Arial" w:hAnsi="Arial"/>
        <w:color w:val="888888"/>
        <w:sz w:val="15"/>
        <w:szCs w:val="15"/>
      </w:rPr>
      <w:fldChar w:fldCharType="begin"/>
      <w:instrText xml:space="preserve">PAGE</w:instrText>
      <w:fldChar w:fldCharType="separate"/>
      <w:fldChar w:fldCharType="end"/>
    </w:r>
    <w:r>
      <w:rPr>
        <w:rFonts w:ascii="Arial" w:cs="Arial" w:eastAsia="Arial" w:hAnsi="Arial"/>
        <w:color w:val="888888"/>
        <w:sz w:val="15"/>
        <w:szCs w:val="15"/>
      </w:rPr>
      <w:t xml:space="preserve"> of </w:t>
    </w:r>
    <w:r>
      <w:rPr>
        <w:rFonts w:ascii="Arial" w:cs="Arial" w:eastAsia="Arial" w:hAnsi="Arial"/>
        <w:color w:val="888888"/>
        <w:sz w:val="15"/>
        <w:szCs w:val="15"/>
      </w:rPr>
      <w:fldChar w:fldCharType="begin"/>
      <w:instrText xml:space="preserve">NUMPAGES</w:instrText>
      <w:fldChar w:fldCharType="separate"/>
      <w:fldChar w:fldCharType="end"/>
    </w:r>
    <w:r>
      <w:rPr>
        <w:rFonts w:ascii="Arial" w:cs="Arial" w:eastAsia="Arial" w:hAnsi="Arial"/>
        <w:color w:val="AAAAAA"/>
        <w:sz w:val="14"/>
        <w:szCs w:val="14"/>
      </w:rPr>
      <w:t xml:space="preserve">   ·   Consistency benchmark, not a legal accuracy score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0" w:sz="4" w:space="4"/>
      </w:pBdr>
      <w:spacing w:after="0"/>
      <w:jc w:val="right"/>
    </w:pPr>
    <w:r>
      <w:rPr>
        <w:rFonts w:ascii="Arial" w:cs="Arial" w:eastAsia="Arial" w:hAnsi="Arial"/>
        <w:color w:val="888888"/>
        <w:sz w:val="15"/>
        <w:szCs w:val="15"/>
      </w:rPr>
      <w:t xml:space="preserve">Kleros AI Benchmark  ·  v4.7 → v4.8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2E0" w:sz="4" w:space="3"/>
      </w:pBdr>
      <w:spacing w:after="140" w:before="280"/>
      <w:outlineLvl w:val="0"/>
    </w:pPr>
    <w:rPr>
      <w:rFonts w:ascii="Arial" w:cs="Arial" w:eastAsia="Arial" w:hAnsi="Arial"/>
      <w:b/>
      <w:bCs/>
      <w:color w:val="1F2A4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AA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Kleros AI Benchmark — v4.7 vs v4.8 Comparison</dc:title>
  <dc:creator>Claude v4.8</dc:creator>
  <cp:lastModifiedBy>Un-named</cp:lastModifiedBy>
  <cp:revision>1</cp:revision>
  <dcterms:created xsi:type="dcterms:W3CDTF">2026-06-03T12:41:41.859Z</dcterms:created>
  <dcterms:modified xsi:type="dcterms:W3CDTF">2026-06-03T12:41:41.860Z</dcterms:modified>
</cp:coreProperties>
</file>

<file path=docProps/custom.xml><?xml version="1.0" encoding="utf-8"?>
<Properties xmlns="http://schemas.openxmlformats.org/officeDocument/2006/custom-properties" xmlns:vt="http://schemas.openxmlformats.org/officeDocument/2006/docPropsVTypes"/>
</file>