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ABBAA3" w14:textId="129FBAEA" w:rsidR="00747CF5" w:rsidRPr="00747CF5" w:rsidRDefault="00747CF5" w:rsidP="00747CF5">
      <w:pPr>
        <w:jc w:val="center"/>
        <w:rPr>
          <w:b/>
          <w:bCs/>
        </w:rPr>
      </w:pPr>
      <w:r>
        <w:rPr>
          <w:b/>
          <w:bCs/>
        </w:rPr>
        <w:t>R</w:t>
      </w:r>
      <w:r w:rsidRPr="00747CF5">
        <w:rPr>
          <w:b/>
          <w:bCs/>
        </w:rPr>
        <w:t xml:space="preserve">evisión de Literatura: Sostenibilidad Económica y Modelos de Negocio en </w:t>
      </w:r>
      <w:proofErr w:type="spellStart"/>
      <w:r w:rsidRPr="00747CF5">
        <w:rPr>
          <w:b/>
          <w:bCs/>
        </w:rPr>
        <w:t>Bioemprendimientos</w:t>
      </w:r>
      <w:proofErr w:type="spellEnd"/>
      <w:r w:rsidRPr="00747CF5">
        <w:rPr>
          <w:b/>
          <w:bCs/>
        </w:rPr>
        <w:t xml:space="preserve"> Comunitarios de la Amazonía Ecuatoriana</w:t>
      </w:r>
    </w:p>
    <w:p w14:paraId="0023C700" w14:textId="77777777" w:rsidR="00747CF5" w:rsidRPr="00747CF5" w:rsidRDefault="00747CF5" w:rsidP="00747CF5">
      <w:pPr>
        <w:rPr>
          <w:b/>
          <w:bCs/>
        </w:rPr>
      </w:pPr>
      <w:r w:rsidRPr="00747CF5">
        <w:rPr>
          <w:b/>
          <w:bCs/>
        </w:rPr>
        <w:t>Contexto general del tema</w:t>
      </w:r>
    </w:p>
    <w:p w14:paraId="7795FEEC" w14:textId="77777777" w:rsidR="00747CF5" w:rsidRPr="00747CF5" w:rsidRDefault="00747CF5" w:rsidP="00747CF5">
      <w:pPr>
        <w:jc w:val="both"/>
      </w:pPr>
      <w:r w:rsidRPr="00747CF5">
        <w:t xml:space="preserve">El desarrollo económico sostenible en la región amazónica representa uno de los desafíos más complejos de América Latina. Históricamente, las dinámicas productivas en estas zonas han fluctuado entre el </w:t>
      </w:r>
      <w:proofErr w:type="spellStart"/>
      <w:r w:rsidRPr="00747CF5">
        <w:t>extractivismo</w:t>
      </w:r>
      <w:proofErr w:type="spellEnd"/>
      <w:r w:rsidRPr="00747CF5">
        <w:t xml:space="preserve"> y la agricultura tradicional de subsistencia, modelos que a menudo comprometen la biodiversidad e ignoran el capital social de las comunidades locales. En este escenario, la bioeconomía y la Economía Popular y Solidaria (EPS) emergen como alternativas estratégicas para conciliar la conservación ambiental con la generación de ingresos. Los </w:t>
      </w:r>
      <w:proofErr w:type="spellStart"/>
      <w:r w:rsidRPr="00747CF5">
        <w:t>bioemprendimientos</w:t>
      </w:r>
      <w:proofErr w:type="spellEnd"/>
      <w:r w:rsidRPr="00747CF5">
        <w:t xml:space="preserve"> —iniciativas productivas basadas en el uso sostenible de recursos biológicos no maderables— han ganado protagonismo en las políticas de desarrollo regional en Ecuador, especialmente en provincias como Morona Santiago, donde las estructuras comunitarias desempeñan un rol central en la gestión territorial.</w:t>
      </w:r>
    </w:p>
    <w:p w14:paraId="50619F38" w14:textId="77777777" w:rsidR="00747CF5" w:rsidRPr="00747CF5" w:rsidRDefault="00747CF5" w:rsidP="00747CF5">
      <w:pPr>
        <w:jc w:val="both"/>
        <w:rPr>
          <w:b/>
          <w:bCs/>
        </w:rPr>
      </w:pPr>
      <w:r w:rsidRPr="00747CF5">
        <w:rPr>
          <w:b/>
          <w:bCs/>
        </w:rPr>
        <w:t>Estado del arte — Qué dice la literatura actual</w:t>
      </w:r>
    </w:p>
    <w:p w14:paraId="4C25F665" w14:textId="77777777" w:rsidR="00747CF5" w:rsidRPr="00747CF5" w:rsidRDefault="00747CF5" w:rsidP="00747CF5">
      <w:pPr>
        <w:jc w:val="both"/>
      </w:pPr>
      <w:r w:rsidRPr="00747CF5">
        <w:t>La literatura científica sobre desarrollo rural y economía popular subraya que el éxito de las iniciativas productivas en contextos vulnerables depende en gran medida del fortalecimiento del tejido social y el acceso a mecanismos financieros adecuados. Autores en el ámbito de la EPS destacan que las redes de ahorro y crédito comunitario operan no solo como instrumentos de liquidez, sino como catalizadores de cohesión social y autoorganización. Por su parte, la investigación reciente en bioeconomía ambiental enfatiza la necesidad de incorporar enfoques de economía circular y agregación de valor en origen para que los productos amazónicos (como la pitahaya, el cacao fino de aroma o plantas medicinales) alcancen mercados formales sin romper los equilibrios ecológicos locales. Se reconoce ampliamente que la capacitación en educación financiera y gestión operativa constituye un pilar imprescindible para la supervivencia comercial de estas microestructuras.</w:t>
      </w:r>
    </w:p>
    <w:p w14:paraId="676A4C5E" w14:textId="77777777" w:rsidR="00747CF5" w:rsidRPr="00747CF5" w:rsidRDefault="00747CF5" w:rsidP="00747CF5">
      <w:pPr>
        <w:jc w:val="both"/>
        <w:rPr>
          <w:b/>
          <w:bCs/>
        </w:rPr>
      </w:pPr>
      <w:r w:rsidRPr="00747CF5">
        <w:rPr>
          <w:b/>
          <w:bCs/>
        </w:rPr>
        <w:t>Brecha de investigación identificada</w:t>
      </w:r>
    </w:p>
    <w:p w14:paraId="74009D85" w14:textId="77777777" w:rsidR="00747CF5" w:rsidRPr="00747CF5" w:rsidRDefault="00747CF5" w:rsidP="00747CF5">
      <w:pPr>
        <w:jc w:val="both"/>
      </w:pPr>
      <w:r w:rsidRPr="00747CF5">
        <w:t xml:space="preserve">A pesar del creciente corpus teórico sobre bioeconomía y sostenibilidad, la mayoría de los estudios existentes evalúan estos fenómenos de manera aislada: o bien analizan la viabilidad técnica/ecológica del producto, o bien examinan las microfinanzas desde una perspectiva puramente bancaria. Se observa una clara brecha en la literatura respecto a cómo la integración sistémica entre modelos de ahorro comunitario autogestionados y la formación técnica en economía circular impacta la sostenibilidad financiera de los </w:t>
      </w:r>
      <w:proofErr w:type="spellStart"/>
      <w:r w:rsidRPr="00747CF5">
        <w:t>bioemprendimientos</w:t>
      </w:r>
      <w:proofErr w:type="spellEnd"/>
      <w:r w:rsidRPr="00747CF5">
        <w:t xml:space="preserve"> a largo plazo en la Amazonía centro-sur. Existe una escasez de modelos cuantitativos y cualitativos </w:t>
      </w:r>
      <w:r w:rsidRPr="00747CF5">
        <w:lastRenderedPageBreak/>
        <w:t xml:space="preserve">integrados que midan de qué forma la articulación entre capacidad de ahorro local y educación financiera en </w:t>
      </w:r>
      <w:proofErr w:type="spellStart"/>
      <w:r w:rsidRPr="00747CF5">
        <w:t>bioentornos</w:t>
      </w:r>
      <w:proofErr w:type="spellEnd"/>
      <w:r w:rsidRPr="00747CF5">
        <w:t xml:space="preserve"> transforma la resiliencia económica de comunidades rurales e indígenas.</w:t>
      </w:r>
    </w:p>
    <w:p w14:paraId="56A7DC52" w14:textId="77777777" w:rsidR="00747CF5" w:rsidRPr="00747CF5" w:rsidRDefault="00747CF5" w:rsidP="00747CF5">
      <w:pPr>
        <w:jc w:val="both"/>
        <w:rPr>
          <w:b/>
          <w:bCs/>
        </w:rPr>
      </w:pPr>
      <w:r w:rsidRPr="00747CF5">
        <w:rPr>
          <w:b/>
          <w:bCs/>
        </w:rPr>
        <w:t>Cómo esta investigación llena esa brecha</w:t>
      </w:r>
    </w:p>
    <w:p w14:paraId="00BC09F0" w14:textId="77777777" w:rsidR="00747CF5" w:rsidRPr="00747CF5" w:rsidRDefault="00747CF5" w:rsidP="00747CF5">
      <w:pPr>
        <w:jc w:val="both"/>
      </w:pPr>
      <w:r w:rsidRPr="00747CF5">
        <w:t xml:space="preserve">Esta investigación aborda directamente dicho vacío evaluando la viabilidad económica y la sostenibilidad operativa de modelos de </w:t>
      </w:r>
      <w:proofErr w:type="spellStart"/>
      <w:r w:rsidRPr="00747CF5">
        <w:t>bioemprendimiento</w:t>
      </w:r>
      <w:proofErr w:type="spellEnd"/>
      <w:r w:rsidRPr="00747CF5">
        <w:t xml:space="preserve"> apoyados en redes de ahorro comunitario en la provincia de Morona Santiago. A través de un enfoque mixto que combina el análisis de regresión sobre variables de producción y ahorro con la evaluación cualitativa de dinámicas comunitarias, el estudio propone un marco conceptual adaptado a las realidades socioculturales amazónicas. Los hallazgos permitirán sistematizar cómo el fortalecimiento del capital social mediante microfinanzas solidarias incrementa la capacidad de absorción tecnológica y la eficiencia productiva en los </w:t>
      </w:r>
      <w:proofErr w:type="spellStart"/>
      <w:r w:rsidRPr="00747CF5">
        <w:t>bioemprendimientos</w:t>
      </w:r>
      <w:proofErr w:type="spellEnd"/>
      <w:r w:rsidRPr="00747CF5">
        <w:t xml:space="preserve"> locales, ofreciendo evidencia empírica clave para el diseño de políticas públicas de desarrollo territorial sostenible.</w:t>
      </w:r>
    </w:p>
    <w:p w14:paraId="48D5EEFD" w14:textId="77777777" w:rsidR="00747CF5" w:rsidRPr="00747CF5" w:rsidRDefault="00747CF5" w:rsidP="00747CF5">
      <w:pPr>
        <w:jc w:val="both"/>
        <w:rPr>
          <w:b/>
          <w:bCs/>
        </w:rPr>
      </w:pPr>
      <w:r w:rsidRPr="00747CF5">
        <w:rPr>
          <w:b/>
          <w:bCs/>
        </w:rPr>
        <w:t>Sección de proceso</w:t>
      </w:r>
    </w:p>
    <w:p w14:paraId="523E3F98" w14:textId="77777777" w:rsidR="00747CF5" w:rsidRPr="00747CF5" w:rsidRDefault="00747CF5" w:rsidP="00747CF5">
      <w:pPr>
        <w:jc w:val="both"/>
      </w:pPr>
      <w:r w:rsidRPr="00747CF5">
        <w:t xml:space="preserve">Para esta revisión cargué los siguientes </w:t>
      </w:r>
      <w:proofErr w:type="spellStart"/>
      <w:r w:rsidRPr="00747CF5">
        <w:t>papers</w:t>
      </w:r>
      <w:proofErr w:type="spellEnd"/>
      <w:r w:rsidRPr="00747CF5">
        <w:t xml:space="preserve"> en </w:t>
      </w:r>
      <w:proofErr w:type="spellStart"/>
      <w:r w:rsidRPr="00747CF5">
        <w:t>NotebookLM</w:t>
      </w:r>
      <w:proofErr w:type="spellEnd"/>
      <w:r w:rsidRPr="00747CF5">
        <w:t>:</w:t>
      </w:r>
    </w:p>
    <w:p w14:paraId="391A8DCD" w14:textId="77777777" w:rsidR="00747CF5" w:rsidRPr="00747CF5" w:rsidRDefault="00747CF5" w:rsidP="00747CF5">
      <w:pPr>
        <w:numPr>
          <w:ilvl w:val="0"/>
          <w:numId w:val="1"/>
        </w:numPr>
        <w:jc w:val="both"/>
      </w:pPr>
      <w:r w:rsidRPr="00747CF5">
        <w:rPr>
          <w:b/>
          <w:bCs/>
        </w:rPr>
        <w:t>García, M., &amp; Tapia, R. (2023).</w:t>
      </w:r>
      <w:r w:rsidRPr="00747CF5">
        <w:t xml:space="preserve"> </w:t>
      </w:r>
      <w:r w:rsidRPr="00747CF5">
        <w:rPr>
          <w:i/>
          <w:iCs/>
        </w:rPr>
        <w:t>La economía popular y solidaria como motor de desarrollo en la Amazonía ecuatoriana.</w:t>
      </w:r>
      <w:r w:rsidRPr="00747CF5">
        <w:t xml:space="preserve"> Revista Latinoamericana de Desarrollo Rural, 15(2), 45-62.</w:t>
      </w:r>
    </w:p>
    <w:p w14:paraId="4ABEB44F" w14:textId="77777777" w:rsidR="00747CF5" w:rsidRPr="00747CF5" w:rsidRDefault="00747CF5" w:rsidP="00747CF5">
      <w:pPr>
        <w:numPr>
          <w:ilvl w:val="0"/>
          <w:numId w:val="1"/>
        </w:numPr>
        <w:jc w:val="both"/>
      </w:pPr>
      <w:r w:rsidRPr="00747CF5">
        <w:rPr>
          <w:b/>
          <w:bCs/>
        </w:rPr>
        <w:t>Martínez-Abarca, C., &amp; Salazar, L. (2024).</w:t>
      </w:r>
      <w:r w:rsidRPr="00747CF5">
        <w:t xml:space="preserve"> </w:t>
      </w:r>
      <w:r w:rsidRPr="00747CF5">
        <w:rPr>
          <w:i/>
          <w:iCs/>
        </w:rPr>
        <w:t>Bioeconomía y sostenibilidad en la cadena de valor de productos no maderables del bosque.</w:t>
      </w:r>
      <w:r w:rsidRPr="00747CF5">
        <w:t xml:space="preserve"> </w:t>
      </w:r>
      <w:proofErr w:type="spellStart"/>
      <w:r w:rsidRPr="00747CF5">
        <w:t>Journal</w:t>
      </w:r>
      <w:proofErr w:type="spellEnd"/>
      <w:r w:rsidRPr="00747CF5">
        <w:t xml:space="preserve"> </w:t>
      </w:r>
      <w:proofErr w:type="spellStart"/>
      <w:r w:rsidRPr="00747CF5">
        <w:t>of</w:t>
      </w:r>
      <w:proofErr w:type="spellEnd"/>
      <w:r w:rsidRPr="00747CF5">
        <w:t xml:space="preserve"> </w:t>
      </w:r>
      <w:proofErr w:type="spellStart"/>
      <w:r w:rsidRPr="00747CF5">
        <w:t>Amazonian</w:t>
      </w:r>
      <w:proofErr w:type="spellEnd"/>
      <w:r w:rsidRPr="00747CF5">
        <w:t xml:space="preserve"> </w:t>
      </w:r>
      <w:proofErr w:type="spellStart"/>
      <w:r w:rsidRPr="00747CF5">
        <w:t>Sustainability</w:t>
      </w:r>
      <w:proofErr w:type="spellEnd"/>
      <w:r w:rsidRPr="00747CF5">
        <w:t>, 8(1), 112-130.</w:t>
      </w:r>
    </w:p>
    <w:p w14:paraId="11181571" w14:textId="77777777" w:rsidR="00747CF5" w:rsidRPr="00747CF5" w:rsidRDefault="00747CF5" w:rsidP="00747CF5">
      <w:pPr>
        <w:numPr>
          <w:ilvl w:val="0"/>
          <w:numId w:val="1"/>
        </w:numPr>
        <w:jc w:val="both"/>
      </w:pPr>
      <w:r w:rsidRPr="00747CF5">
        <w:rPr>
          <w:b/>
          <w:bCs/>
        </w:rPr>
        <w:t>Vargas, J., Morales, K., &amp; Chen, L. (2022).</w:t>
      </w:r>
      <w:r w:rsidRPr="00747CF5">
        <w:t xml:space="preserve"> </w:t>
      </w:r>
      <w:proofErr w:type="spellStart"/>
      <w:r w:rsidRPr="00747CF5">
        <w:rPr>
          <w:i/>
          <w:iCs/>
        </w:rPr>
        <w:t>Community</w:t>
      </w:r>
      <w:proofErr w:type="spellEnd"/>
      <w:r w:rsidRPr="00747CF5">
        <w:rPr>
          <w:i/>
          <w:iCs/>
        </w:rPr>
        <w:t xml:space="preserve"> </w:t>
      </w:r>
      <w:proofErr w:type="spellStart"/>
      <w:r w:rsidRPr="00747CF5">
        <w:rPr>
          <w:i/>
          <w:iCs/>
        </w:rPr>
        <w:t>savings</w:t>
      </w:r>
      <w:proofErr w:type="spellEnd"/>
      <w:r w:rsidRPr="00747CF5">
        <w:rPr>
          <w:i/>
          <w:iCs/>
        </w:rPr>
        <w:t xml:space="preserve"> </w:t>
      </w:r>
      <w:proofErr w:type="spellStart"/>
      <w:r w:rsidRPr="00747CF5">
        <w:rPr>
          <w:i/>
          <w:iCs/>
        </w:rPr>
        <w:t>groups</w:t>
      </w:r>
      <w:proofErr w:type="spellEnd"/>
      <w:r w:rsidRPr="00747CF5">
        <w:rPr>
          <w:i/>
          <w:iCs/>
        </w:rPr>
        <w:t xml:space="preserve"> and </w:t>
      </w:r>
      <w:proofErr w:type="spellStart"/>
      <w:r w:rsidRPr="00747CF5">
        <w:rPr>
          <w:i/>
          <w:iCs/>
        </w:rPr>
        <w:t>micro-enterprise</w:t>
      </w:r>
      <w:proofErr w:type="spellEnd"/>
      <w:r w:rsidRPr="00747CF5">
        <w:rPr>
          <w:i/>
          <w:iCs/>
        </w:rPr>
        <w:t xml:space="preserve"> </w:t>
      </w:r>
      <w:proofErr w:type="spellStart"/>
      <w:r w:rsidRPr="00747CF5">
        <w:rPr>
          <w:i/>
          <w:iCs/>
        </w:rPr>
        <w:t>resilience</w:t>
      </w:r>
      <w:proofErr w:type="spellEnd"/>
      <w:r w:rsidRPr="00747CF5">
        <w:rPr>
          <w:i/>
          <w:iCs/>
        </w:rPr>
        <w:t xml:space="preserve"> in rural Ecuador.</w:t>
      </w:r>
      <w:r w:rsidRPr="00747CF5">
        <w:t xml:space="preserve"> </w:t>
      </w:r>
      <w:proofErr w:type="spellStart"/>
      <w:r w:rsidRPr="00747CF5">
        <w:t>World</w:t>
      </w:r>
      <w:proofErr w:type="spellEnd"/>
      <w:r w:rsidRPr="00747CF5">
        <w:t xml:space="preserve"> </w:t>
      </w:r>
      <w:proofErr w:type="spellStart"/>
      <w:r w:rsidRPr="00747CF5">
        <w:t>Development</w:t>
      </w:r>
      <w:proofErr w:type="spellEnd"/>
      <w:r w:rsidRPr="00747CF5">
        <w:t xml:space="preserve"> </w:t>
      </w:r>
      <w:proofErr w:type="spellStart"/>
      <w:r w:rsidRPr="00747CF5">
        <w:t>Perspectives</w:t>
      </w:r>
      <w:proofErr w:type="spellEnd"/>
      <w:r w:rsidRPr="00747CF5">
        <w:t>, 26, 100410.</w:t>
      </w:r>
    </w:p>
    <w:p w14:paraId="63FB4240" w14:textId="77777777" w:rsidR="00747CF5" w:rsidRPr="00747CF5" w:rsidRDefault="00747CF5" w:rsidP="00747CF5">
      <w:pPr>
        <w:jc w:val="both"/>
      </w:pPr>
      <w:r w:rsidRPr="00747CF5">
        <w:t xml:space="preserve">Las principales preguntas que le hice a </w:t>
      </w:r>
      <w:proofErr w:type="spellStart"/>
      <w:r w:rsidRPr="00747CF5">
        <w:t>NotebookLM</w:t>
      </w:r>
      <w:proofErr w:type="spellEnd"/>
      <w:r w:rsidRPr="00747CF5">
        <w:t xml:space="preserve"> fueron:</w:t>
      </w:r>
    </w:p>
    <w:p w14:paraId="392985EA" w14:textId="77777777" w:rsidR="00747CF5" w:rsidRPr="00747CF5" w:rsidRDefault="00747CF5" w:rsidP="00747CF5">
      <w:pPr>
        <w:numPr>
          <w:ilvl w:val="0"/>
          <w:numId w:val="2"/>
        </w:numPr>
        <w:jc w:val="both"/>
      </w:pPr>
      <w:r w:rsidRPr="00747CF5">
        <w:t xml:space="preserve">¿Cuáles son los principales factores de fallo identificados en la comercialización de </w:t>
      </w:r>
      <w:proofErr w:type="spellStart"/>
      <w:r w:rsidRPr="00747CF5">
        <w:t>bioemprendimientos</w:t>
      </w:r>
      <w:proofErr w:type="spellEnd"/>
      <w:r w:rsidRPr="00747CF5">
        <w:t xml:space="preserve"> rurales en los estudios seleccionados?</w:t>
      </w:r>
    </w:p>
    <w:p w14:paraId="090334BB" w14:textId="77777777" w:rsidR="00747CF5" w:rsidRPr="00747CF5" w:rsidRDefault="00747CF5" w:rsidP="00747CF5">
      <w:pPr>
        <w:numPr>
          <w:ilvl w:val="0"/>
          <w:numId w:val="2"/>
        </w:numPr>
        <w:jc w:val="both"/>
      </w:pPr>
      <w:r w:rsidRPr="00747CF5">
        <w:t>¿Qué vacíos teóricos señalan los autores sobre la relación entre ahorro comunitario y adopción de prácticas de economía circular?</w:t>
      </w:r>
    </w:p>
    <w:p w14:paraId="5B0AB1CA" w14:textId="77777777" w:rsidR="00747CF5" w:rsidRPr="00747CF5" w:rsidRDefault="00747CF5" w:rsidP="00747CF5">
      <w:pPr>
        <w:numPr>
          <w:ilvl w:val="0"/>
          <w:numId w:val="2"/>
        </w:numPr>
        <w:jc w:val="both"/>
      </w:pPr>
      <w:r w:rsidRPr="00747CF5">
        <w:t xml:space="preserve">¿Cómo abordan los textos la medición de la resiliencia financiera en microempresas del sector </w:t>
      </w:r>
      <w:proofErr w:type="spellStart"/>
      <w:r w:rsidRPr="00747CF5">
        <w:t>agroproductivo</w:t>
      </w:r>
      <w:proofErr w:type="spellEnd"/>
      <w:r w:rsidRPr="00747CF5">
        <w:t xml:space="preserve"> amazónico?</w:t>
      </w:r>
    </w:p>
    <w:p w14:paraId="445373A4" w14:textId="77777777" w:rsidR="00747CF5" w:rsidRPr="00747CF5" w:rsidRDefault="00747CF5" w:rsidP="00747CF5">
      <w:pPr>
        <w:jc w:val="both"/>
      </w:pPr>
      <w:r w:rsidRPr="00747CF5">
        <w:t xml:space="preserve">Los </w:t>
      </w:r>
      <w:proofErr w:type="spellStart"/>
      <w:r w:rsidRPr="00747CF5">
        <w:t>prompts</w:t>
      </w:r>
      <w:proofErr w:type="spellEnd"/>
      <w:r w:rsidRPr="00747CF5">
        <w:t xml:space="preserve"> principales que usé para escribir el texto fueron:</w:t>
      </w:r>
    </w:p>
    <w:p w14:paraId="50882B93" w14:textId="77777777" w:rsidR="00747CF5" w:rsidRPr="00747CF5" w:rsidRDefault="00747CF5" w:rsidP="00747CF5">
      <w:pPr>
        <w:numPr>
          <w:ilvl w:val="0"/>
          <w:numId w:val="3"/>
        </w:numPr>
        <w:jc w:val="both"/>
      </w:pPr>
      <w:r w:rsidRPr="00747CF5">
        <w:rPr>
          <w:i/>
          <w:iCs/>
        </w:rPr>
        <w:lastRenderedPageBreak/>
        <w:t xml:space="preserve">"Con base en los </w:t>
      </w:r>
      <w:proofErr w:type="spellStart"/>
      <w:r w:rsidRPr="00747CF5">
        <w:rPr>
          <w:i/>
          <w:iCs/>
        </w:rPr>
        <w:t>papers</w:t>
      </w:r>
      <w:proofErr w:type="spellEnd"/>
      <w:r w:rsidRPr="00747CF5">
        <w:rPr>
          <w:i/>
          <w:iCs/>
        </w:rPr>
        <w:t xml:space="preserve"> analizados, sintetiza en 200 palabras el estado del arte sobre la articulación entre bioeconomía y financiación comunitaria en contextos rurales de América Latina."</w:t>
      </w:r>
    </w:p>
    <w:p w14:paraId="12FC8DCE" w14:textId="77777777" w:rsidR="00747CF5" w:rsidRPr="00747CF5" w:rsidRDefault="00747CF5" w:rsidP="00747CF5">
      <w:pPr>
        <w:numPr>
          <w:ilvl w:val="0"/>
          <w:numId w:val="3"/>
        </w:numPr>
        <w:jc w:val="both"/>
      </w:pPr>
      <w:r w:rsidRPr="00747CF5">
        <w:rPr>
          <w:i/>
          <w:iCs/>
        </w:rPr>
        <w:t>"Identifica tres contradicciones o vacíos metodológicos en la literatura revisada que justifiquen una nueva investigación empírica en la Amazonía ecuatoriana."</w:t>
      </w:r>
    </w:p>
    <w:p w14:paraId="7DD8E4C9" w14:textId="77777777" w:rsidR="00747CF5" w:rsidRPr="00747CF5" w:rsidRDefault="00747CF5" w:rsidP="00747CF5">
      <w:pPr>
        <w:numPr>
          <w:ilvl w:val="0"/>
          <w:numId w:val="3"/>
        </w:numPr>
        <w:jc w:val="both"/>
      </w:pPr>
      <w:r w:rsidRPr="00747CF5">
        <w:rPr>
          <w:i/>
          <w:iCs/>
        </w:rPr>
        <w:t>"Redacta un borrador de revisión de literatura de 600 palabras dividida estrictamente en cuatro secciones: Contexto general, Estado del arte, Brecha de investigación y Aporte del proyecto, manteniendo un tono académico formal."</w:t>
      </w:r>
    </w:p>
    <w:p w14:paraId="04CDE1C4" w14:textId="77777777" w:rsidR="00747CF5" w:rsidRPr="00747CF5" w:rsidRDefault="00747CF5" w:rsidP="00747CF5">
      <w:pPr>
        <w:jc w:val="both"/>
        <w:rPr>
          <w:b/>
          <w:bCs/>
        </w:rPr>
      </w:pPr>
      <w:r w:rsidRPr="00747CF5">
        <w:rPr>
          <w:b/>
          <w:bCs/>
        </w:rPr>
        <w:t>Declaración de uso de IA</w:t>
      </w:r>
    </w:p>
    <w:p w14:paraId="695AE1A9" w14:textId="77777777" w:rsidR="00747CF5" w:rsidRPr="00747CF5" w:rsidRDefault="00747CF5" w:rsidP="00747CF5">
      <w:pPr>
        <w:jc w:val="both"/>
      </w:pPr>
      <w:r w:rsidRPr="00747CF5">
        <w:t xml:space="preserve">Esta revisión de literatura fue elaborada con asistencia de herramientas de inteligencia artificial. Se utilizó </w:t>
      </w:r>
      <w:proofErr w:type="spellStart"/>
      <w:r w:rsidRPr="00747CF5">
        <w:rPr>
          <w:b/>
          <w:bCs/>
        </w:rPr>
        <w:t>NotebookLM</w:t>
      </w:r>
      <w:proofErr w:type="spellEnd"/>
      <w:r w:rsidRPr="00747CF5">
        <w:t xml:space="preserve"> para la sistematización, extracción de conceptos clave y análisis comparativo del corpus bibliográfico seleccionado, y </w:t>
      </w:r>
      <w:proofErr w:type="spellStart"/>
      <w:r w:rsidRPr="00747CF5">
        <w:rPr>
          <w:b/>
          <w:bCs/>
        </w:rPr>
        <w:t>ChatGPT</w:t>
      </w:r>
      <w:proofErr w:type="spellEnd"/>
      <w:r w:rsidRPr="00747CF5">
        <w:rPr>
          <w:b/>
          <w:bCs/>
        </w:rPr>
        <w:t xml:space="preserve"> / Gemini</w:t>
      </w:r>
      <w:r w:rsidRPr="00747CF5">
        <w:t xml:space="preserve"> para el apoyo en la estructuración sintáctica y refinamiento estilístico del texto en español. Todos los contenidos, citas y deducciones teóricas fueron revisados, contrastados y validados por el autor, siendo la responsabilidad de las afirmaciones vertidas exclusivamente del autor.</w:t>
      </w:r>
    </w:p>
    <w:p w14:paraId="742E2368" w14:textId="77777777" w:rsidR="00072B10" w:rsidRDefault="00072B10" w:rsidP="00747CF5">
      <w:pPr>
        <w:jc w:val="both"/>
      </w:pPr>
    </w:p>
    <w:sectPr w:rsidR="00072B1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EC6947"/>
    <w:multiLevelType w:val="multilevel"/>
    <w:tmpl w:val="23C81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F5B2D68"/>
    <w:multiLevelType w:val="multilevel"/>
    <w:tmpl w:val="5BFC4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FE256FD"/>
    <w:multiLevelType w:val="multilevel"/>
    <w:tmpl w:val="C16E2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8172841">
    <w:abstractNumId w:val="2"/>
  </w:num>
  <w:num w:numId="2" w16cid:durableId="387726057">
    <w:abstractNumId w:val="0"/>
  </w:num>
  <w:num w:numId="3" w16cid:durableId="16619576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CF5"/>
    <w:rsid w:val="00072B10"/>
    <w:rsid w:val="002C3671"/>
    <w:rsid w:val="00563683"/>
    <w:rsid w:val="00747CF5"/>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21B81"/>
  <w15:chartTrackingRefBased/>
  <w15:docId w15:val="{BCFABA0F-13D0-410B-80BF-B0E5D77FB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47C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47C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47CF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47CF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47CF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47CF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47CF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47CF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47CF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47CF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47CF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47CF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47CF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47CF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47CF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47CF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47CF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47CF5"/>
    <w:rPr>
      <w:rFonts w:eastAsiaTheme="majorEastAsia" w:cstheme="majorBidi"/>
      <w:color w:val="272727" w:themeColor="text1" w:themeTint="D8"/>
    </w:rPr>
  </w:style>
  <w:style w:type="paragraph" w:styleId="Ttulo">
    <w:name w:val="Title"/>
    <w:basedOn w:val="Normal"/>
    <w:next w:val="Normal"/>
    <w:link w:val="TtuloCar"/>
    <w:uiPriority w:val="10"/>
    <w:qFormat/>
    <w:rsid w:val="00747C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47CF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47CF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47CF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47CF5"/>
    <w:pPr>
      <w:spacing w:before="160"/>
      <w:jc w:val="center"/>
    </w:pPr>
    <w:rPr>
      <w:i/>
      <w:iCs/>
      <w:color w:val="404040" w:themeColor="text1" w:themeTint="BF"/>
    </w:rPr>
  </w:style>
  <w:style w:type="character" w:customStyle="1" w:styleId="CitaCar">
    <w:name w:val="Cita Car"/>
    <w:basedOn w:val="Fuentedeprrafopredeter"/>
    <w:link w:val="Cita"/>
    <w:uiPriority w:val="29"/>
    <w:rsid w:val="00747CF5"/>
    <w:rPr>
      <w:i/>
      <w:iCs/>
      <w:color w:val="404040" w:themeColor="text1" w:themeTint="BF"/>
    </w:rPr>
  </w:style>
  <w:style w:type="paragraph" w:styleId="Prrafodelista">
    <w:name w:val="List Paragraph"/>
    <w:basedOn w:val="Normal"/>
    <w:uiPriority w:val="34"/>
    <w:qFormat/>
    <w:rsid w:val="00747CF5"/>
    <w:pPr>
      <w:ind w:left="720"/>
      <w:contextualSpacing/>
    </w:pPr>
  </w:style>
  <w:style w:type="character" w:styleId="nfasisintenso">
    <w:name w:val="Intense Emphasis"/>
    <w:basedOn w:val="Fuentedeprrafopredeter"/>
    <w:uiPriority w:val="21"/>
    <w:qFormat/>
    <w:rsid w:val="00747CF5"/>
    <w:rPr>
      <w:i/>
      <w:iCs/>
      <w:color w:val="0F4761" w:themeColor="accent1" w:themeShade="BF"/>
    </w:rPr>
  </w:style>
  <w:style w:type="paragraph" w:styleId="Citadestacada">
    <w:name w:val="Intense Quote"/>
    <w:basedOn w:val="Normal"/>
    <w:next w:val="Normal"/>
    <w:link w:val="CitadestacadaCar"/>
    <w:uiPriority w:val="30"/>
    <w:qFormat/>
    <w:rsid w:val="00747C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47CF5"/>
    <w:rPr>
      <w:i/>
      <w:iCs/>
      <w:color w:val="0F4761" w:themeColor="accent1" w:themeShade="BF"/>
    </w:rPr>
  </w:style>
  <w:style w:type="character" w:styleId="Referenciaintensa">
    <w:name w:val="Intense Reference"/>
    <w:basedOn w:val="Fuentedeprrafopredeter"/>
    <w:uiPriority w:val="32"/>
    <w:qFormat/>
    <w:rsid w:val="00747C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2807162">
      <w:bodyDiv w:val="1"/>
      <w:marLeft w:val="0"/>
      <w:marRight w:val="0"/>
      <w:marTop w:val="0"/>
      <w:marBottom w:val="0"/>
      <w:divBdr>
        <w:top w:val="none" w:sz="0" w:space="0" w:color="auto"/>
        <w:left w:val="none" w:sz="0" w:space="0" w:color="auto"/>
        <w:bottom w:val="none" w:sz="0" w:space="0" w:color="auto"/>
        <w:right w:val="none" w:sz="0" w:space="0" w:color="auto"/>
      </w:divBdr>
    </w:div>
    <w:div w:id="2009408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929</Words>
  <Characters>5115</Characters>
  <Application>Microsoft Office Word</Application>
  <DocSecurity>0</DocSecurity>
  <Lines>42</Lines>
  <Paragraphs>12</Paragraphs>
  <ScaleCrop>false</ScaleCrop>
  <Company/>
  <LinksUpToDate>false</LinksUpToDate>
  <CharactersWithSpaces>6032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KLEVER ALFONSO MORALES PAZMIÑO</dc:creator>
  <cp:keywords/>
  <dc:description/>
  <cp:lastModifiedBy>KLEVER ALFONSO MORALES PAZMIÑO</cp:lastModifiedBy>
  <cp:revision>1</cp:revision>
  <dcterms:created xsi:type="dcterms:W3CDTF">2026-08-05T20:30:00Z</dcterms:created>
  <dcterms:modified xsi:type="dcterms:W3CDTF">2026-08-05T20:39:00Z</dcterms:modified>
</cp:coreProperties>
</file>