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F71BB" w14:textId="77777777" w:rsidR="00691577" w:rsidRDefault="006915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335BEA87" w14:textId="3796D20A" w:rsidR="00AA1E31" w:rsidRDefault="00AA1E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</w:rPr>
      </w:pPr>
      <w:r w:rsidRPr="00AA1E31">
        <w:rPr>
          <w:b/>
          <w:bCs/>
          <w:color w:val="000000"/>
        </w:rPr>
        <w:t xml:space="preserve">Mapeo de </w:t>
      </w:r>
      <w:r w:rsidR="007F339D" w:rsidRPr="00AA1E31">
        <w:rPr>
          <w:b/>
          <w:bCs/>
          <w:color w:val="000000"/>
        </w:rPr>
        <w:t>jornales</w:t>
      </w:r>
    </w:p>
    <w:p w14:paraId="3BCF8F57" w14:textId="77777777" w:rsidR="007F339D" w:rsidRPr="00AA1E31" w:rsidRDefault="007F33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</w:rPr>
      </w:pPr>
    </w:p>
    <w:p w14:paraId="21CD4828" w14:textId="77777777" w:rsidR="00AA1E31" w:rsidRDefault="00AA1E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14034" w:type="dxa"/>
        <w:tblInd w:w="-434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44"/>
        <w:gridCol w:w="1276"/>
        <w:gridCol w:w="2409"/>
        <w:gridCol w:w="3828"/>
        <w:gridCol w:w="1984"/>
        <w:gridCol w:w="2693"/>
      </w:tblGrid>
      <w:tr w:rsidR="007F339D" w14:paraId="20CBD659" w14:textId="77777777" w:rsidTr="007F339D">
        <w:tc>
          <w:tcPr>
            <w:tcW w:w="18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AEEF3" w:themeFill="accent5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AB840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Journal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AEEF3" w:themeFill="accent5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B3442" w14:textId="375A3EC2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Editorial</w:t>
            </w:r>
          </w:p>
        </w:tc>
        <w:tc>
          <w:tcPr>
            <w:tcW w:w="24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AEEF3" w:themeFill="accent5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0B87B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Cuartil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Scimago</w:t>
            </w:r>
            <w:proofErr w:type="spellEnd"/>
          </w:p>
        </w:tc>
        <w:tc>
          <w:tcPr>
            <w:tcW w:w="38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AEEF3" w:themeFill="accent5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22970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Por qué encaja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AEEF3" w:themeFill="accent5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C96F5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Modelo de Acceso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AEEF3" w:themeFill="accent5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83D12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APC (Costo de publicación)</w:t>
            </w:r>
          </w:p>
        </w:tc>
      </w:tr>
      <w:tr w:rsidR="007F339D" w14:paraId="5B248A26" w14:textId="77777777" w:rsidTr="007F339D">
        <w:tc>
          <w:tcPr>
            <w:tcW w:w="18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AE315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Journal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of Rural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Studies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672CC" w14:textId="0AD9B525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Elsevier</w:t>
            </w:r>
          </w:p>
        </w:tc>
        <w:tc>
          <w:tcPr>
            <w:tcW w:w="24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ED19A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Q1</w:t>
            </w:r>
          </w:p>
          <w:p w14:paraId="38FBE473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3277F202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Geography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Sociology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)</w:t>
            </w:r>
          </w:p>
        </w:tc>
        <w:tc>
          <w:tcPr>
            <w:tcW w:w="38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C1596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Liderazgo internacional en desarrollo rural. Se adapta al análisis de resiliencia comunitaria y redes de ahorro en la Amazonía.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4F3AF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Híbrido</w:t>
            </w:r>
          </w:p>
          <w:p w14:paraId="67A55265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4C56D404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(Suscripción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Open Access)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089CD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USD $3,970</w:t>
            </w:r>
          </w:p>
          <w:p w14:paraId="278349FA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72B9C0C0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(Gratis en vía tradicional)</w:t>
            </w:r>
          </w:p>
        </w:tc>
      </w:tr>
      <w:tr w:rsidR="007F339D" w14:paraId="610AD61C" w14:textId="77777777" w:rsidTr="007F339D">
        <w:tc>
          <w:tcPr>
            <w:tcW w:w="18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4AC26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Forest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Policy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and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Economics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CE733" w14:textId="6EF3DECB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Elsevier</w:t>
            </w:r>
          </w:p>
        </w:tc>
        <w:tc>
          <w:tcPr>
            <w:tcW w:w="24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E6E9D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Q1</w:t>
            </w:r>
          </w:p>
          <w:p w14:paraId="4A0643C4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6D62A206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Forestry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Economics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)</w:t>
            </w:r>
          </w:p>
        </w:tc>
        <w:tc>
          <w:tcPr>
            <w:tcW w:w="38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EA8A0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Enfoque directo en la economía de recursos forestales no maderables, políticas públicas y modelos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bioeconómicos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regionales.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80A6C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Híbrido</w:t>
            </w:r>
          </w:p>
          <w:p w14:paraId="4E44944B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37F9F0E4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(Suscripción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Open Access)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B2709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USD $3,610</w:t>
            </w:r>
          </w:p>
          <w:p w14:paraId="7D352D54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7C18DE08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(Gratis en vía tradicional)</w:t>
            </w:r>
          </w:p>
        </w:tc>
      </w:tr>
      <w:tr w:rsidR="007F339D" w14:paraId="149A521C" w14:textId="77777777" w:rsidTr="007F339D">
        <w:tc>
          <w:tcPr>
            <w:tcW w:w="18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4DE17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Eutopía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- Revista de Desarrollo Económico Territorial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9041A" w14:textId="33B765CA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FLACSO Ecuador</w:t>
            </w:r>
          </w:p>
        </w:tc>
        <w:tc>
          <w:tcPr>
            <w:tcW w:w="24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F3B13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Q3 /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Latindex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2.0</w:t>
            </w:r>
          </w:p>
          <w:p w14:paraId="033A3BBF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6C12BAD1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(Desarrollo Territorial)</w:t>
            </w:r>
          </w:p>
        </w:tc>
        <w:tc>
          <w:tcPr>
            <w:tcW w:w="38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5D91E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Difusión y posicionamiento directo en la región andina sobre economía popular y solidaria (EPS) y gobernanza local.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721C1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Open Access Diamante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69207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USD $0</w:t>
            </w:r>
          </w:p>
          <w:p w14:paraId="076CD0C4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7491B359" w14:textId="77777777" w:rsidR="007F339D" w:rsidRDefault="007F3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(Completamente gratuito)</w:t>
            </w:r>
          </w:p>
        </w:tc>
      </w:tr>
    </w:tbl>
    <w:p w14:paraId="7F4CC646" w14:textId="77777777" w:rsidR="00691577" w:rsidRDefault="006915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0CC954A7" w14:textId="77A4391E" w:rsidR="00AA1E31" w:rsidRDefault="00AA1E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i/>
          <w:iCs/>
          <w:color w:val="1F1F1F"/>
        </w:rPr>
      </w:pPr>
      <w:r w:rsidRPr="00AA1E31">
        <w:rPr>
          <w:rFonts w:ascii="Google Sans" w:eastAsia="Google Sans" w:hAnsi="Google Sans" w:cs="Google Sans"/>
          <w:i/>
          <w:iCs/>
          <w:color w:val="1F1F1F"/>
        </w:rPr>
        <w:t xml:space="preserve">El </w:t>
      </w:r>
      <w:proofErr w:type="spellStart"/>
      <w:r w:rsidRPr="00AA1E31">
        <w:rPr>
          <w:rFonts w:ascii="Google Sans" w:eastAsia="Google Sans" w:hAnsi="Google Sans" w:cs="Google Sans"/>
          <w:i/>
          <w:iCs/>
          <w:color w:val="1F1F1F"/>
        </w:rPr>
        <w:t>Journal</w:t>
      </w:r>
      <w:proofErr w:type="spellEnd"/>
      <w:r w:rsidRPr="00AA1E31"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 w:rsidRPr="00AA1E31">
        <w:rPr>
          <w:rFonts w:ascii="Google Sans" w:eastAsia="Google Sans" w:hAnsi="Google Sans" w:cs="Google Sans"/>
          <w:i/>
          <w:iCs/>
          <w:color w:val="1F1F1F"/>
        </w:rPr>
        <w:t>of</w:t>
      </w:r>
      <w:proofErr w:type="spellEnd"/>
      <w:r w:rsidRPr="00AA1E31">
        <w:rPr>
          <w:rFonts w:ascii="Google Sans" w:eastAsia="Google Sans" w:hAnsi="Google Sans" w:cs="Google Sans"/>
          <w:i/>
          <w:iCs/>
          <w:color w:val="1F1F1F"/>
        </w:rPr>
        <w:t xml:space="preserve"> Rural </w:t>
      </w:r>
      <w:proofErr w:type="spellStart"/>
      <w:r w:rsidRPr="00AA1E31">
        <w:rPr>
          <w:rFonts w:ascii="Google Sans" w:eastAsia="Google Sans" w:hAnsi="Google Sans" w:cs="Google Sans"/>
          <w:i/>
          <w:iCs/>
          <w:color w:val="1F1F1F"/>
        </w:rPr>
        <w:t>Studies</w:t>
      </w:r>
      <w:proofErr w:type="spellEnd"/>
      <w:r w:rsidRPr="00AA1E31">
        <w:rPr>
          <w:rFonts w:ascii="Google Sans" w:eastAsia="Google Sans" w:hAnsi="Google Sans" w:cs="Google Sans"/>
          <w:i/>
          <w:iCs/>
          <w:color w:val="1F1F1F"/>
        </w:rPr>
        <w:t xml:space="preserve"> se posiciona como la opción más adecuada para este artículo debido a su marcada orientación hacia el análisis crítico de la gobernanza, el capital social y la resiliencia en comunidades rurales periféricas. A diferencia de revistas </w:t>
      </w:r>
      <w:r w:rsidRPr="00AA1E31">
        <w:rPr>
          <w:rFonts w:ascii="Google Sans" w:eastAsia="Google Sans" w:hAnsi="Google Sans" w:cs="Google Sans"/>
          <w:i/>
          <w:iCs/>
          <w:color w:val="1F1F1F"/>
        </w:rPr>
        <w:lastRenderedPageBreak/>
        <w:t xml:space="preserve">enfocadas exclusivamente en la rentabilidad financiera o la biotecnología, esta publicación privilegia estudios que examinan cómo las estructuras comunitarias adaptan modelos económicos frente a dinámicas de vulnerabilidad. Dado que la investigación aborda la intersección entre las redes de ahorro y crédito local y la adopción de modelos de negocio </w:t>
      </w:r>
      <w:proofErr w:type="spellStart"/>
      <w:r w:rsidRPr="00AA1E31">
        <w:rPr>
          <w:rFonts w:ascii="Google Sans" w:eastAsia="Google Sans" w:hAnsi="Google Sans" w:cs="Google Sans"/>
          <w:i/>
          <w:iCs/>
          <w:color w:val="1F1F1F"/>
        </w:rPr>
        <w:t>bioeconómicos</w:t>
      </w:r>
      <w:proofErr w:type="spellEnd"/>
      <w:r w:rsidRPr="00AA1E31">
        <w:rPr>
          <w:rFonts w:ascii="Google Sans" w:eastAsia="Google Sans" w:hAnsi="Google Sans" w:cs="Google Sans"/>
          <w:i/>
          <w:iCs/>
          <w:color w:val="1F1F1F"/>
        </w:rPr>
        <w:t xml:space="preserve"> en Morona Santiago, el </w:t>
      </w:r>
      <w:proofErr w:type="spellStart"/>
      <w:r w:rsidRPr="00AA1E31">
        <w:rPr>
          <w:rFonts w:ascii="Google Sans" w:eastAsia="Google Sans" w:hAnsi="Google Sans" w:cs="Google Sans"/>
          <w:i/>
          <w:iCs/>
          <w:color w:val="1F1F1F"/>
        </w:rPr>
        <w:t>Journal</w:t>
      </w:r>
      <w:proofErr w:type="spellEnd"/>
      <w:r w:rsidRPr="00AA1E31"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 w:rsidRPr="00AA1E31">
        <w:rPr>
          <w:rFonts w:ascii="Google Sans" w:eastAsia="Google Sans" w:hAnsi="Google Sans" w:cs="Google Sans"/>
          <w:i/>
          <w:iCs/>
          <w:color w:val="1F1F1F"/>
        </w:rPr>
        <w:t>of</w:t>
      </w:r>
      <w:proofErr w:type="spellEnd"/>
      <w:r w:rsidRPr="00AA1E31">
        <w:rPr>
          <w:rFonts w:ascii="Google Sans" w:eastAsia="Google Sans" w:hAnsi="Google Sans" w:cs="Google Sans"/>
          <w:i/>
          <w:iCs/>
          <w:color w:val="1F1F1F"/>
        </w:rPr>
        <w:t xml:space="preserve"> Rural </w:t>
      </w:r>
      <w:proofErr w:type="spellStart"/>
      <w:r w:rsidRPr="00AA1E31">
        <w:rPr>
          <w:rFonts w:ascii="Google Sans" w:eastAsia="Google Sans" w:hAnsi="Google Sans" w:cs="Google Sans"/>
          <w:i/>
          <w:iCs/>
          <w:color w:val="1F1F1F"/>
        </w:rPr>
        <w:t>Studies</w:t>
      </w:r>
      <w:proofErr w:type="spellEnd"/>
      <w:r w:rsidRPr="00AA1E31">
        <w:rPr>
          <w:rFonts w:ascii="Google Sans" w:eastAsia="Google Sans" w:hAnsi="Google Sans" w:cs="Google Sans"/>
          <w:i/>
          <w:iCs/>
          <w:color w:val="1F1F1F"/>
        </w:rPr>
        <w:t xml:space="preserve"> ofrece el marco conceptual y la audiencia académica idónea para debatir cómo la economía popular y solidaria fortalece la sostenibilidad territorial en la Amazonía.</w:t>
      </w:r>
    </w:p>
    <w:sectPr w:rsidR="00AA1E31" w:rsidSect="00AA1E31"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3B73384-04AF-40FF-9690-1D5AD0F72238}"/>
  </w:font>
  <w:font w:name="Google Sans">
    <w:charset w:val="00"/>
    <w:family w:val="auto"/>
    <w:pitch w:val="default"/>
    <w:embedRegular r:id="rId2" w:fontKey="{AE48B0B3-48FE-4808-BB3F-E31F2D0E1EA0}"/>
    <w:embedBold r:id="rId3" w:fontKey="{E29EA802-FF33-4AE3-BFCA-EAF02E2773F6}"/>
    <w:embedItalic r:id="rId4" w:fontKey="{4F7DED5A-07D2-4768-8825-3F013BD005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BD2F83F-944F-4C62-85BF-FAC3CF5ADE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405CED6-18C7-4284-AA52-92491BD422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577"/>
    <w:rsid w:val="00691577"/>
    <w:rsid w:val="007F339D"/>
    <w:rsid w:val="00AA1E31"/>
    <w:rsid w:val="00E4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BEF714"/>
  <w15:docId w15:val="{06A10A01-94EC-41ED-973F-27D5CF60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KLEVER</dc:creator>
  <cp:lastModifiedBy>KLEVER ALFONSO MORALES PAZMIÑO</cp:lastModifiedBy>
  <cp:revision>2</cp:revision>
  <dcterms:created xsi:type="dcterms:W3CDTF">2026-08-05T22:32:00Z</dcterms:created>
  <dcterms:modified xsi:type="dcterms:W3CDTF">2026-08-05T22:32:00Z</dcterms:modified>
</cp:coreProperties>
</file>