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20200413-20200417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