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HomeAccessIQ Data Curation Strategy</w:t>
      </w:r>
    </w:p>
    <w:p>
      <w:pPr>
        <w:spacing w:after="60"/>
        <w:jc w:val="center"/>
      </w:pPr>
      <w:r>
        <w:rPr>
          <w:b/>
          <w:bCs/>
          <w:color w:val="444444"/>
          <w:sz w:val="24"/>
          <w:szCs w:val="24"/>
        </w:rPr>
        <w:t xml:space="preserve">Version 2</w:t>
      </w:r>
    </w:p>
    <w:p>
      <w:pPr>
        <w:spacing w:after="320"/>
        <w:jc w:val="center"/>
      </w:pPr>
      <w:r>
        <w:rPr>
          <w:i/>
          <w:iCs/>
          <w:color w:val="666666"/>
          <w:sz w:val="20"/>
          <w:szCs w:val="20"/>
        </w:rPr>
        <w:t xml:space="preserve">Supersedes Version 1 ("Phase 1: High-Value Program Coverage"). Updated 2026-08-01.</w:t>
      </w:r>
    </w:p>
    <w:p>
      <w:pPr>
        <w:pStyle w:val="Heading1"/>
        <w:spacing w:after="160" w:before="320"/>
      </w:pPr>
      <w:r>
        <w:rPr>
          <w:b/>
          <w:bCs/>
        </w:rPr>
        <w:t xml:space="preserve">What Changed in Version 2</w:t>
      </w:r>
    </w:p>
    <w:p>
      <w:pPr>
        <w:spacing w:after="160"/>
      </w:pPr>
      <w:r>
        <w:t xml:space="preserve">Version 1 established the Phase 1 curation strategy: prioritize statewide, high-value programs over exhaustive coverage of the roughly 2,700 homeownership assistance programs nationwide. That guidance is unchanged and remains in force. Version 2 adds three clarifications that came out of applying the strategy to real work in progress:</w:t>
      </w:r>
    </w:p>
    <w:p>
      <w:pPr>
        <w:pStyle w:val="ListParagraph"/>
        <w:numPr>
          <w:ilvl w:val="0"/>
          <w:numId w:val="2"/>
        </w:numPr>
        <w:spacing w:after="80"/>
      </w:pPr>
      <w:r>
        <w:t xml:space="preserve">Structural design and platform stability are explicitly placed above curation strategy in priority. This document governs what gets researched and in what order — it does not govern, and cannot override, decisions about schema, architecture, or code that need to generalize across all states.</w:t>
      </w:r>
    </w:p>
    <w:p>
      <w:pPr>
        <w:pStyle w:val="ListParagraph"/>
        <w:numPr>
          <w:ilvl w:val="0"/>
          <w:numId w:val="2"/>
        </w:numPr>
        <w:spacing w:after="80"/>
      </w:pPr>
      <w:r>
        <w:t xml:space="preserve">Outreach efficiency guidance is added: when curation requires direct confirmation from an agency, that outreach should be batched across states or programs wherever possible, rather than pursued one item at a time with idle time spent waiting on a single response.</w:t>
      </w:r>
    </w:p>
    <w:p>
      <w:pPr>
        <w:pStyle w:val="ListParagraph"/>
        <w:numPr>
          <w:ilvl w:val="0"/>
          <w:numId w:val="2"/>
        </w:numPr>
        <w:spacing w:after="80"/>
      </w:pPr>
      <w:r>
        <w:t xml:space="preserve">A worked clarification on phase-tier classification: a program already curated within a state's existing research is not automatically "Phase 1 complete" for that state. Programs belong to the phase tier defined by their own category (e.g., an employer-assisted housing program is Phase 3 regardless of when it happened to be researched).</w:t>
      </w:r>
    </w:p>
    <w:p>
      <w:pPr>
        <w:spacing w:after="160"/>
      </w:pPr>
      <w:r>
        <w:t xml:space="preserve">Each is expanded below in its own section.</w:t>
      </w:r>
    </w:p>
    <w:p>
      <w:pPr>
        <w:pStyle w:val="Heading1"/>
        <w:spacing w:after="160" w:before="320"/>
      </w:pPr>
      <w:r>
        <w:rPr>
          <w:b/>
          <w:bCs/>
        </w:rPr>
        <w:t xml:space="preserve">Background</w:t>
      </w:r>
    </w:p>
    <w:p>
      <w:pPr>
        <w:spacing w:after="160"/>
      </w:pPr>
      <w:r>
        <w:t xml:space="preserve">As research expanded beyond Indiana and Florida, it became clear that the national landscape of homebuyer assistance programs is significantly larger than initially anticipated. Current estimates indicate there are approximately 2,700 homeownership assistance programs across the United States, with some states containing hundreds of local, county, municipal, employer-sponsored, and nonprofit initiatives.</w:t>
      </w:r>
    </w:p>
    <w:p>
      <w:pPr>
        <w:spacing w:after="160"/>
      </w:pPr>
      <w:r>
        <w:t xml:space="preserve">This prompted an important discussion regarding implementation strategy.</w:t>
      </w:r>
    </w:p>
    <w:p>
      <w:pPr>
        <w:spacing w:after="160"/>
      </w:pPr>
      <w:r>
        <w:rPr>
          <w:b/>
          <w:bCs/>
        </w:rPr>
        <w:t xml:space="preserve">The objectives of Phase 1 have not changed.</w:t>
      </w:r>
    </w:p>
    <w:p>
      <w:pPr>
        <w:spacing w:after="160"/>
      </w:pPr>
      <w:r>
        <w:t xml:space="preserve">HomeAccessIQ will continue to evolve into a comprehensive national resource for discovering homeownership opportunities. However, to ensure the project maintains momentum and delivers meaningful value within a reasonable timeframe, the data curation strategy for Phase 1 has been refined.</w:t>
      </w:r>
    </w:p>
    <w:p>
      <w:pPr>
        <w:spacing w:after="160"/>
      </w:pPr>
      <w:r>
        <w:t xml:space="preserve">This document outlines that strategy.</w:t>
      </w:r>
    </w:p>
    <w:p>
      <w:pPr>
        <w:pStyle w:val="Heading1"/>
        <w:spacing w:after="160" w:before="320"/>
      </w:pPr>
      <w:r>
        <w:rPr>
          <w:b/>
          <w:bCs/>
        </w:rPr>
        <w:t xml:space="preserve">Purpose</w:t>
      </w:r>
    </w:p>
    <w:p>
      <w:pPr>
        <w:spacing w:after="160"/>
      </w:pPr>
      <w:r>
        <w:t xml:space="preserve">The purpose of this strategy is to prevent Phase 1 from becoming stalled by an attempt to curate every one of the approximately 2,700 assistance programs before launch.</w:t>
      </w:r>
    </w:p>
    <w:p>
      <w:pPr>
        <w:spacing w:after="160"/>
      </w:pPr>
      <w:r>
        <w:t xml:space="preserve">Instead, Phase 1 will focus on identifying and curating the programs that provide the greatest value to the largest number of homebuyers while establishing the scalable foundation required for long-term expansion.</w:t>
      </w:r>
    </w:p>
    <w:p>
      <w:pPr>
        <w:spacing w:after="160"/>
      </w:pPr>
      <w:r>
        <w:t xml:space="preserve">This is an implementation strategy — not a reduction in product vision.</w:t>
      </w:r>
    </w:p>
    <w:p>
      <w:pPr>
        <w:pStyle w:val="Heading1"/>
        <w:spacing w:after="160" w:before="320"/>
      </w:pPr>
      <w:r>
        <w:rPr>
          <w:b/>
          <w:bCs/>
        </w:rPr>
        <w:t xml:space="preserve">Relationship to Structural Design and Stability</w:t>
      </w:r>
    </w:p>
    <w:p>
      <w:pPr>
        <w:pBdr>
          <w:left w:val="single" w:color="888888" w:sz="12" w:space="8"/>
        </w:pBdr>
        <w:spacing w:after="200"/>
      </w:pPr>
      <w:r>
        <w:rPr>
          <w:i/>
          <w:iCs/>
          <w:color w:val="555555"/>
        </w:rPr>
        <w:t xml:space="preserve">New in Version 2.</w:t>
      </w:r>
    </w:p>
    <w:p>
      <w:pPr>
        <w:spacing w:after="160"/>
      </w:pPr>
      <w:r>
        <w:t xml:space="preserve">This strategy exists to make curation faster and more effective — it is a sequencing and prioritization tool, not a governing constraint on the application itself.</w:t>
      </w:r>
    </w:p>
    <w:p>
      <w:pPr>
        <w:spacing w:after="160"/>
      </w:pPr>
      <w:r>
        <w:t xml:space="preserve">It is secondary to the overall functionality and stability of HomeAccessIQ. Keeping a structural design in place that can be leveraged across all states as the platform scales is a higher priority than hitting any curation target described in this document.</w:t>
      </w:r>
    </w:p>
    <w:p>
      <w:pPr>
        <w:spacing w:after="160"/>
      </w:pPr>
      <w:r>
        <w:t xml:space="preserve">In practice, this means:</w:t>
      </w:r>
    </w:p>
    <w:p>
      <w:pPr>
        <w:pStyle w:val="ListParagraph"/>
        <w:numPr>
          <w:ilvl w:val="0"/>
          <w:numId w:val="2"/>
        </w:numPr>
        <w:spacing w:after="80"/>
      </w:pPr>
      <w:r>
        <w:t xml:space="preserve">Schema, matching-engine logic, and shared code paths should be built to generalize across all 50 states from the outset, even when only one or two states currently populate the relevant data. A pattern that works for one state but has to be reworked before it can serve the next is a structural cost, not a curation shortcut.</w:t>
      </w:r>
    </w:p>
    <w:p>
      <w:pPr>
        <w:pStyle w:val="ListParagraph"/>
        <w:numPr>
          <w:ilvl w:val="0"/>
          <w:numId w:val="2"/>
        </w:numPr>
        <w:spacing w:after="80"/>
      </w:pPr>
      <w:r>
        <w:t xml:space="preserve">If closing a structural or code-level issue properly requires slower short-term curation velocity, that trade should be made without hesitation.</w:t>
      </w:r>
    </w:p>
    <w:p>
      <w:pPr>
        <w:pStyle w:val="ListParagraph"/>
        <w:numPr>
          <w:ilvl w:val="0"/>
          <w:numId w:val="2"/>
        </w:numPr>
        <w:spacing w:after="80"/>
      </w:pPr>
      <w:r>
        <w:t xml:space="preserve">When a future session surfaces a choice between curating faster and keeping a shared code path clean and state-agnostic, that choice should be raised explicitly as a design decision — not resolved silently in favor of speed.</w:t>
      </w:r>
    </w:p>
    <w:p>
      <w:pPr>
        <w:pStyle w:val="ListParagraph"/>
        <w:numPr>
          <w:ilvl w:val="0"/>
          <w:numId w:val="2"/>
        </w:numPr>
        <w:spacing w:after="80"/>
      </w:pPr>
      <w:r>
        <w:t xml:space="preserve">Referencing this document is limited to expediting curation targets, up until doing so would conflict with structural design. At that point, structural-design recommendations take priority over the sequencing described here.</w:t>
      </w:r>
    </w:p>
    <w:p>
      <w:pPr>
        <w:pStyle w:val="Heading1"/>
        <w:spacing w:after="160" w:before="320"/>
      </w:pPr>
      <w:r>
        <w:rPr>
          <w:b/>
          <w:bCs/>
        </w:rPr>
        <w:t xml:space="preserve">Phase 1 Objectives (Unchanged)</w:t>
      </w:r>
    </w:p>
    <w:p>
      <w:pPr>
        <w:spacing w:after="160"/>
      </w:pPr>
      <w:r>
        <w:t xml:space="preserve">The objectives for Phase 1 remain exactly as originally envisioned.</w:t>
      </w:r>
    </w:p>
    <w:p>
      <w:pPr>
        <w:spacing w:after="160"/>
      </w:pPr>
      <w:r>
        <w:t xml:space="preserve">HomeAccessIQ should enable the majority of buyers to quickly answer questions such as:</w:t>
      </w:r>
    </w:p>
    <w:p>
      <w:pPr>
        <w:pStyle w:val="ListParagraph"/>
        <w:numPr>
          <w:ilvl w:val="0"/>
          <w:numId w:val="2"/>
        </w:numPr>
        <w:spacing w:after="80"/>
      </w:pPr>
      <w:r>
        <w:t xml:space="preserve">What statewide homebuyer programs am I likely eligible for?</w:t>
      </w:r>
    </w:p>
    <w:p>
      <w:pPr>
        <w:pStyle w:val="ListParagraph"/>
        <w:numPr>
          <w:ilvl w:val="0"/>
          <w:numId w:val="2"/>
        </w:numPr>
        <w:spacing w:after="80"/>
      </w:pPr>
      <w:r>
        <w:t xml:space="preserve">Do I qualify based on income?</w:t>
      </w:r>
    </w:p>
    <w:p>
      <w:pPr>
        <w:pStyle w:val="ListParagraph"/>
        <w:numPr>
          <w:ilvl w:val="0"/>
          <w:numId w:val="2"/>
        </w:numPr>
        <w:spacing w:after="80"/>
      </w:pPr>
      <w:r>
        <w:t xml:space="preserve">Does my purchase price qualify?</w:t>
      </w:r>
    </w:p>
    <w:p>
      <w:pPr>
        <w:pStyle w:val="ListParagraph"/>
        <w:numPr>
          <w:ilvl w:val="0"/>
          <w:numId w:val="2"/>
        </w:numPr>
        <w:spacing w:after="80"/>
      </w:pPr>
      <w:r>
        <w:t xml:space="preserve">Is the property located within a targeted area?</w:t>
      </w:r>
    </w:p>
    <w:p>
      <w:pPr>
        <w:pStyle w:val="ListParagraph"/>
        <w:numPr>
          <w:ilvl w:val="0"/>
          <w:numId w:val="2"/>
        </w:numPr>
        <w:spacing w:after="80"/>
      </w:pPr>
      <w:r>
        <w:t xml:space="preserve">What statewide down payment assistance programs are available?</w:t>
      </w:r>
    </w:p>
    <w:p>
      <w:pPr>
        <w:pStyle w:val="ListParagraph"/>
        <w:numPr>
          <w:ilvl w:val="0"/>
          <w:numId w:val="2"/>
        </w:numPr>
        <w:spacing w:after="80"/>
      </w:pPr>
      <w:r>
        <w:t xml:space="preserve">Are occupation-specific statewide benefits available?</w:t>
      </w:r>
    </w:p>
    <w:p>
      <w:pPr>
        <w:pStyle w:val="ListParagraph"/>
        <w:numPr>
          <w:ilvl w:val="0"/>
          <w:numId w:val="2"/>
        </w:numPr>
        <w:spacing w:after="80"/>
      </w:pPr>
      <w:r>
        <w:t xml:space="preserve">Are Mortgage Credit Certificates (MCCs) available?</w:t>
      </w:r>
    </w:p>
    <w:p>
      <w:pPr>
        <w:spacing w:after="160"/>
      </w:pPr>
      <w:r>
        <w:t xml:space="preserve">Successfully answering these questions provides meaningful guidance to buyers while creating a strong national foundation for future expansion.</w:t>
      </w:r>
    </w:p>
    <w:p>
      <w:pPr>
        <w:pStyle w:val="Heading1"/>
        <w:spacing w:after="160" w:before="320"/>
      </w:pPr>
      <w:r>
        <w:rPr>
          <w:b/>
          <w:bCs/>
        </w:rPr>
        <w:t xml:space="preserve">Existing Research Remains Valid</w:t>
      </w:r>
    </w:p>
    <w:p>
      <w:pPr>
        <w:spacing w:after="160"/>
      </w:pPr>
      <w:r>
        <w:t xml:space="preserve">This refinement does not require revisiting or reducing the research already completed for Indiana, Florida, or Kentucky.</w:t>
      </w:r>
    </w:p>
    <w:p>
      <w:pPr>
        <w:spacing w:after="160"/>
      </w:pPr>
      <w:r>
        <w:t xml:space="preserve">The work completed to date remains valuable and should be retained as part of the HomeAccessIQ data foundation. Where these states already include county, municipal, employer-sponsored, or other localized programs beyond the Phase 1 baseline, those programs should remain in the database and continue to be maintained as appropriate.</w:t>
      </w:r>
    </w:p>
    <w:p>
      <w:pPr>
        <w:spacing w:after="160"/>
      </w:pPr>
      <w:r>
        <w:t xml:space="preserve">The Phase 1 strategy is intended to guide future curation efforts, not undo previous progress.</w:t>
      </w:r>
    </w:p>
    <w:p>
      <w:pPr>
        <w:spacing w:after="160"/>
      </w:pPr>
      <w:r>
        <w:t xml:space="preserve">For states that have not yet been researched, data collection should begin with the high-value Phase 1 criteria described in this document. Researchers are encouraged to include additional programs beyond the Phase 1 baseline whenever they are readily available, well documented, and represent meaningful financial opportunities. However, those additional programs should not become a prerequisite for considering a state's Phase 1 research complete.</w:t>
      </w:r>
    </w:p>
    <w:p>
      <w:pPr>
        <w:pStyle w:val="Heading2"/>
        <w:spacing w:after="120" w:before="240"/>
      </w:pPr>
      <w:r>
        <w:rPr>
          <w:b/>
          <w:bCs/>
        </w:rPr>
        <w:t xml:space="preserve">Clarification: Phase-Tier Classification Is Per-Program, Not Per-State</w:t>
      </w:r>
    </w:p>
    <w:p>
      <w:pPr>
        <w:pBdr>
          <w:left w:val="single" w:color="888888" w:sz="12" w:space="8"/>
        </w:pBdr>
        <w:spacing w:after="200"/>
      </w:pPr>
      <w:r>
        <w:rPr>
          <w:i/>
          <w:iCs/>
          <w:color w:val="555555"/>
        </w:rPr>
        <w:t xml:space="preserve">New in Version 2.</w:t>
      </w:r>
    </w:p>
    <w:p>
      <w:pPr>
        <w:spacing w:after="160"/>
      </w:pPr>
      <w:r>
        <w:t xml:space="preserve">A program's phase tier is determined by its own category, not by when it happened to be researched or which state file it lives in. A state having one or more curated programs does not by itself mean that state's Phase 1 baseline is underway or complete — the specific programs on file need to be checked against the Phase 1 Data Priorities below.</w:t>
      </w:r>
    </w:p>
    <w:p>
      <w:pPr>
        <w:spacing w:after="160"/>
      </w:pPr>
      <w:r>
        <w:rPr>
          <w:b/>
          <w:bCs/>
          <w:i/>
          <w:iCs/>
        </w:rPr>
        <w:t xml:space="preserve">Worked example: </w:t>
      </w:r>
      <w:r>
        <w:rPr>
          <w:i/>
          <w:iCs/>
        </w:rPr>
        <w:t xml:space="preserve">Kentucky currently has one curated program — the University of Kentucky Employer Assisted Housing Program (EAHP). Employer-assisted housing is a Phase 3 category (see "Phase 3 Expansion" below), so this program being on file does not represent Phase 1 progress for Kentucky. Kentucky's statewide HFA programs, DPA, income/purchase-price limits, targeted areas, MCC, and occupation-specific programs still need to be researched as part of Phase 1, independent of the EAHP entry already in the database.</w:t>
      </w:r>
    </w:p>
    <w:p>
      <w:pPr>
        <w:pStyle w:val="Heading1"/>
        <w:spacing w:after="160" w:before="320"/>
      </w:pPr>
      <w:r>
        <w:rPr>
          <w:b/>
          <w:bCs/>
        </w:rPr>
        <w:t xml:space="preserve">Phase 1 Data Priorities</w:t>
      </w:r>
    </w:p>
    <w:p>
      <w:pPr>
        <w:pStyle w:val="Heading2"/>
        <w:spacing w:after="120" w:before="240"/>
      </w:pPr>
      <w:r>
        <w:rPr>
          <w:b/>
          <w:bCs/>
        </w:rPr>
        <w:t xml:space="preserve">Highest Priority (Required)</w:t>
      </w:r>
    </w:p>
    <w:p>
      <w:pPr>
        <w:spacing w:after="160"/>
      </w:pPr>
      <w:r>
        <w:t xml:space="preserve">These datasets consistently provide the greatest value relative to the effort required to research and maintain them.</w:t>
      </w:r>
    </w:p>
    <w:p>
      <w:pPr>
        <w:pStyle w:val="Heading2"/>
        <w:spacing w:after="120" w:before="240"/>
      </w:pPr>
      <w:r>
        <w:rPr>
          <w:b/>
          <w:bCs/>
        </w:rPr>
        <w:t xml:space="preserve">State Housing Finance Agency (HFA) Programs</w:t>
      </w:r>
    </w:p>
    <w:p>
      <w:pPr>
        <w:spacing w:after="160"/>
      </w:pPr>
      <w:r>
        <w:t xml:space="preserve">Capture all statewide first mortgage offerings administered through each state's Housing Finance Agency.</w:t>
      </w:r>
    </w:p>
    <w:p>
      <w:pPr>
        <w:spacing w:after="160"/>
      </w:pPr>
      <w:r>
        <w:t xml:space="preserve">Examples include:</w:t>
      </w:r>
    </w:p>
    <w:p>
      <w:pPr>
        <w:pStyle w:val="ListParagraph"/>
        <w:numPr>
          <w:ilvl w:val="0"/>
          <w:numId w:val="2"/>
        </w:numPr>
        <w:spacing w:after="80"/>
      </w:pPr>
      <w:r>
        <w:t xml:space="preserve">Bond programs</w:t>
      </w:r>
    </w:p>
    <w:p>
      <w:pPr>
        <w:pStyle w:val="ListParagraph"/>
        <w:numPr>
          <w:ilvl w:val="0"/>
          <w:numId w:val="2"/>
        </w:numPr>
        <w:spacing w:after="80"/>
      </w:pPr>
      <w:r>
        <w:t xml:space="preserve">TBA programs</w:t>
      </w:r>
    </w:p>
    <w:p>
      <w:pPr>
        <w:pStyle w:val="ListParagraph"/>
        <w:numPr>
          <w:ilvl w:val="0"/>
          <w:numId w:val="2"/>
        </w:numPr>
        <w:spacing w:after="80"/>
      </w:pPr>
      <w:r>
        <w:t xml:space="preserve">Conventional programs</w:t>
      </w:r>
    </w:p>
    <w:p>
      <w:pPr>
        <w:pStyle w:val="ListParagraph"/>
        <w:numPr>
          <w:ilvl w:val="0"/>
          <w:numId w:val="2"/>
        </w:numPr>
        <w:spacing w:after="80"/>
      </w:pPr>
      <w:r>
        <w:t xml:space="preserve">FHA, VA, and USDA offerings where applicable</w:t>
      </w:r>
    </w:p>
    <w:p>
      <w:pPr>
        <w:spacing w:after="160"/>
      </w:pPr>
      <w:r>
        <w:rPr>
          <w:b/>
          <w:bCs/>
        </w:rPr>
        <w:t xml:space="preserve">Rationale: </w:t>
      </w:r>
      <w:r>
        <w:t xml:space="preserve">These represent the primary entry point into affordable homeownership for most buyers.</w:t>
      </w:r>
    </w:p>
    <w:p>
      <w:pPr>
        <w:pStyle w:val="Heading2"/>
        <w:spacing w:after="120" w:before="240"/>
      </w:pPr>
      <w:r>
        <w:rPr>
          <w:b/>
          <w:bCs/>
        </w:rPr>
        <w:t xml:space="preserve">Statewide Down Payment Assistance (DPA)</w:t>
      </w:r>
    </w:p>
    <w:p>
      <w:pPr>
        <w:spacing w:after="160"/>
      </w:pPr>
      <w:r>
        <w:t xml:space="preserve">Capture:</w:t>
      </w:r>
    </w:p>
    <w:p>
      <w:pPr>
        <w:pStyle w:val="ListParagraph"/>
        <w:numPr>
          <w:ilvl w:val="0"/>
          <w:numId w:val="2"/>
        </w:numPr>
        <w:spacing w:after="80"/>
      </w:pPr>
      <w:r>
        <w:t xml:space="preserve">Grants</w:t>
      </w:r>
    </w:p>
    <w:p>
      <w:pPr>
        <w:pStyle w:val="ListParagraph"/>
        <w:numPr>
          <w:ilvl w:val="0"/>
          <w:numId w:val="2"/>
        </w:numPr>
        <w:spacing w:after="80"/>
      </w:pPr>
      <w:r>
        <w:t xml:space="preserve">Forgivable loans</w:t>
      </w:r>
    </w:p>
    <w:p>
      <w:pPr>
        <w:pStyle w:val="ListParagraph"/>
        <w:numPr>
          <w:ilvl w:val="0"/>
          <w:numId w:val="2"/>
        </w:numPr>
        <w:spacing w:after="80"/>
      </w:pPr>
      <w:r>
        <w:t xml:space="preserve">Deferred-payment loans</w:t>
      </w:r>
    </w:p>
    <w:p>
      <w:pPr>
        <w:pStyle w:val="ListParagraph"/>
        <w:numPr>
          <w:ilvl w:val="0"/>
          <w:numId w:val="2"/>
        </w:numPr>
        <w:spacing w:after="80"/>
      </w:pPr>
      <w:r>
        <w:t xml:space="preserve">Repayable second mortgages</w:t>
      </w:r>
    </w:p>
    <w:p>
      <w:pPr>
        <w:spacing w:after="160"/>
      </w:pPr>
      <w:r>
        <w:rPr>
          <w:b/>
          <w:bCs/>
        </w:rPr>
        <w:t xml:space="preserve">Rationale: </w:t>
      </w:r>
      <w:r>
        <w:t xml:space="preserve">Down payment assistance frequently represents the single largest financial benefit available to eligible buyers.</w:t>
      </w:r>
    </w:p>
    <w:p>
      <w:pPr>
        <w:pStyle w:val="Heading2"/>
        <w:spacing w:after="120" w:before="240"/>
      </w:pPr>
      <w:r>
        <w:rPr>
          <w:b/>
          <w:bCs/>
        </w:rPr>
        <w:t xml:space="preserve">Income Limits</w:t>
      </w:r>
    </w:p>
    <w:p>
      <w:pPr>
        <w:spacing w:after="160"/>
      </w:pPr>
      <w:r>
        <w:t xml:space="preserve">Capture official county-level income limits, including household-size variations where applicable.</w:t>
      </w:r>
    </w:p>
    <w:p>
      <w:pPr>
        <w:spacing w:after="160"/>
      </w:pPr>
      <w:r>
        <w:rPr>
          <w:b/>
          <w:bCs/>
        </w:rPr>
        <w:t xml:space="preserve">Rationale: </w:t>
      </w:r>
      <w:r>
        <w:t xml:space="preserve">Income qualification is one of the most important eligibility filters.</w:t>
      </w:r>
    </w:p>
    <w:p>
      <w:pPr>
        <w:pStyle w:val="Heading2"/>
        <w:spacing w:after="120" w:before="240"/>
      </w:pPr>
      <w:r>
        <w:rPr>
          <w:b/>
          <w:bCs/>
        </w:rPr>
        <w:t xml:space="preserve">Purchase Price Limits</w:t>
      </w:r>
    </w:p>
    <w:p>
      <w:pPr>
        <w:spacing w:after="160"/>
      </w:pPr>
      <w:r>
        <w:t xml:space="preserve">Capture official acquisition or purchase-price limits.</w:t>
      </w:r>
    </w:p>
    <w:p>
      <w:pPr>
        <w:spacing w:after="160"/>
      </w:pPr>
      <w:r>
        <w:rPr>
          <w:b/>
          <w:bCs/>
        </w:rPr>
        <w:t xml:space="preserve">Rationale: </w:t>
      </w:r>
      <w:r>
        <w:t xml:space="preserve">Required for accurate eligibility determination.</w:t>
      </w:r>
    </w:p>
    <w:p>
      <w:pPr>
        <w:pStyle w:val="Heading2"/>
        <w:spacing w:after="120" w:before="240"/>
      </w:pPr>
      <w:r>
        <w:rPr>
          <w:b/>
          <w:bCs/>
        </w:rPr>
        <w:t xml:space="preserve">Targeted Areas</w:t>
      </w:r>
    </w:p>
    <w:p>
      <w:pPr>
        <w:spacing w:after="160"/>
      </w:pPr>
      <w:r>
        <w:t xml:space="preserve">Capture:</w:t>
      </w:r>
    </w:p>
    <w:p>
      <w:pPr>
        <w:pStyle w:val="ListParagraph"/>
        <w:numPr>
          <w:ilvl w:val="0"/>
          <w:numId w:val="2"/>
        </w:numPr>
        <w:spacing w:after="80"/>
      </w:pPr>
      <w:r>
        <w:t xml:space="preserve">Targeted census tracts</w:t>
      </w:r>
    </w:p>
    <w:p>
      <w:pPr>
        <w:pStyle w:val="ListParagraph"/>
        <w:numPr>
          <w:ilvl w:val="0"/>
          <w:numId w:val="2"/>
        </w:numPr>
        <w:spacing w:after="80"/>
      </w:pPr>
      <w:r>
        <w:t xml:space="preserve">Targeted counties</w:t>
      </w:r>
    </w:p>
    <w:p>
      <w:pPr>
        <w:pStyle w:val="ListParagraph"/>
        <w:numPr>
          <w:ilvl w:val="0"/>
          <w:numId w:val="2"/>
        </w:numPr>
        <w:spacing w:after="80"/>
      </w:pPr>
      <w:r>
        <w:t xml:space="preserve">Other official targeted-area designations</w:t>
      </w:r>
    </w:p>
    <w:p>
      <w:pPr>
        <w:spacing w:after="160"/>
      </w:pPr>
      <w:r>
        <w:rPr>
          <w:b/>
          <w:bCs/>
        </w:rPr>
        <w:t xml:space="preserve">Rationale: </w:t>
      </w:r>
      <w:r>
        <w:t xml:space="preserve">Targeted areas frequently expand eligibility or increase allowable income and purchase-price limits.</w:t>
      </w:r>
    </w:p>
    <w:p>
      <w:pPr>
        <w:pStyle w:val="Heading2"/>
        <w:spacing w:after="120" w:before="240"/>
      </w:pPr>
      <w:r>
        <w:rPr>
          <w:b/>
          <w:bCs/>
        </w:rPr>
        <w:t xml:space="preserve">Mortgage Credit Certificates (MCC)</w:t>
      </w:r>
    </w:p>
    <w:p>
      <w:pPr>
        <w:spacing w:after="160"/>
      </w:pPr>
      <w:r>
        <w:t xml:space="preserve">Capture statewide MCC availability and program details where offered.</w:t>
      </w:r>
    </w:p>
    <w:p>
      <w:pPr>
        <w:spacing w:after="160"/>
      </w:pPr>
      <w:r>
        <w:rPr>
          <w:b/>
          <w:bCs/>
        </w:rPr>
        <w:t xml:space="preserve">Rationale: </w:t>
      </w:r>
      <w:r>
        <w:t xml:space="preserve">Although not available in every state, MCCs can provide meaningful long-term tax savings.</w:t>
      </w:r>
    </w:p>
    <w:p>
      <w:pPr>
        <w:pStyle w:val="Heading2"/>
        <w:spacing w:after="120" w:before="240"/>
      </w:pPr>
      <w:r>
        <w:rPr>
          <w:b/>
          <w:bCs/>
        </w:rPr>
        <w:t xml:space="preserve">Occupation-Specific State Programs</w:t>
      </w:r>
    </w:p>
    <w:p>
      <w:pPr>
        <w:spacing w:after="160"/>
      </w:pPr>
      <w:r>
        <w:t xml:space="preserve">Examples include:</w:t>
      </w:r>
    </w:p>
    <w:p>
      <w:pPr>
        <w:pStyle w:val="ListParagraph"/>
        <w:numPr>
          <w:ilvl w:val="0"/>
          <w:numId w:val="2"/>
        </w:numPr>
        <w:spacing w:after="80"/>
      </w:pPr>
      <w:r>
        <w:t xml:space="preserve">Teachers</w:t>
      </w:r>
    </w:p>
    <w:p>
      <w:pPr>
        <w:pStyle w:val="ListParagraph"/>
        <w:numPr>
          <w:ilvl w:val="0"/>
          <w:numId w:val="2"/>
        </w:numPr>
        <w:spacing w:after="80"/>
      </w:pPr>
      <w:r>
        <w:t xml:space="preserve">First responders</w:t>
      </w:r>
    </w:p>
    <w:p>
      <w:pPr>
        <w:pStyle w:val="ListParagraph"/>
        <w:numPr>
          <w:ilvl w:val="0"/>
          <w:numId w:val="2"/>
        </w:numPr>
        <w:spacing w:after="80"/>
      </w:pPr>
      <w:r>
        <w:t xml:space="preserve">Healthcare workers</w:t>
      </w:r>
    </w:p>
    <w:p>
      <w:pPr>
        <w:pStyle w:val="ListParagraph"/>
        <w:numPr>
          <w:ilvl w:val="0"/>
          <w:numId w:val="2"/>
        </w:numPr>
        <w:spacing w:after="80"/>
      </w:pPr>
      <w:r>
        <w:t xml:space="preserve">Veterans</w:t>
      </w:r>
    </w:p>
    <w:p>
      <w:pPr>
        <w:pStyle w:val="ListParagraph"/>
        <w:numPr>
          <w:ilvl w:val="0"/>
          <w:numId w:val="2"/>
        </w:numPr>
        <w:spacing w:after="80"/>
      </w:pPr>
      <w:r>
        <w:t xml:space="preserve">Military personnel</w:t>
      </w:r>
    </w:p>
    <w:p>
      <w:pPr>
        <w:pStyle w:val="ListParagraph"/>
        <w:numPr>
          <w:ilvl w:val="0"/>
          <w:numId w:val="2"/>
        </w:numPr>
        <w:spacing w:after="80"/>
      </w:pPr>
      <w:r>
        <w:t xml:space="preserve">Public employees</w:t>
      </w:r>
    </w:p>
    <w:p>
      <w:pPr>
        <w:spacing w:after="160"/>
      </w:pPr>
      <w:r>
        <w:rPr>
          <w:b/>
          <w:bCs/>
        </w:rPr>
        <w:t xml:space="preserve">Rationale: </w:t>
      </w:r>
      <w:r>
        <w:t xml:space="preserve">These statewide initiatives often provide substantial additional benefits to qualifying buyers.</w:t>
      </w:r>
    </w:p>
    <w:p>
      <w:pPr>
        <w:pStyle w:val="Heading1"/>
        <w:spacing w:after="160" w:before="320"/>
      </w:pPr>
      <w:r>
        <w:rPr>
          <w:b/>
          <w:bCs/>
        </w:rPr>
        <w:t xml:space="preserve">Decision Framework for Program Inclusion</w:t>
      </w:r>
    </w:p>
    <w:p>
      <w:pPr>
        <w:spacing w:after="160"/>
      </w:pPr>
      <w:r>
        <w:t xml:space="preserve">When evaluating whether a program should be included during Phase 1, the following factors should guide prioritization.</w:t>
      </w:r>
    </w:p>
    <w:p>
      <w:pPr>
        <w:pStyle w:val="Heading2"/>
        <w:spacing w:after="120" w:before="240"/>
      </w:pPr>
      <w:r>
        <w:rPr>
          <w:b/>
          <w:bCs/>
        </w:rPr>
        <w:t xml:space="preserve">1. Financial Impact</w:t>
      </w:r>
    </w:p>
    <w:p>
      <w:pPr>
        <w:spacing w:after="160"/>
      </w:pPr>
      <w:r>
        <w:t xml:space="preserve">How much assistance could the program realistically provide? Programs offering significant financial benefit receive the highest priority.</w:t>
      </w:r>
    </w:p>
    <w:p>
      <w:pPr>
        <w:pStyle w:val="Heading2"/>
        <w:spacing w:after="120" w:before="240"/>
      </w:pPr>
      <w:r>
        <w:rPr>
          <w:b/>
          <w:bCs/>
        </w:rPr>
        <w:t xml:space="preserve">2. Geographic Reach</w:t>
      </w:r>
    </w:p>
    <w:p>
      <w:pPr>
        <w:spacing w:after="160"/>
      </w:pPr>
      <w:r>
        <w:t xml:space="preserve">How many buyers could reasonably benefit? Statewide programs generally provide greater overall value than highly localized initiatives.</w:t>
      </w:r>
    </w:p>
    <w:p>
      <w:pPr>
        <w:pStyle w:val="Heading2"/>
        <w:spacing w:after="120" w:before="240"/>
      </w:pPr>
      <w:r>
        <w:rPr>
          <w:b/>
          <w:bCs/>
        </w:rPr>
        <w:t xml:space="preserve">3. Population Served</w:t>
      </w:r>
    </w:p>
    <w:p>
      <w:pPr>
        <w:spacing w:after="160"/>
      </w:pPr>
      <w:r>
        <w:t xml:space="preserve">Does the program apply broadly or only to a narrowly defined audience? Programs with broad applicability should generally be researched first.</w:t>
      </w:r>
    </w:p>
    <w:p>
      <w:pPr>
        <w:pStyle w:val="Heading2"/>
        <w:spacing w:after="120" w:before="240"/>
      </w:pPr>
      <w:r>
        <w:rPr>
          <w:b/>
          <w:bCs/>
        </w:rPr>
        <w:t xml:space="preserve">4. Data Stability</w:t>
      </w:r>
    </w:p>
    <w:p>
      <w:pPr>
        <w:spacing w:after="160"/>
      </w:pPr>
      <w:r>
        <w:t xml:space="preserve">How frequently do eligibility rules change? Programs with predictable annual updates are more sustainable than those with frequently changing eligibility requirements or inconsistent funding.</w:t>
      </w:r>
    </w:p>
    <w:p>
      <w:pPr>
        <w:pStyle w:val="Heading2"/>
        <w:spacing w:after="120" w:before="240"/>
      </w:pPr>
      <w:r>
        <w:rPr>
          <w:b/>
          <w:bCs/>
        </w:rPr>
        <w:t xml:space="preserve">5. Availability</w:t>
      </w:r>
    </w:p>
    <w:p>
      <w:pPr>
        <w:spacing w:after="160"/>
      </w:pPr>
      <w:r>
        <w:t xml:space="preserve">Is funding consistently available? Programs that routinely suspend applications because funding has been exhausted should generally receive lower Phase 1 priority.</w:t>
      </w:r>
    </w:p>
    <w:p>
      <w:pPr>
        <w:pStyle w:val="Heading2"/>
        <w:spacing w:after="120" w:before="240"/>
      </w:pPr>
      <w:r>
        <w:rPr>
          <w:b/>
          <w:bCs/>
        </w:rPr>
        <w:t xml:space="preserve">6. Source Authority</w:t>
      </w:r>
    </w:p>
    <w:p>
      <w:pPr>
        <w:spacing w:after="160"/>
      </w:pPr>
      <w:r>
        <w:t xml:space="preserve">Whenever possible, information should originate from official sources, including:</w:t>
      </w:r>
    </w:p>
    <w:p>
      <w:pPr>
        <w:pStyle w:val="ListParagraph"/>
        <w:numPr>
          <w:ilvl w:val="0"/>
          <w:numId w:val="2"/>
        </w:numPr>
        <w:spacing w:after="80"/>
      </w:pPr>
      <w:r>
        <w:t xml:space="preserve">State Housing Finance Agencies</w:t>
      </w:r>
    </w:p>
    <w:p>
      <w:pPr>
        <w:pStyle w:val="ListParagraph"/>
        <w:numPr>
          <w:ilvl w:val="0"/>
          <w:numId w:val="2"/>
        </w:numPr>
        <w:spacing w:after="80"/>
      </w:pPr>
      <w:r>
        <w:t xml:space="preserve">State housing departments</w:t>
      </w:r>
    </w:p>
    <w:p>
      <w:pPr>
        <w:pStyle w:val="ListParagraph"/>
        <w:numPr>
          <w:ilvl w:val="0"/>
          <w:numId w:val="2"/>
        </w:numPr>
        <w:spacing w:after="80"/>
      </w:pPr>
      <w:r>
        <w:t xml:space="preserve">Official program administrators</w:t>
      </w:r>
    </w:p>
    <w:p>
      <w:pPr>
        <w:pStyle w:val="ListParagraph"/>
        <w:numPr>
          <w:ilvl w:val="0"/>
          <w:numId w:val="2"/>
        </w:numPr>
        <w:spacing w:after="80"/>
      </w:pPr>
      <w:r>
        <w:t xml:space="preserve">HUD and other federal agencies</w:t>
      </w:r>
    </w:p>
    <w:p>
      <w:pPr>
        <w:spacing w:after="160"/>
      </w:pPr>
      <w:r>
        <w:t xml:space="preserve">All curated data should be traceable to an authoritative publication with an effective date.</w:t>
      </w:r>
    </w:p>
    <w:p>
      <w:pPr>
        <w:pStyle w:val="Heading1"/>
        <w:spacing w:after="160" w:before="320"/>
      </w:pPr>
      <w:r>
        <w:rPr>
          <w:b/>
          <w:bCs/>
        </w:rPr>
        <w:t xml:space="preserve">Outreach Efficiency</w:t>
      </w:r>
    </w:p>
    <w:p>
      <w:pPr>
        <w:pBdr>
          <w:left w:val="single" w:color="888888" w:sz="12" w:space="8"/>
        </w:pBdr>
        <w:spacing w:after="200"/>
      </w:pPr>
      <w:r>
        <w:rPr>
          <w:i/>
          <w:iCs/>
          <w:color w:val="555555"/>
        </w:rPr>
        <w:t xml:space="preserve">New in Version 2.</w:t>
      </w:r>
    </w:p>
    <w:p>
      <w:pPr>
        <w:spacing w:after="160"/>
      </w:pPr>
      <w:r>
        <w:t xml:space="preserve">Some curation items cannot be resolved from published documents alone and require direct outreach to an agency or administrator for confirmation — for example, confirming whether an ambiguously-documented program is still active, or clarifying which source document governs a specific data point.</w:t>
      </w:r>
    </w:p>
    <w:p>
      <w:pPr>
        <w:spacing w:after="160"/>
      </w:pPr>
      <w:r>
        <w:t xml:space="preserve">Where a curation task depends on this kind of outreach, opportunities to batch that outreach across multiple states or programs should be taken whenever they exist, rather than pursuing confirmation-needed items one at a time and sitting idle between a request and a response.</w:t>
      </w:r>
    </w:p>
    <w:p>
      <w:pPr>
        <w:spacing w:after="160"/>
      </w:pPr>
      <w:r>
        <w:t xml:space="preserve">In practice, this means periodically reviewing open confirmation-needed items across all states in progress and grouping them by agency type, question type, or region before initiating outreach — so a single research window can advance several stalled items at once instead of only one.</w:t>
      </w:r>
    </w:p>
    <w:p>
      <w:pPr>
        <w:pStyle w:val="Heading1"/>
        <w:spacing w:after="160" w:before="320"/>
      </w:pPr>
      <w:r>
        <w:rPr>
          <w:b/>
          <w:bCs/>
        </w:rPr>
        <w:t xml:space="preserve">Phase 2 Expansion</w:t>
      </w:r>
    </w:p>
    <w:p>
      <w:pPr>
        <w:spacing w:after="160"/>
      </w:pPr>
      <w:r>
        <w:t xml:space="preserve">Once complete statewide coverage has been established, HomeAccessIQ will expand to include larger local programs, such as:</w:t>
      </w:r>
    </w:p>
    <w:p>
      <w:pPr>
        <w:pStyle w:val="ListParagraph"/>
        <w:numPr>
          <w:ilvl w:val="0"/>
          <w:numId w:val="2"/>
        </w:numPr>
        <w:spacing w:after="80"/>
      </w:pPr>
      <w:r>
        <w:t xml:space="preserve">County housing authority programs</w:t>
      </w:r>
    </w:p>
    <w:p>
      <w:pPr>
        <w:pStyle w:val="ListParagraph"/>
        <w:numPr>
          <w:ilvl w:val="0"/>
          <w:numId w:val="2"/>
        </w:numPr>
        <w:spacing w:after="80"/>
      </w:pPr>
      <w:r>
        <w:t xml:space="preserve">Municipal down payment assistance</w:t>
      </w:r>
    </w:p>
    <w:p>
      <w:pPr>
        <w:pStyle w:val="ListParagraph"/>
        <w:numPr>
          <w:ilvl w:val="0"/>
          <w:numId w:val="2"/>
        </w:numPr>
        <w:spacing w:after="80"/>
      </w:pPr>
      <w:r>
        <w:t xml:space="preserve">Major metropolitan initiatives</w:t>
      </w:r>
    </w:p>
    <w:p>
      <w:pPr>
        <w:pStyle w:val="ListParagraph"/>
        <w:numPr>
          <w:ilvl w:val="0"/>
          <w:numId w:val="2"/>
        </w:numPr>
        <w:spacing w:after="80"/>
      </w:pPr>
      <w:r>
        <w:t xml:space="preserve">Large regional programs</w:t>
      </w:r>
    </w:p>
    <w:p>
      <w:pPr>
        <w:spacing w:after="160"/>
      </w:pPr>
      <w:r>
        <w:t xml:space="preserve">Expansion should prioritize:</w:t>
      </w:r>
    </w:p>
    <w:p>
      <w:pPr>
        <w:pStyle w:val="ListParagraph"/>
        <w:numPr>
          <w:ilvl w:val="0"/>
          <w:numId w:val="2"/>
        </w:numPr>
        <w:spacing w:after="80"/>
      </w:pPr>
      <w:r>
        <w:t xml:space="preserve">Population served</w:t>
      </w:r>
    </w:p>
    <w:p>
      <w:pPr>
        <w:pStyle w:val="ListParagraph"/>
        <w:numPr>
          <w:ilvl w:val="0"/>
          <w:numId w:val="2"/>
        </w:numPr>
        <w:spacing w:after="80"/>
      </w:pPr>
      <w:r>
        <w:t xml:space="preserve">Financial impact</w:t>
      </w:r>
    </w:p>
    <w:p>
      <w:pPr>
        <w:pStyle w:val="ListParagraph"/>
        <w:numPr>
          <w:ilvl w:val="0"/>
          <w:numId w:val="2"/>
        </w:numPr>
        <w:spacing w:after="80"/>
      </w:pPr>
      <w:r>
        <w:t xml:space="preserve">Program stability</w:t>
      </w:r>
    </w:p>
    <w:p>
      <w:pPr>
        <w:pStyle w:val="ListParagraph"/>
        <w:numPr>
          <w:ilvl w:val="0"/>
          <w:numId w:val="2"/>
        </w:numPr>
        <w:spacing w:after="80"/>
      </w:pPr>
      <w:r>
        <w:t xml:space="preserve">Funding consistency</w:t>
      </w:r>
    </w:p>
    <w:p>
      <w:pPr>
        <w:pStyle w:val="Heading1"/>
        <w:spacing w:after="160" w:before="320"/>
      </w:pPr>
      <w:r>
        <w:rPr>
          <w:b/>
          <w:bCs/>
        </w:rPr>
        <w:t xml:space="preserve">Phase 3 Expansion</w:t>
      </w:r>
    </w:p>
    <w:p>
      <w:pPr>
        <w:spacing w:after="160"/>
      </w:pPr>
      <w:r>
        <w:t xml:space="preserve">Future releases will continue expanding the database with additional localized opportunities, including:</w:t>
      </w:r>
    </w:p>
    <w:p>
      <w:pPr>
        <w:pStyle w:val="ListParagraph"/>
        <w:numPr>
          <w:ilvl w:val="0"/>
          <w:numId w:val="2"/>
        </w:numPr>
        <w:spacing w:after="80"/>
      </w:pPr>
      <w:r>
        <w:t xml:space="preserve">Employer-assisted housing</w:t>
      </w:r>
    </w:p>
    <w:p>
      <w:pPr>
        <w:pStyle w:val="ListParagraph"/>
        <w:numPr>
          <w:ilvl w:val="0"/>
          <w:numId w:val="2"/>
        </w:numPr>
        <w:spacing w:after="80"/>
      </w:pPr>
      <w:r>
        <w:t xml:space="preserve">Community land trusts</w:t>
      </w:r>
    </w:p>
    <w:p>
      <w:pPr>
        <w:pStyle w:val="ListParagraph"/>
        <w:numPr>
          <w:ilvl w:val="0"/>
          <w:numId w:val="2"/>
        </w:numPr>
        <w:spacing w:after="80"/>
      </w:pPr>
      <w:r>
        <w:t xml:space="preserve">Nonprofit assistance programs</w:t>
      </w:r>
    </w:p>
    <w:p>
      <w:pPr>
        <w:pStyle w:val="ListParagraph"/>
        <w:numPr>
          <w:ilvl w:val="0"/>
          <w:numId w:val="2"/>
        </w:numPr>
        <w:spacing w:after="80"/>
      </w:pPr>
      <w:r>
        <w:t xml:space="preserve">Neighborhood revitalization initiatives</w:t>
      </w:r>
    </w:p>
    <w:p>
      <w:pPr>
        <w:pStyle w:val="ListParagraph"/>
        <w:numPr>
          <w:ilvl w:val="0"/>
          <w:numId w:val="2"/>
        </w:numPr>
        <w:spacing w:after="80"/>
      </w:pPr>
      <w:r>
        <w:t xml:space="preserve">Smaller municipal programs</w:t>
      </w:r>
    </w:p>
    <w:p>
      <w:pPr>
        <w:spacing w:after="160"/>
      </w:pPr>
      <w:r>
        <w:t xml:space="preserve">These remain part of the long-term vision but are intentionally deferred so they do not delay delivery of the core platform.</w:t>
      </w:r>
    </w:p>
    <w:p>
      <w:pPr>
        <w:pStyle w:val="Heading1"/>
        <w:spacing w:after="160" w:before="320"/>
      </w:pPr>
      <w:r>
        <w:rPr>
          <w:b/>
          <w:bCs/>
        </w:rPr>
        <w:t xml:space="preserve">Research Philosophy</w:t>
      </w:r>
    </w:p>
    <w:p>
      <w:pPr>
        <w:spacing w:after="160"/>
      </w:pPr>
      <w:r>
        <w:t xml:space="preserve">HomeAccessIQ is designed to be an educational discovery platform — not an automated underwriting system.</w:t>
      </w:r>
    </w:p>
    <w:p>
      <w:pPr>
        <w:spacing w:after="160"/>
      </w:pPr>
      <w:r>
        <w:t xml:space="preserve">Its purpose is to identify meaningful opportunities worthy of further investigation, helping buyers begin informed conversations with participating lenders and program administrators.</w:t>
      </w:r>
    </w:p>
    <w:p>
      <w:pPr>
        <w:spacing w:after="160"/>
      </w:pPr>
      <w:r>
        <w:t xml:space="preserve">Recommendations should always encourage users to verify current eligibility requirements, funding availability, and program terms with the administering agency or participating lender before making financial decisions.</w:t>
      </w:r>
    </w:p>
    <w:p>
      <w:pPr>
        <w:pStyle w:val="Heading1"/>
        <w:spacing w:after="160" w:before="320"/>
      </w:pPr>
      <w:r>
        <w:rPr>
          <w:b/>
          <w:bCs/>
        </w:rPr>
        <w:t xml:space="preserve">Long-Term Vision</w:t>
      </w:r>
    </w:p>
    <w:p>
      <w:pPr>
        <w:spacing w:after="160"/>
      </w:pPr>
      <w:r>
        <w:t xml:space="preserve">The long-term vision for HomeAccessIQ remains unchanged: to build one of the most comprehensive and authoritative homebuyer assistance research platforms available.</w:t>
      </w:r>
    </w:p>
    <w:p>
      <w:pPr>
        <w:spacing w:after="160"/>
      </w:pPr>
      <w:r>
        <w:t xml:space="preserve">The refinement introduced here simply recognizes that achieving this vision is best accomplished through a phased approach, with structural integrity and cross-state generalizability treated as prerequisites rather than afterthoughts.</w:t>
      </w:r>
    </w:p>
    <w:p>
      <w:pPr>
        <w:spacing w:after="160"/>
      </w:pPr>
      <w:r>
        <w:t xml:space="preserve">By first completing high-value statewide coverage across all 50 states — on a foundation built to scale cleanly — HomeAccessIQ can begin delivering meaningful benefit much sooner while creating a standardized, maintainable, and authoritative data foundation.</w:t>
      </w:r>
    </w:p>
    <w:p>
      <w:pPr>
        <w:spacing w:after="160"/>
      </w:pPr>
      <w:r>
        <w:t xml:space="preserve">Subsequent phases will continue expanding coverage to include county, city, employer-sponsored, nonprofit, and other specialized programs until the platform evolves toward comprehensive national coverage.</w:t>
      </w:r>
    </w:p>
    <w:p>
      <w:pPr>
        <w:spacing w:after="160"/>
      </w:pPr>
      <w:r>
        <w:t xml:space="preserve">This approach preserves the original vision while ensuring Phase 1 remains focused, achievable, and capable of delivering meaningful value without becoming bogged down by the scale of the approximately 2,700 assistance programs currently available nationwide.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2026-08-01T16:35:58.059Z</dcterms:created>
  <dcterms:modified xsi:type="dcterms:W3CDTF">2026-08-01T16:35:58.072Z</dcterms:modified>
</cp:coreProperties>
</file>

<file path=docProps/custom.xml><?xml version="1.0" encoding="utf-8"?>
<Properties xmlns="http://schemas.openxmlformats.org/officeDocument/2006/custom-properties" xmlns:vt="http://schemas.openxmlformats.org/officeDocument/2006/docPropsVTypes"/>
</file>