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3100F"/>
          <w:sz w:val="40"/>
          <w:szCs w:val="40"/>
        </w:rPr>
        <w:t xml:space="preserve">RealEquityIQ </w:t>
      </w:r>
      <w:r>
        <w:rPr>
          <w:rFonts w:ascii="Calibri" w:cs="Calibri" w:eastAsia="Calibri" w:hAnsi="Calibri"/>
          <w:b/>
          <w:bCs/>
          <w:color w:val="C40000"/>
          <w:sz w:val="40"/>
          <w:szCs w:val="40"/>
        </w:rPr>
        <w:t xml:space="preserve">Design System Guide</w:t>
      </w:r>
    </w:p>
    <w:p>
      <w:pPr>
        <w:spacing w:after="160"/>
      </w:pPr>
      <w:r>
        <w:rPr>
          <w:rFonts w:ascii="Calibri" w:cs="Calibri" w:eastAsia="Calibri" w:hAnsi="Calibri"/>
          <w:color w:val="625A5A"/>
          <w:sz w:val="24"/>
          <w:szCs w:val="24"/>
        </w:rPr>
        <w:t xml:space="preserve">Visual Standards, Asset Governance, and Safe-Area Rules</w:t>
      </w:r>
    </w:p>
    <w:p>
      <w:pPr>
        <w:spacing w:after="300"/>
      </w:pPr>
      <w:r>
        <w:rPr>
          <w:rFonts w:ascii="Calibri" w:cs="Calibri" w:eastAsia="Calibri" w:hAnsi="Calibri"/>
          <w:i/>
          <w:iCs/>
          <w:color w:val="625A5A"/>
          <w:sz w:val="20"/>
          <w:szCs w:val="20"/>
        </w:rPr>
        <w:t xml:space="preserve">Living reference document. Establishes the shared visual language and technical conventions for every RealEquityIQ environment, completion scene, UI asset, and audio cue. Companion to the Promenade Technical Design Specification &amp; Development Handoff — this guide governs how assets look and are structured; that document governs how the experience behaves.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shd w:fill="F3E6E6" w:val="clear"/>
            <w:tcMar>
              <w:top w:type="dxa" w:w="80"/>
              <w:left w:type="dxa" w:w="100"/>
              <w:bottom w:type="dxa" w:w="80"/>
              <w:right w:type="dxa" w:w="100"/>
            </w:tcMar>
            <w:vAlign w:val="top"/>
          </w:tcPr>
          <w:p>
            <w:r>
              <w:rPr>
                <w:rFonts w:ascii="Calibri" w:cs="Calibri" w:eastAsia="Calibri" w:hAnsi="Calibri"/>
                <w:b/>
                <w:bCs/>
                <w:color w:val="C40000"/>
                <w:sz w:val="19"/>
                <w:szCs w:val="19"/>
              </w:rPr>
              <w:t xml:space="preserve">Field</w:t>
            </w:r>
          </w:p>
        </w:tc>
        <w:tc>
          <w:tcPr>
            <w:tcW w:type="dxa" w:w="6600"/>
            <w:shd w:fill="F3E6E6" w:val="clear"/>
            <w:tcMar>
              <w:top w:type="dxa" w:w="80"/>
              <w:left w:type="dxa" w:w="100"/>
              <w:bottom w:type="dxa" w:w="80"/>
              <w:right w:type="dxa" w:w="100"/>
            </w:tcMar>
            <w:vAlign w:val="top"/>
          </w:tcPr>
          <w:p>
            <w:r>
              <w:rPr>
                <w:rFonts w:ascii="Calibri" w:cs="Calibri" w:eastAsia="Calibri" w:hAnsi="Calibri"/>
                <w:b/>
                <w:bCs/>
                <w:color w:val="C40000"/>
                <w:sz w:val="19"/>
                <w:szCs w:val="19"/>
              </w:rPr>
              <w:t xml:space="preserve">Detail</w:t>
            </w:r>
          </w:p>
        </w:tc>
      </w:tr>
      <w:tr>
        <w:tc>
          <w:tcPr>
            <w:tcW w:type="dxa" w:w="26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Document purpose</w:t>
            </w:r>
          </w:p>
        </w:tc>
        <w:tc>
          <w:tcPr>
            <w:tcW w:type="dxa" w:w="66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Provide a single, versioned reference so every future asset — environment, seal, badge, or audio cue — is produced consistently and checked against one standard rather than re-derived each time.</w:t>
            </w:r>
          </w:p>
        </w:tc>
      </w:tr>
      <w:tr>
        <w:tc>
          <w:tcPr>
            <w:tcW w:type="dxa" w:w="26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Status</w:t>
            </w:r>
          </w:p>
        </w:tc>
        <w:tc>
          <w:tcPr>
            <w:tcW w:type="dxa" w:w="66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v0.2 — corrective update. Populated where a real decision exists; placeholder where it does not yet. See Version History (§7) for what changed since v0.1.</w:t>
            </w:r>
          </w:p>
        </w:tc>
      </w:tr>
      <w:tr>
        <w:tc>
          <w:tcPr>
            <w:tcW w:type="dxa" w:w="26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Companion document</w:t>
            </w:r>
          </w:p>
        </w:tc>
        <w:tc>
          <w:tcPr>
            <w:tcW w:type="dxa" w:w="66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RealEquityIQ The Promenade — Technical Design Specification &amp; Development Handoff</w:t>
            </w:r>
          </w:p>
        </w:tc>
      </w:tr>
      <w:tr>
        <w:tc>
          <w:tcPr>
            <w:tcW w:type="dxa" w:w="26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Owner</w:t>
            </w:r>
          </w:p>
        </w:tc>
        <w:tc>
          <w:tcPr>
            <w:tcW w:type="dxa" w:w="66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Design team (this guide) / Development team (technical design specification)</w:t>
            </w:r>
          </w:p>
        </w:tc>
      </w:tr>
    </w:tbl>
    <w:p>
      <w:pPr>
        <w:pStyle w:val="Heading1"/>
        <w:pBdr>
          <w:bottom w:val="single" w:color="C40000" w:sz="10" w:space="4"/>
        </w:pBdr>
        <w:spacing w:after="160" w:before="420"/>
      </w:pPr>
      <w:r>
        <w:rPr>
          <w:rFonts w:ascii="Calibri" w:cs="Calibri" w:eastAsia="Calibri" w:hAnsi="Calibri"/>
          <w:b/>
          <w:bCs/>
          <w:color w:val="C40000"/>
          <w:sz w:val="30"/>
          <w:szCs w:val="30"/>
        </w:rPr>
        <w:t xml:space="preserve">0. How to Use This Guide</w:t>
      </w:r>
    </w:p>
    <w:p>
      <w:pPr>
        <w:spacing w:after="160"/>
      </w:pPr>
      <w:r>
        <w:rPr>
          <w:rFonts w:ascii="Calibri" w:cs="Calibri" w:eastAsia="Calibri" w:hAnsi="Calibri"/>
          <w:b w:val="false"/>
          <w:bCs w:val="false"/>
          <w:i w:val="false"/>
          <w:iCs w:val="false"/>
          <w:color w:val="13100F"/>
          <w:sz w:val="21"/>
          <w:szCs w:val="21"/>
        </w:rPr>
        <w:t xml:space="preserve">Each section below is tagged with a status:</w:t>
      </w:r>
    </w:p>
    <w:p>
      <w:pPr>
        <w:pStyle w:val="ListParagraph"/>
        <w:numPr>
          <w:ilvl w:val="0"/>
          <w:numId w:val="2"/>
        </w:numPr>
        <w:spacing w:after="80"/>
      </w:pPr>
      <w:r>
        <w:rPr>
          <w:rFonts w:ascii="Calibri" w:cs="Calibri" w:eastAsia="Calibri" w:hAnsi="Calibri"/>
          <w:color w:val="13100F"/>
          <w:sz w:val="21"/>
          <w:szCs w:val="21"/>
        </w:rPr>
        <w:t xml:space="preserve">[ESTABLISHED] — a decision has been made and validated; treat as a firm rule.</w:t>
      </w:r>
    </w:p>
    <w:p>
      <w:pPr>
        <w:pStyle w:val="ListParagraph"/>
        <w:numPr>
          <w:ilvl w:val="0"/>
          <w:numId w:val="2"/>
        </w:numPr>
        <w:spacing w:after="80"/>
      </w:pPr>
      <w:r>
        <w:rPr>
          <w:rFonts w:ascii="Calibri" w:cs="Calibri" w:eastAsia="Calibri" w:hAnsi="Calibri"/>
          <w:color w:val="13100F"/>
          <w:sz w:val="21"/>
          <w:szCs w:val="21"/>
        </w:rPr>
        <w:t xml:space="preserve">[IN PROGRESS] — actively being worked; not yet a rule.</w:t>
      </w:r>
    </w:p>
    <w:p>
      <w:pPr>
        <w:pStyle w:val="ListParagraph"/>
        <w:numPr>
          <w:ilvl w:val="0"/>
          <w:numId w:val="2"/>
        </w:numPr>
        <w:spacing w:after="80"/>
      </w:pPr>
      <w:r>
        <w:rPr>
          <w:rFonts w:ascii="Calibri" w:cs="Calibri" w:eastAsia="Calibri" w:hAnsi="Calibri"/>
          <w:color w:val="13100F"/>
          <w:sz w:val="21"/>
          <w:szCs w:val="21"/>
        </w:rPr>
        <w:t xml:space="preserve">[PLACEHOLDER] — reserved structure for a future decision; nothing to follow yet.</w:t>
      </w:r>
    </w:p>
    <w:p>
      <w:pPr>
        <w:spacing w:after="160"/>
      </w:pPr>
      <w:r>
        <w:rPr>
          <w:rFonts w:ascii="Calibri" w:cs="Calibri" w:eastAsia="Calibri" w:hAnsi="Calibri"/>
          <w:b w:val="false"/>
          <w:bCs w:val="false"/>
          <w:i w:val="false"/>
          <w:iCs w:val="false"/>
          <w:color w:val="13100F"/>
          <w:sz w:val="21"/>
          <w:szCs w:val="21"/>
        </w:rPr>
        <w:t xml:space="preserve">Nothing in a placeholder section should be treated as guidance. Its presence only marks where a future standard will live.</w:t>
      </w:r>
    </w:p>
    <w:p>
      <w:pPr>
        <w:pBdr>
          <w:top w:val="single" w:color="D9D3D3" w:sz="4" w:space="4"/>
          <w:bottom w:val="single" w:color="D9D3D3" w:sz="4" w:space="4"/>
          <w:left w:val="single" w:color="C40000" w:sz="18" w:space="8"/>
          <w:right w:val="single" w:color="D9D3D3" w:sz="4" w:space="4"/>
        </w:pBdr>
        <w:shd w:fill="F7F5F3" w:val="clear"/>
        <w:spacing w:after="200" w:before="100"/>
      </w:pPr>
      <w:r>
        <w:rPr>
          <w:rFonts w:ascii="Calibri" w:cs="Calibri" w:eastAsia="Calibri" w:hAnsi="Calibri"/>
          <w:i/>
          <w:iCs/>
          <w:color w:val="625A5A"/>
          <w:sz w:val="20"/>
          <w:szCs w:val="20"/>
        </w:rPr>
        <w:t xml:space="preserve">Dated "UPDATE" callouts (like the ones in §1.3 and §2 below) mark corrections made after the original section was written. The original text is left in place for context; the callout states what changed, when, and on what authority — this guide's own history should stay legible, not get silently overwritten.</w:t>
      </w:r>
    </w:p>
    <w:p>
      <w:pPr>
        <w:pStyle w:val="Heading1"/>
        <w:pBdr>
          <w:bottom w:val="single" w:color="C40000" w:sz="10" w:space="4"/>
        </w:pBdr>
        <w:spacing w:after="160" w:before="420"/>
      </w:pPr>
      <w:r>
        <w:rPr>
          <w:rFonts w:ascii="Calibri" w:cs="Calibri" w:eastAsia="Calibri" w:hAnsi="Calibri"/>
          <w:b/>
          <w:bCs/>
          <w:color w:val="C40000"/>
          <w:sz w:val="30"/>
          <w:szCs w:val="30"/>
        </w:rPr>
        <w:t xml:space="preserve">1. Environment Assets</w:t>
      </w:r>
    </w:p>
    <w:p>
      <w:pPr>
        <w:spacing w:after="100" w:before="260"/>
      </w:pPr>
      <w:r>
        <w:rPr>
          <w:rFonts w:ascii="Calibri" w:cs="Calibri" w:eastAsia="Calibri" w:hAnsi="Calibri"/>
          <w:b/>
          <w:bCs/>
          <w:color w:val="13100F"/>
          <w:sz w:val="24"/>
          <w:szCs w:val="24"/>
        </w:rPr>
        <w:t xml:space="preserve">1.1 Promenade</w:t>
      </w:r>
    </w:p>
    <w:p>
      <w:pPr>
        <w:spacing w:after="140"/>
      </w:pPr>
      <w:r>
        <w:rPr>
          <w:rFonts w:ascii="Calibri" w:cs="Calibri" w:eastAsia="Calibri" w:hAnsi="Calibri"/>
          <w:b/>
          <w:bCs/>
          <w:color w:val="C40000"/>
          <w:sz w:val="20"/>
          <w:szCs w:val="20"/>
        </w:rPr>
        <w:t xml:space="preserve">Status: [ESTABLISHED]</w:t>
      </w:r>
    </w:p>
    <w:p>
      <w:pPr>
        <w:spacing w:after="160"/>
      </w:pPr>
      <w:r>
        <w:rPr>
          <w:rFonts w:ascii="Calibri" w:cs="Calibri" w:eastAsia="Calibri" w:hAnsi="Calibri"/>
          <w:b w:val="false"/>
          <w:bCs w:val="false"/>
          <w:i w:val="false"/>
          <w:iCs w:val="false"/>
          <w:color w:val="13100F"/>
          <w:sz w:val="21"/>
          <w:szCs w:val="21"/>
        </w:rPr>
        <w:t xml:space="preserve">Style: photorealistic, premium park/plaza environment. Golden-hour sunset lighting. Winding cobblestone path from foreground to a central landmark plaza. Ceremonial banners and an institutional crest mark the landmark point. Layered depth — foreground path, midground park and water feature, background city skyline.</w:t>
      </w:r>
    </w:p>
    <w:p>
      <w:pPr>
        <w:spacing w:after="160"/>
      </w:pPr>
      <w:r>
        <w:rPr>
          <w:rFonts w:ascii="Calibri" w:cs="Calibri" w:eastAsia="Calibri" w:hAnsi="Calibri"/>
          <w:b w:val="false"/>
          <w:bCs w:val="false"/>
          <w:i w:val="false"/>
          <w:iCs w:val="false"/>
          <w:color w:val="13100F"/>
          <w:sz w:val="21"/>
          <w:szCs w:val="21"/>
        </w:rPr>
        <w:t xml:space="preserve">Composition rule: delivered as a single, flattened background image with no milestones, labels, progress path, cards, badges, or interface text baked in. Those remain coded HTML/CSS overlays owned by development (see Technical Design Specification, Section 10, Asset Contract).</w:t>
      </w:r>
    </w:p>
    <w:p>
      <w:pPr>
        <w:spacing w:after="60" w:before="160"/>
      </w:pPr>
      <w:r>
        <w:rPr>
          <w:rFonts w:ascii="Calibri" w:cs="Calibri" w:eastAsia="Calibri" w:hAnsi="Calibri"/>
          <w:b/>
          <w:bCs/>
          <w:color w:val="13100F"/>
          <w:sz w:val="21"/>
          <w:szCs w:val="21"/>
        </w:rPr>
        <w:t xml:space="preserve">Safe Areas — Promenade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1600"/>
        <w:gridCol w:w="3100"/>
      </w:tblGrid>
      <w:tr>
        <w:tc>
          <w:tcPr>
            <w:tcW w:type="dxa" w:w="1700"/>
            <w:shd w:fill="F3E6E6" w:val="clear"/>
            <w:tcMar>
              <w:top w:type="dxa" w:w="80"/>
              <w:left w:type="dxa" w:w="100"/>
              <w:bottom w:type="dxa" w:w="80"/>
              <w:right w:type="dxa" w:w="100"/>
            </w:tcMar>
            <w:vAlign w:val="top"/>
          </w:tcPr>
          <w:p>
            <w:r>
              <w:rPr>
                <w:rFonts w:ascii="Calibri" w:cs="Calibri" w:eastAsia="Calibri" w:hAnsi="Calibri"/>
                <w:b/>
                <w:bCs/>
                <w:color w:val="C40000"/>
                <w:sz w:val="19"/>
                <w:szCs w:val="19"/>
              </w:rPr>
              <w:t xml:space="preserve">Zone</w:t>
            </w:r>
          </w:p>
        </w:tc>
        <w:tc>
          <w:tcPr>
            <w:tcW w:type="dxa" w:w="2800"/>
            <w:shd w:fill="F3E6E6" w:val="clear"/>
            <w:tcMar>
              <w:top w:type="dxa" w:w="80"/>
              <w:left w:type="dxa" w:w="100"/>
              <w:bottom w:type="dxa" w:w="80"/>
              <w:right w:type="dxa" w:w="100"/>
            </w:tcMar>
            <w:vAlign w:val="top"/>
          </w:tcPr>
          <w:p>
            <w:r>
              <w:rPr>
                <w:rFonts w:ascii="Calibri" w:cs="Calibri" w:eastAsia="Calibri" w:hAnsi="Calibri"/>
                <w:b/>
                <w:bCs/>
                <w:color w:val="C40000"/>
                <w:sz w:val="19"/>
                <w:szCs w:val="19"/>
              </w:rPr>
              <w:t xml:space="preserve">Reserved For</w:t>
            </w:r>
          </w:p>
        </w:tc>
        <w:tc>
          <w:tcPr>
            <w:tcW w:type="dxa" w:w="1600"/>
            <w:shd w:fill="F3E6E6" w:val="clear"/>
            <w:tcMar>
              <w:top w:type="dxa" w:w="80"/>
              <w:left w:type="dxa" w:w="100"/>
              <w:bottom w:type="dxa" w:w="80"/>
              <w:right w:type="dxa" w:w="100"/>
            </w:tcMar>
            <w:vAlign w:val="top"/>
          </w:tcPr>
          <w:p>
            <w:r>
              <w:rPr>
                <w:rFonts w:ascii="Calibri" w:cs="Calibri" w:eastAsia="Calibri" w:hAnsi="Calibri"/>
                <w:b/>
                <w:bCs/>
                <w:color w:val="C40000"/>
                <w:sz w:val="19"/>
                <w:szCs w:val="19"/>
              </w:rPr>
              <w:t xml:space="preserve">Status</w:t>
            </w:r>
          </w:p>
        </w:tc>
        <w:tc>
          <w:tcPr>
            <w:tcW w:type="dxa" w:w="3100"/>
            <w:shd w:fill="F3E6E6" w:val="clear"/>
            <w:tcMar>
              <w:top w:type="dxa" w:w="80"/>
              <w:left w:type="dxa" w:w="100"/>
              <w:bottom w:type="dxa" w:w="80"/>
              <w:right w:type="dxa" w:w="100"/>
            </w:tcMar>
            <w:vAlign w:val="top"/>
          </w:tcPr>
          <w:p>
            <w:r>
              <w:rPr>
                <w:rFonts w:ascii="Calibri" w:cs="Calibri" w:eastAsia="Calibri" w:hAnsi="Calibri"/>
                <w:b/>
                <w:bCs/>
                <w:color w:val="C40000"/>
                <w:sz w:val="19"/>
                <w:szCs w:val="19"/>
              </w:rPr>
              <w:t xml:space="preserve">Notes</w:t>
            </w:r>
          </w:p>
        </w:tc>
      </w:tr>
      <w:tr>
        <w:tc>
          <w:tcPr>
            <w:tcW w:type="dxa" w:w="17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Upper-right</w:t>
            </w:r>
          </w:p>
        </w:tc>
        <w:tc>
          <w:tcPr>
            <w:tcW w:type="dxa" w:w="28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Rank badge, View Passport control</w:t>
            </w:r>
          </w:p>
        </w:tc>
        <w:tc>
          <w:tcPr>
            <w:tcW w:type="dxa" w:w="16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Established</w:t>
            </w:r>
          </w:p>
        </w:tc>
        <w:tc>
          <w:tcPr>
            <w:tcW w:type="dxa" w:w="31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Open sky/skyline in both delivered versions — no revision needed.</w:t>
            </w:r>
          </w:p>
        </w:tc>
      </w:tr>
      <w:tr>
        <w:tc>
          <w:tcPr>
            <w:tcW w:type="dxa" w:w="17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Lower-right</w:t>
            </w:r>
          </w:p>
        </w:tc>
        <w:tc>
          <w:tcPr>
            <w:tcW w:type="dxa" w:w="28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"Next Steps" re-engagement panel</w:t>
            </w:r>
          </w:p>
        </w:tc>
        <w:tc>
          <w:tcPr>
            <w:tcW w:type="dxa" w:w="16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Established</w:t>
            </w:r>
          </w:p>
        </w:tc>
        <w:tc>
          <w:tcPr>
            <w:tcW w:type="dxa" w:w="31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Open grass/walkway in both delivered versions — no revision needed.</w:t>
            </w:r>
          </w:p>
        </w:tc>
      </w:tr>
      <w:tr>
        <w:tc>
          <w:tcPr>
            <w:tcW w:type="dxa" w:w="17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Left panel column</w:t>
            </w:r>
          </w:p>
        </w:tc>
        <w:tc>
          <w:tcPr>
            <w:tcW w:type="dxa" w:w="28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Progress card, guide message, recent celebrations</w:t>
            </w:r>
          </w:p>
        </w:tc>
        <w:tc>
          <w:tcPr>
            <w:tcW w:type="dxa" w:w="16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Established (v2)</w:t>
            </w:r>
          </w:p>
        </w:tc>
        <w:tc>
          <w:tcPr>
            <w:tcW w:type="dxa" w:w="31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v1 placed the waterfall directly behind this column; v2 relocated it to the lower-left corner, outside the column footprint.</w:t>
            </w:r>
          </w:p>
        </w:tc>
      </w:tr>
    </w:tbl>
    <w:p>
      <w:pPr>
        <w:spacing w:after="160"/>
      </w:pPr>
      <w:r>
        <w:rPr>
          <w:rFonts w:ascii="Calibri" w:cs="Calibri" w:eastAsia="Calibri" w:hAnsi="Calibri"/>
          <w:b w:val="false"/>
          <w:bCs w:val="false"/>
          <w:i w:val="false"/>
          <w:iCs w:val="false"/>
          <w:color w:val="13100F"/>
          <w:sz w:val="21"/>
          <w:szCs w:val="21"/>
        </w:rPr>
        <w:t xml:space="preserve">Reference case: the Promenade waterfall revision (v1 → v2) is the model example for resolving a strong focal element that conflicts with a safe area — relocate the feature rather than letting UI obscure it.</w:t>
      </w:r>
    </w:p>
    <w:p>
      <w:pPr>
        <w:spacing w:after="100" w:before="260"/>
      </w:pPr>
      <w:r>
        <w:rPr>
          <w:rFonts w:ascii="Calibri" w:cs="Calibri" w:eastAsia="Calibri" w:hAnsi="Calibri"/>
          <w:b/>
          <w:bCs/>
          <w:color w:val="13100F"/>
          <w:sz w:val="24"/>
          <w:szCs w:val="24"/>
        </w:rPr>
        <w:t xml:space="preserve">1.2 Journey Stations</w:t>
      </w:r>
    </w:p>
    <w:p>
      <w:pPr>
        <w:spacing w:after="140"/>
      </w:pPr>
      <w:r>
        <w:rPr>
          <w:rFonts w:ascii="Calibri" w:cs="Calibri" w:eastAsia="Calibri" w:hAnsi="Calibri"/>
          <w:b/>
          <w:bCs/>
          <w:color w:val="C40000"/>
          <w:sz w:val="20"/>
          <w:szCs w:val="20"/>
        </w:rPr>
        <w:t xml:space="preserve">Status: [PLACEHOLDER]</w:t>
      </w:r>
    </w:p>
    <w:p>
      <w:pPr>
        <w:spacing w:after="160"/>
      </w:pPr>
      <w:r>
        <w:rPr>
          <w:rFonts w:ascii="Calibri" w:cs="Calibri" w:eastAsia="Calibri" w:hAnsi="Calibri"/>
          <w:b w:val="false"/>
          <w:bCs w:val="false"/>
          <w:i w:val="false"/>
          <w:iCs w:val="false"/>
          <w:color w:val="13100F"/>
          <w:sz w:val="21"/>
          <w:szCs w:val="21"/>
        </w:rPr>
        <w:t xml:space="preserve">Reserved for the per-station imagery used within an active journey (e.g. "Define your targets," "Monitor the market"). No style or safe-area rules exist yet — apply the Promenade conventions above as a starting point until station-specific decisions are made.</w:t>
      </w:r>
    </w:p>
    <w:p>
      <w:pPr>
        <w:spacing w:after="100" w:before="260"/>
      </w:pPr>
      <w:r>
        <w:rPr>
          <w:rFonts w:ascii="Calibri" w:cs="Calibri" w:eastAsia="Calibri" w:hAnsi="Calibri"/>
          <w:b/>
          <w:bCs/>
          <w:color w:val="13100F"/>
          <w:sz w:val="24"/>
          <w:szCs w:val="24"/>
        </w:rPr>
        <w:t xml:space="preserve">1.3 Completion Scenes</w:t>
      </w:r>
    </w:p>
    <w:p>
      <w:pPr>
        <w:spacing w:after="140"/>
      </w:pPr>
      <w:r>
        <w:rPr>
          <w:rFonts w:ascii="Calibri" w:cs="Calibri" w:eastAsia="Calibri" w:hAnsi="Calibri"/>
          <w:b/>
          <w:bCs/>
          <w:color w:val="C40000"/>
          <w:sz w:val="20"/>
          <w:szCs w:val="20"/>
        </w:rPr>
        <w:t xml:space="preserve">Status: [IN PROGRESS] (was [PLACEHOLDER] in v0.1)</w:t>
      </w:r>
    </w:p>
    <w:p>
      <w:pPr>
        <w:spacing w:after="160"/>
      </w:pPr>
      <w:r>
        <w:rPr>
          <w:rFonts w:ascii="Calibri" w:cs="Calibri" w:eastAsia="Calibri" w:hAnsi="Calibri"/>
          <w:b w:val="false"/>
          <w:bCs w:val="false"/>
          <w:i w:val="false"/>
          <w:iCs w:val="false"/>
          <w:color w:val="13100F"/>
          <w:sz w:val="21"/>
          <w:szCs w:val="21"/>
        </w:rPr>
        <w:t xml:space="preserve">Reserved for the five journey-specific outcome scenes shown in the OUTCOME stage. Wait &amp; Save was originally slated as the pilot and next deliverable (Technical Design Specification, Sections 1 and 14). Once produced, this section should capture each scene’s style descriptors and any safe-area findings, following the Promenade template above.</w:t>
      </w:r>
    </w:p>
    <w:p>
      <w:pPr>
        <w:pBdr>
          <w:top w:val="single" w:color="D9D3D3" w:sz="4" w:space="4"/>
          <w:bottom w:val="single" w:color="D9D3D3" w:sz="4" w:space="4"/>
          <w:left w:val="single" w:color="B36B00" w:sz="18" w:space="8"/>
          <w:right w:val="single" w:color="D9D3D3" w:sz="4" w:space="4"/>
        </w:pBdr>
        <w:shd w:fill="FBEFE0" w:val="clear"/>
        <w:spacing w:after="200" w:before="100"/>
      </w:pPr>
      <w:r>
        <w:rPr>
          <w:rFonts w:ascii="Calibri" w:cs="Calibri" w:eastAsia="Calibri" w:hAnsi="Calibri"/>
          <w:b/>
          <w:bCs/>
          <w:color w:val="B36B00"/>
          <w:sz w:val="20"/>
          <w:szCs w:val="20"/>
        </w:rPr>
        <w:t xml:space="preserve">UPDATE — 2026-07-22: </w:t>
      </w:r>
      <w:r>
        <w:rPr>
          <w:rFonts w:ascii="Calibri" w:cs="Calibri" w:eastAsia="Calibri" w:hAnsi="Calibri"/>
          <w:color w:val="13100F"/>
          <w:sz w:val="20"/>
          <w:szCs w:val="20"/>
        </w:rPr>
        <w:t xml:space="preserve">per Marketing Execution Guide v1.1, the design team confirms a completion video asset now exists for all five journeys — Home Purchase, Wait &amp; Save, Rent, Invest, House Hack — produced for the marketing site. This is a motion/video deliverable. It is NOT yet confirmed whether a corresponding static, safe-area-compliant OUTCOME-stage background image (per §4.2’s spec: WebP/PNG, pan-only motion via coded overlay) exists for each journey, or whether that in-app asset is still a separate, pending piece of work. Flag for the design team: confirm per-journey whether the static in-app background is done, in progress, or still to be extracted/produced from the video source art. Do not treat this line item as fully closed until that’s answered.</w:t>
      </w:r>
    </w:p>
    <w:p>
      <w:pPr>
        <w:pStyle w:val="Heading1"/>
        <w:pBdr>
          <w:bottom w:val="single" w:color="C40000" w:sz="10" w:space="4"/>
        </w:pBdr>
        <w:spacing w:after="160" w:before="420"/>
      </w:pPr>
      <w:r>
        <w:rPr>
          <w:rFonts w:ascii="Calibri" w:cs="Calibri" w:eastAsia="Calibri" w:hAnsi="Calibri"/>
          <w:b/>
          <w:bCs/>
          <w:color w:val="C40000"/>
          <w:sz w:val="30"/>
          <w:szCs w:val="30"/>
        </w:rPr>
        <w:t xml:space="preserve">2. UI Assets</w:t>
      </w:r>
    </w:p>
    <w:p>
      <w:pPr>
        <w:spacing w:after="140"/>
      </w:pPr>
      <w:r>
        <w:rPr>
          <w:rFonts w:ascii="Calibri" w:cs="Calibri" w:eastAsia="Calibri" w:hAnsi="Calibri"/>
          <w:b/>
          <w:bCs/>
          <w:color w:val="C40000"/>
          <w:sz w:val="20"/>
          <w:szCs w:val="20"/>
        </w:rPr>
        <w:t xml:space="preserve">Status: [IN PROGRESS] (was [PLACEHOLDER] in v0.1)</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1600"/>
        <w:gridCol w:w="1800"/>
      </w:tblGrid>
      <w:tr>
        <w:tc>
          <w:tcPr>
            <w:tcW w:type="dxa" w:w="2400"/>
            <w:shd w:fill="F3E6E6" w:val="clear"/>
            <w:tcMar>
              <w:top w:type="dxa" w:w="80"/>
              <w:left w:type="dxa" w:w="100"/>
              <w:bottom w:type="dxa" w:w="80"/>
              <w:right w:type="dxa" w:w="100"/>
            </w:tcMar>
            <w:vAlign w:val="top"/>
          </w:tcPr>
          <w:p>
            <w:r>
              <w:rPr>
                <w:rFonts w:ascii="Calibri" w:cs="Calibri" w:eastAsia="Calibri" w:hAnsi="Calibri"/>
                <w:b/>
                <w:bCs/>
                <w:color w:val="C40000"/>
                <w:sz w:val="19"/>
                <w:szCs w:val="19"/>
              </w:rPr>
              <w:t xml:space="preserve">Asset</w:t>
            </w:r>
          </w:p>
        </w:tc>
        <w:tc>
          <w:tcPr>
            <w:tcW w:type="dxa" w:w="3400"/>
            <w:shd w:fill="F3E6E6" w:val="clear"/>
            <w:tcMar>
              <w:top w:type="dxa" w:w="80"/>
              <w:left w:type="dxa" w:w="100"/>
              <w:bottom w:type="dxa" w:w="80"/>
              <w:right w:type="dxa" w:w="100"/>
            </w:tcMar>
            <w:vAlign w:val="top"/>
          </w:tcPr>
          <w:p>
            <w:r>
              <w:rPr>
                <w:rFonts w:ascii="Calibri" w:cs="Calibri" w:eastAsia="Calibri" w:hAnsi="Calibri"/>
                <w:b/>
                <w:bCs/>
                <w:color w:val="C40000"/>
                <w:sz w:val="19"/>
                <w:szCs w:val="19"/>
              </w:rPr>
              <w:t xml:space="preserve">Purpose</w:t>
            </w:r>
          </w:p>
        </w:tc>
        <w:tc>
          <w:tcPr>
            <w:tcW w:type="dxa" w:w="1600"/>
            <w:shd w:fill="F3E6E6" w:val="clear"/>
            <w:tcMar>
              <w:top w:type="dxa" w:w="80"/>
              <w:left w:type="dxa" w:w="100"/>
              <w:bottom w:type="dxa" w:w="80"/>
              <w:right w:type="dxa" w:w="100"/>
            </w:tcMar>
            <w:vAlign w:val="top"/>
          </w:tcPr>
          <w:p>
            <w:r>
              <w:rPr>
                <w:rFonts w:ascii="Calibri" w:cs="Calibri" w:eastAsia="Calibri" w:hAnsi="Calibri"/>
                <w:b/>
                <w:bCs/>
                <w:color w:val="C40000"/>
                <w:sz w:val="19"/>
                <w:szCs w:val="19"/>
              </w:rPr>
              <w:t xml:space="preserve">Format</w:t>
            </w:r>
          </w:p>
        </w:tc>
        <w:tc>
          <w:tcPr>
            <w:tcW w:type="dxa" w:w="1800"/>
            <w:shd w:fill="F3E6E6" w:val="clear"/>
            <w:tcMar>
              <w:top w:type="dxa" w:w="80"/>
              <w:left w:type="dxa" w:w="100"/>
              <w:bottom w:type="dxa" w:w="80"/>
              <w:right w:type="dxa" w:w="100"/>
            </w:tcMar>
            <w:vAlign w:val="top"/>
          </w:tcPr>
          <w:p>
            <w:r>
              <w:rPr>
                <w:rFonts w:ascii="Calibri" w:cs="Calibri" w:eastAsia="Calibri" w:hAnsi="Calibri"/>
                <w:b/>
                <w:bCs/>
                <w:color w:val="C40000"/>
                <w:sz w:val="19"/>
                <w:szCs w:val="19"/>
              </w:rPr>
              <w:t xml:space="preserve">Status</w:t>
            </w:r>
          </w:p>
        </w:tc>
      </w:tr>
      <w:tr>
        <w:tc>
          <w:tcPr>
            <w:tcW w:type="dxa" w:w="24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Institution Crest</w:t>
            </w:r>
          </w:p>
        </w:tc>
        <w:tc>
          <w:tcPr>
            <w:tcW w:type="dxa" w:w="34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Top-level brand mark for rank/landmark moments</w:t>
            </w:r>
          </w:p>
        </w:tc>
        <w:tc>
          <w:tcPr>
            <w:tcW w:type="dxa" w:w="16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SVG (vector)</w:t>
            </w:r>
          </w:p>
        </w:tc>
        <w:tc>
          <w:tcPr>
            <w:tcW w:type="dxa" w:w="18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Produced</w:t>
            </w:r>
          </w:p>
        </w:tc>
      </w:tr>
      <w:tr>
        <w:tc>
          <w:tcPr>
            <w:tcW w:type="dxa" w:w="24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Journey Seals / Icons (5)</w:t>
            </w:r>
          </w:p>
        </w:tc>
        <w:tc>
          <w:tcPr>
            <w:tcW w:type="dxa" w:w="34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Identify each of the five foundational journeys</w:t>
            </w:r>
          </w:p>
        </w:tc>
        <w:tc>
          <w:tcPr>
            <w:tcW w:type="dxa" w:w="16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SVG (vector)</w:t>
            </w:r>
          </w:p>
        </w:tc>
        <w:tc>
          <w:tcPr>
            <w:tcW w:type="dxa" w:w="18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Out of scope</w:t>
            </w:r>
          </w:p>
        </w:tc>
      </w:tr>
      <w:tr>
        <w:tc>
          <w:tcPr>
            <w:tcW w:type="dxa" w:w="24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Rank Badges (3)</w:t>
            </w:r>
          </w:p>
        </w:tc>
        <w:tc>
          <w:tcPr>
            <w:tcW w:type="dxa" w:w="34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Explorer / Scholar / Practitioner</w:t>
            </w:r>
          </w:p>
        </w:tc>
        <w:tc>
          <w:tcPr>
            <w:tcW w:type="dxa" w:w="16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SVG (vector)</w:t>
            </w:r>
          </w:p>
        </w:tc>
        <w:tc>
          <w:tcPr>
            <w:tcW w:type="dxa" w:w="18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Produced</w:t>
            </w:r>
          </w:p>
        </w:tc>
      </w:tr>
      <w:tr>
        <w:tc>
          <w:tcPr>
            <w:tcW w:type="dxa" w:w="24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Passport Graphics</w:t>
            </w:r>
          </w:p>
        </w:tc>
        <w:tc>
          <w:tcPr>
            <w:tcW w:type="dxa" w:w="34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Journey Passport record display</w:t>
            </w:r>
          </w:p>
        </w:tc>
        <w:tc>
          <w:tcPr>
            <w:tcW w:type="dxa" w:w="16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TBD</w:t>
            </w:r>
          </w:p>
        </w:tc>
        <w:tc>
          <w:tcPr>
            <w:tcW w:type="dxa" w:w="18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Out of scope</w:t>
            </w:r>
          </w:p>
        </w:tc>
      </w:tr>
    </w:tbl>
    <w:p>
      <w:pPr>
        <w:pBdr>
          <w:top w:val="single" w:color="D9D3D3" w:sz="4" w:space="4"/>
          <w:bottom w:val="single" w:color="D9D3D3" w:sz="4" w:space="4"/>
          <w:left w:val="single" w:color="B36B00" w:sz="18" w:space="8"/>
          <w:right w:val="single" w:color="D9D3D3" w:sz="4" w:space="4"/>
        </w:pBdr>
        <w:shd w:fill="FBEFE0" w:val="clear"/>
        <w:spacing w:after="200" w:before="100"/>
      </w:pPr>
      <w:r>
        <w:rPr>
          <w:rFonts w:ascii="Calibri" w:cs="Calibri" w:eastAsia="Calibri" w:hAnsi="Calibri"/>
          <w:b/>
          <w:bCs/>
          <w:color w:val="B36B00"/>
          <w:sz w:val="20"/>
          <w:szCs w:val="20"/>
        </w:rPr>
        <w:t xml:space="preserve">UPDATE — 2026-07-22: </w:t>
      </w:r>
      <w:r>
        <w:rPr>
          <w:rFonts w:ascii="Calibri" w:cs="Calibri" w:eastAsia="Calibri" w:hAnsi="Calibri"/>
          <w:color w:val="13100F"/>
          <w:sz w:val="20"/>
          <w:szCs w:val="20"/>
        </w:rPr>
        <w:t xml:space="preserve">per Marketing Execution Guide v1.1 (design team review): Institution Crest and the 3 Rank Badges are produced. Journey Seals (5) and Passport Graphics were removed from scope entirely — not delayed, not owed later; do not re-raise these as outstanding work. Note also: "Certificates" was raised as a possible fifth item during that review and confirmed out of scope too — it was never a rename of anything above, simply not being built. Recorded here so it isn’t re-asked. Remaining open item: confirm the produced Crest and Badges against the spec line below (vector, motion, no achievement claims) before treating them as final, signed-off assets.</w:t>
      </w:r>
    </w:p>
    <w:p>
      <w:pPr>
        <w:spacing w:after="160"/>
      </w:pPr>
      <w:r>
        <w:rPr>
          <w:rFonts w:ascii="Calibri" w:cs="Calibri" w:eastAsia="Calibri" w:hAnsi="Calibri"/>
          <w:b w:val="false"/>
          <w:bCs w:val="false"/>
          <w:i w:val="false"/>
          <w:iCs w:val="false"/>
          <w:color w:val="13100F"/>
          <w:sz w:val="21"/>
          <w:szCs w:val="21"/>
        </w:rPr>
        <w:t xml:space="preserve">Per the Technical Design Specification’s Asset Contract table, all four are vector, support UI scale/fade motion, and carry no verified real-world achievement claims — badge names must never imply confirmed real-world financial execution.</w:t>
      </w:r>
    </w:p>
    <w:p>
      <w:pPr>
        <w:pStyle w:val="Heading1"/>
        <w:pBdr>
          <w:bottom w:val="single" w:color="C40000" w:sz="10" w:space="4"/>
        </w:pBdr>
        <w:spacing w:after="160" w:before="420"/>
      </w:pPr>
      <w:r>
        <w:rPr>
          <w:rFonts w:ascii="Calibri" w:cs="Calibri" w:eastAsia="Calibri" w:hAnsi="Calibri"/>
          <w:b/>
          <w:bCs/>
          <w:color w:val="C40000"/>
          <w:sz w:val="30"/>
          <w:szCs w:val="30"/>
        </w:rPr>
        <w:t xml:space="preserve">3. Audio</w:t>
      </w:r>
    </w:p>
    <w:p>
      <w:pPr>
        <w:spacing w:after="140"/>
      </w:pPr>
      <w:r>
        <w:rPr>
          <w:rFonts w:ascii="Calibri" w:cs="Calibri" w:eastAsia="Calibri" w:hAnsi="Calibri"/>
          <w:b/>
          <w:bCs/>
          <w:color w:val="C40000"/>
          <w:sz w:val="20"/>
          <w:szCs w:val="20"/>
        </w:rPr>
        <w:t xml:space="preserve">Status: [PLACEHOLDER]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400"/>
      </w:tblGrid>
      <w:tr>
        <w:tc>
          <w:tcPr>
            <w:tcW w:type="dxa" w:w="3200"/>
            <w:shd w:fill="F3E6E6" w:val="clear"/>
            <w:tcMar>
              <w:top w:type="dxa" w:w="80"/>
              <w:left w:type="dxa" w:w="100"/>
              <w:bottom w:type="dxa" w:w="80"/>
              <w:right w:type="dxa" w:w="100"/>
            </w:tcMar>
            <w:vAlign w:val="top"/>
          </w:tcPr>
          <w:p>
            <w:r>
              <w:rPr>
                <w:rFonts w:ascii="Calibri" w:cs="Calibri" w:eastAsia="Calibri" w:hAnsi="Calibri"/>
                <w:b/>
                <w:bCs/>
                <w:color w:val="C40000"/>
                <w:sz w:val="19"/>
                <w:szCs w:val="19"/>
              </w:rPr>
              <w:t xml:space="preserve">Cue</w:t>
            </w:r>
          </w:p>
        </w:tc>
        <w:tc>
          <w:tcPr>
            <w:tcW w:type="dxa" w:w="3600"/>
            <w:shd w:fill="F3E6E6" w:val="clear"/>
            <w:tcMar>
              <w:top w:type="dxa" w:w="80"/>
              <w:left w:type="dxa" w:w="100"/>
              <w:bottom w:type="dxa" w:w="80"/>
              <w:right w:type="dxa" w:w="100"/>
            </w:tcMar>
            <w:vAlign w:val="top"/>
          </w:tcPr>
          <w:p>
            <w:r>
              <w:rPr>
                <w:rFonts w:ascii="Calibri" w:cs="Calibri" w:eastAsia="Calibri" w:hAnsi="Calibri"/>
                <w:b/>
                <w:bCs/>
                <w:color w:val="C40000"/>
                <w:sz w:val="19"/>
                <w:szCs w:val="19"/>
              </w:rPr>
              <w:t xml:space="preserve">Constraint</w:t>
            </w:r>
          </w:p>
        </w:tc>
        <w:tc>
          <w:tcPr>
            <w:tcW w:type="dxa" w:w="2400"/>
            <w:shd w:fill="F3E6E6" w:val="clear"/>
            <w:tcMar>
              <w:top w:type="dxa" w:w="80"/>
              <w:left w:type="dxa" w:w="100"/>
              <w:bottom w:type="dxa" w:w="80"/>
              <w:right w:type="dxa" w:w="100"/>
            </w:tcMar>
            <w:vAlign w:val="top"/>
          </w:tcPr>
          <w:p>
            <w:r>
              <w:rPr>
                <w:rFonts w:ascii="Calibri" w:cs="Calibri" w:eastAsia="Calibri" w:hAnsi="Calibri"/>
                <w:b/>
                <w:bCs/>
                <w:color w:val="C40000"/>
                <w:sz w:val="19"/>
                <w:szCs w:val="19"/>
              </w:rPr>
              <w:t xml:space="preserve">Status</w:t>
            </w:r>
          </w:p>
        </w:tc>
      </w:tr>
      <w:tr>
        <w:tc>
          <w:tcPr>
            <w:tcW w:type="dxa" w:w="32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Milestone cue</w:t>
            </w:r>
          </w:p>
        </w:tc>
        <w:tc>
          <w:tcPr>
            <w:tcW w:type="dxa" w:w="36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One shot, under 5 seconds</w:t>
            </w:r>
          </w:p>
        </w:tc>
        <w:tc>
          <w:tcPr>
            <w:tcW w:type="dxa" w:w="24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Not yet produced</w:t>
            </w:r>
          </w:p>
        </w:tc>
      </w:tr>
      <w:tr>
        <w:tc>
          <w:tcPr>
            <w:tcW w:type="dxa" w:w="32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Journey-complete / celebration cue</w:t>
            </w:r>
          </w:p>
        </w:tc>
        <w:tc>
          <w:tcPr>
            <w:tcW w:type="dxa" w:w="36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One shot, under 5 seconds</w:t>
            </w:r>
          </w:p>
        </w:tc>
        <w:tc>
          <w:tcPr>
            <w:tcW w:type="dxa" w:w="24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Not yet produced</w:t>
            </w:r>
          </w:p>
        </w:tc>
      </w:tr>
      <w:tr>
        <w:tc>
          <w:tcPr>
            <w:tcW w:type="dxa" w:w="32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Passport stamp (optional)</w:t>
            </w:r>
          </w:p>
        </w:tc>
        <w:tc>
          <w:tcPr>
            <w:tcW w:type="dxa" w:w="36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One shot, under 5 seconds</w:t>
            </w:r>
          </w:p>
        </w:tc>
        <w:tc>
          <w:tcPr>
            <w:tcW w:type="dxa" w:w="24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Not yet produced</w:t>
            </w:r>
          </w:p>
        </w:tc>
      </w:tr>
    </w:tbl>
    <w:p>
      <w:pPr>
        <w:spacing w:after="160"/>
      </w:pPr>
      <w:r>
        <w:rPr>
          <w:rFonts w:ascii="Calibri" w:cs="Calibri" w:eastAsia="Calibri" w:hAnsi="Calibri"/>
          <w:b w:val="false"/>
          <w:bCs w:val="false"/>
          <w:i w:val="false"/>
          <w:iCs w:val="false"/>
          <w:color w:val="13100F"/>
          <w:sz w:val="21"/>
          <w:szCs w:val="21"/>
        </w:rPr>
        <w:t xml:space="preserve">All audio must respect a global mute preference and never autoplay without it (Technical Design Specification, Sections 5 and 11).</w:t>
      </w:r>
    </w:p>
    <w:p>
      <w:pPr>
        <w:pStyle w:val="Heading1"/>
        <w:pBdr>
          <w:bottom w:val="single" w:color="C40000" w:sz="10" w:space="4"/>
        </w:pBdr>
        <w:spacing w:after="160" w:before="420"/>
      </w:pPr>
      <w:r>
        <w:rPr>
          <w:rFonts w:ascii="Calibri" w:cs="Calibri" w:eastAsia="Calibri" w:hAnsi="Calibri"/>
          <w:b/>
          <w:bCs/>
          <w:color w:val="C40000"/>
          <w:sz w:val="30"/>
          <w:szCs w:val="30"/>
        </w:rPr>
        <w:t xml:space="preserve">4. Technical Specs</w:t>
      </w:r>
    </w:p>
    <w:p>
      <w:pPr>
        <w:spacing w:after="100" w:before="260"/>
      </w:pPr>
      <w:r>
        <w:rPr>
          <w:rFonts w:ascii="Calibri" w:cs="Calibri" w:eastAsia="Calibri" w:hAnsi="Calibri"/>
          <w:b/>
          <w:bCs/>
          <w:color w:val="13100F"/>
          <w:sz w:val="24"/>
          <w:szCs w:val="24"/>
        </w:rPr>
        <w:t xml:space="preserve">4.1 Naming Standards</w:t>
      </w:r>
    </w:p>
    <w:p>
      <w:pPr>
        <w:spacing w:after="140"/>
      </w:pPr>
      <w:r>
        <w:rPr>
          <w:rFonts w:ascii="Calibri" w:cs="Calibri" w:eastAsia="Calibri" w:hAnsi="Calibri"/>
          <w:b/>
          <w:bCs/>
          <w:color w:val="C40000"/>
          <w:sz w:val="20"/>
          <w:szCs w:val="20"/>
        </w:rPr>
        <w:t xml:space="preserve">Status: [ESTABLISHED]</w:t>
      </w:r>
    </w:p>
    <w:p>
      <w:pPr>
        <w:spacing w:after="160"/>
      </w:pPr>
      <w:r>
        <w:rPr>
          <w:rFonts w:ascii="Calibri" w:cs="Calibri" w:eastAsia="Calibri" w:hAnsi="Calibri"/>
          <w:b w:val="false"/>
          <w:bCs w:val="false"/>
          <w:i w:val="false"/>
          <w:iCs w:val="false"/>
          <w:color w:val="13100F"/>
          <w:sz w:val="21"/>
          <w:szCs w:val="21"/>
        </w:rPr>
        <w:t xml:space="preserve">Production filenames are fixed at the start of a build and never change once development wires them in. This lets placeholder assets ship immediately and be swapped for production art later with no code changes. Example placeholder set:</w:t>
      </w:r>
    </w:p>
    <w:p>
      <w:pPr>
        <w:pStyle w:val="ListParagraph"/>
        <w:numPr>
          <w:ilvl w:val="0"/>
          <w:numId w:val="2"/>
        </w:numPr>
        <w:spacing w:after="80"/>
      </w:pPr>
      <w:r>
        <w:rPr>
          <w:rFonts w:ascii="Calibri" w:cs="Calibri" w:eastAsia="Calibri" w:hAnsi="Calibri"/>
          <w:color w:val="13100F"/>
          <w:sz w:val="21"/>
          <w:szCs w:val="21"/>
        </w:rPr>
        <w:t xml:space="preserve">promenade-background.webp</w:t>
      </w:r>
    </w:p>
    <w:p>
      <w:pPr>
        <w:pStyle w:val="ListParagraph"/>
        <w:numPr>
          <w:ilvl w:val="0"/>
          <w:numId w:val="2"/>
        </w:numPr>
        <w:spacing w:after="80"/>
      </w:pPr>
      <w:r>
        <w:rPr>
          <w:rFonts w:ascii="Calibri" w:cs="Calibri" w:eastAsia="Calibri" w:hAnsi="Calibri"/>
          <w:color w:val="13100F"/>
          <w:sz w:val="21"/>
          <w:szCs w:val="21"/>
        </w:rPr>
        <w:t xml:space="preserve">wait-save-complete.webp</w:t>
      </w:r>
    </w:p>
    <w:p>
      <w:pPr>
        <w:pStyle w:val="ListParagraph"/>
        <w:numPr>
          <w:ilvl w:val="0"/>
          <w:numId w:val="2"/>
        </w:numPr>
        <w:spacing w:after="80"/>
      </w:pPr>
      <w:r>
        <w:rPr>
          <w:rFonts w:ascii="Calibri" w:cs="Calibri" w:eastAsia="Calibri" w:hAnsi="Calibri"/>
          <w:color w:val="13100F"/>
          <w:sz w:val="21"/>
          <w:szCs w:val="21"/>
        </w:rPr>
        <w:t xml:space="preserve">rank-explorer.svg</w:t>
      </w:r>
    </w:p>
    <w:p>
      <w:pPr>
        <w:spacing w:after="160"/>
      </w:pPr>
      <w:r>
        <w:rPr>
          <w:rFonts w:ascii="Calibri" w:cs="Calibri" w:eastAsia="Calibri" w:hAnsi="Calibri"/>
          <w:b w:val="false"/>
          <w:bCs w:val="false"/>
          <w:i w:val="false"/>
          <w:iCs w:val="false"/>
          <w:color w:val="13100F"/>
          <w:sz w:val="21"/>
          <w:szCs w:val="21"/>
        </w:rPr>
        <w:t xml:space="preserve">Design delivers final files under these same names; development only replaces file contents, never paths or config references.</w:t>
      </w:r>
    </w:p>
    <w:p>
      <w:pPr>
        <w:spacing w:after="100" w:before="260"/>
      </w:pPr>
      <w:r>
        <w:rPr>
          <w:rFonts w:ascii="Calibri" w:cs="Calibri" w:eastAsia="Calibri" w:hAnsi="Calibri"/>
          <w:b/>
          <w:bCs/>
          <w:color w:val="13100F"/>
          <w:sz w:val="24"/>
          <w:szCs w:val="24"/>
        </w:rPr>
        <w:t xml:space="preserve">4.2 Dimensions &amp; Format</w:t>
      </w:r>
    </w:p>
    <w:p>
      <w:pPr>
        <w:spacing w:after="140"/>
      </w:pPr>
      <w:r>
        <w:rPr>
          <w:rFonts w:ascii="Calibri" w:cs="Calibri" w:eastAsia="Calibri" w:hAnsi="Calibri"/>
          <w:b/>
          <w:bCs/>
          <w:color w:val="C40000"/>
          <w:sz w:val="20"/>
          <w:szCs w:val="20"/>
        </w:rPr>
        <w:t xml:space="preserve">Status: [ESTABLISHED]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900"/>
        <w:gridCol w:w="1500"/>
        <w:gridCol w:w="1200"/>
      </w:tblGrid>
      <w:tr>
        <w:tc>
          <w:tcPr>
            <w:tcW w:type="dxa" w:w="3200"/>
            <w:shd w:fill="F3E6E6" w:val="clear"/>
            <w:tcMar>
              <w:top w:type="dxa" w:w="80"/>
              <w:left w:type="dxa" w:w="100"/>
              <w:bottom w:type="dxa" w:w="80"/>
              <w:right w:type="dxa" w:w="100"/>
            </w:tcMar>
            <w:vAlign w:val="top"/>
          </w:tcPr>
          <w:p>
            <w:r>
              <w:rPr>
                <w:rFonts w:ascii="Calibri" w:cs="Calibri" w:eastAsia="Calibri" w:hAnsi="Calibri"/>
                <w:b/>
                <w:bCs/>
                <w:color w:val="C40000"/>
                <w:sz w:val="19"/>
                <w:szCs w:val="19"/>
              </w:rPr>
              <w:t xml:space="preserve">Asset</w:t>
            </w:r>
          </w:p>
        </w:tc>
        <w:tc>
          <w:tcPr>
            <w:tcW w:type="dxa" w:w="1400"/>
            <w:shd w:fill="F3E6E6" w:val="clear"/>
            <w:tcMar>
              <w:top w:type="dxa" w:w="80"/>
              <w:left w:type="dxa" w:w="100"/>
              <w:bottom w:type="dxa" w:w="80"/>
              <w:right w:type="dxa" w:w="100"/>
            </w:tcMar>
            <w:vAlign w:val="top"/>
          </w:tcPr>
          <w:p>
            <w:r>
              <w:rPr>
                <w:rFonts w:ascii="Calibri" w:cs="Calibri" w:eastAsia="Calibri" w:hAnsi="Calibri"/>
                <w:b/>
                <w:bCs/>
                <w:color w:val="C40000"/>
                <w:sz w:val="19"/>
                <w:szCs w:val="19"/>
              </w:rPr>
              <w:t xml:space="preserve">Format</w:t>
            </w:r>
          </w:p>
        </w:tc>
        <w:tc>
          <w:tcPr>
            <w:tcW w:type="dxa" w:w="1900"/>
            <w:shd w:fill="F3E6E6" w:val="clear"/>
            <w:tcMar>
              <w:top w:type="dxa" w:w="80"/>
              <w:left w:type="dxa" w:w="100"/>
              <w:bottom w:type="dxa" w:w="80"/>
              <w:right w:type="dxa" w:w="100"/>
            </w:tcMar>
            <w:vAlign w:val="top"/>
          </w:tcPr>
          <w:p>
            <w:r>
              <w:rPr>
                <w:rFonts w:ascii="Calibri" w:cs="Calibri" w:eastAsia="Calibri" w:hAnsi="Calibri"/>
                <w:b/>
                <w:bCs/>
                <w:color w:val="C40000"/>
                <w:sz w:val="19"/>
                <w:szCs w:val="19"/>
              </w:rPr>
              <w:t xml:space="preserve">Size</w:t>
            </w:r>
          </w:p>
        </w:tc>
        <w:tc>
          <w:tcPr>
            <w:tcW w:type="dxa" w:w="1500"/>
            <w:shd w:fill="F3E6E6" w:val="clear"/>
            <w:tcMar>
              <w:top w:type="dxa" w:w="80"/>
              <w:left w:type="dxa" w:w="100"/>
              <w:bottom w:type="dxa" w:w="80"/>
              <w:right w:type="dxa" w:w="100"/>
            </w:tcMar>
            <w:vAlign w:val="top"/>
          </w:tcPr>
          <w:p>
            <w:r>
              <w:rPr>
                <w:rFonts w:ascii="Calibri" w:cs="Calibri" w:eastAsia="Calibri" w:hAnsi="Calibri"/>
                <w:b/>
                <w:bCs/>
                <w:color w:val="C40000"/>
                <w:sz w:val="19"/>
                <w:szCs w:val="19"/>
              </w:rPr>
              <w:t xml:space="preserve">Transparency</w:t>
            </w:r>
          </w:p>
        </w:tc>
        <w:tc>
          <w:tcPr>
            <w:tcW w:type="dxa" w:w="1200"/>
            <w:shd w:fill="F3E6E6" w:val="clear"/>
            <w:tcMar>
              <w:top w:type="dxa" w:w="80"/>
              <w:left w:type="dxa" w:w="100"/>
              <w:bottom w:type="dxa" w:w="80"/>
              <w:right w:type="dxa" w:w="100"/>
            </w:tcMar>
            <w:vAlign w:val="top"/>
          </w:tcPr>
          <w:p>
            <w:r>
              <w:rPr>
                <w:rFonts w:ascii="Calibri" w:cs="Calibri" w:eastAsia="Calibri" w:hAnsi="Calibri"/>
                <w:b/>
                <w:bCs/>
                <w:color w:val="C40000"/>
                <w:sz w:val="19"/>
                <w:szCs w:val="19"/>
              </w:rPr>
              <w:t xml:space="preserve">Motion</w:t>
            </w:r>
          </w:p>
        </w:tc>
      </w:tr>
      <w:tr>
        <w:tc>
          <w:tcPr>
            <w:tcW w:type="dxa" w:w="32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Environment background (Promenade, stations, outcomes)</w:t>
            </w:r>
          </w:p>
        </w:tc>
        <w:tc>
          <w:tcPr>
            <w:tcW w:type="dxa" w:w="14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WebP/PNG</w:t>
            </w:r>
          </w:p>
        </w:tc>
        <w:tc>
          <w:tcPr>
            <w:tcW w:type="dxa" w:w="19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2400–3200px wide</w:t>
            </w:r>
          </w:p>
        </w:tc>
        <w:tc>
          <w:tcPr>
            <w:tcW w:type="dxa" w:w="15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No</w:t>
            </w:r>
          </w:p>
        </w:tc>
        <w:tc>
          <w:tcPr>
            <w:tcW w:type="dxa" w:w="12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Pan only</w:t>
            </w:r>
          </w:p>
        </w:tc>
      </w:tr>
      <w:tr>
        <w:tc>
          <w:tcPr>
            <w:tcW w:type="dxa" w:w="32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Institution crest / seals / badges</w:t>
            </w:r>
          </w:p>
        </w:tc>
        <w:tc>
          <w:tcPr>
            <w:tcW w:type="dxa" w:w="14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SVG</w:t>
            </w:r>
          </w:p>
        </w:tc>
        <w:tc>
          <w:tcPr>
            <w:tcW w:type="dxa" w:w="19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Vector</w:t>
            </w:r>
          </w:p>
        </w:tc>
        <w:tc>
          <w:tcPr>
            <w:tcW w:type="dxa" w:w="15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Yes</w:t>
            </w:r>
          </w:p>
        </w:tc>
        <w:tc>
          <w:tcPr>
            <w:tcW w:type="dxa" w:w="12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UI scale/fade</w:t>
            </w:r>
          </w:p>
        </w:tc>
      </w:tr>
      <w:tr>
        <w:tc>
          <w:tcPr>
            <w:tcW w:type="dxa" w:w="32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Audio</w:t>
            </w:r>
          </w:p>
        </w:tc>
        <w:tc>
          <w:tcPr>
            <w:tcW w:type="dxa" w:w="14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MP3/OGG</w:t>
            </w:r>
          </w:p>
        </w:tc>
        <w:tc>
          <w:tcPr>
            <w:tcW w:type="dxa" w:w="19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&lt; 5 sec</w:t>
            </w:r>
          </w:p>
        </w:tc>
        <w:tc>
          <w:tcPr>
            <w:tcW w:type="dxa" w:w="15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N/A</w:t>
            </w:r>
          </w:p>
        </w:tc>
        <w:tc>
          <w:tcPr>
            <w:tcW w:type="dxa" w:w="12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One-shot</w:t>
            </w:r>
          </w:p>
        </w:tc>
      </w:tr>
    </w:tbl>
    <w:p>
      <w:pPr>
        <w:spacing w:after="100" w:before="260"/>
      </w:pPr>
      <w:r>
        <w:rPr>
          <w:rFonts w:ascii="Calibri" w:cs="Calibri" w:eastAsia="Calibri" w:hAnsi="Calibri"/>
          <w:b/>
          <w:bCs/>
          <w:color w:val="13100F"/>
          <w:sz w:val="24"/>
          <w:szCs w:val="24"/>
        </w:rPr>
        <w:t xml:space="preserve">4.3 Safe Areas — General Rule</w:t>
      </w:r>
    </w:p>
    <w:p>
      <w:pPr>
        <w:spacing w:after="140"/>
      </w:pPr>
      <w:r>
        <w:rPr>
          <w:rFonts w:ascii="Calibri" w:cs="Calibri" w:eastAsia="Calibri" w:hAnsi="Calibri"/>
          <w:b/>
          <w:bCs/>
          <w:color w:val="C40000"/>
          <w:sz w:val="20"/>
          <w:szCs w:val="20"/>
        </w:rPr>
        <w:t xml:space="preserve">Status: [ESTABLISHED]</w:t>
      </w:r>
    </w:p>
    <w:p>
      <w:pPr>
        <w:spacing w:after="160"/>
      </w:pPr>
      <w:r>
        <w:rPr>
          <w:rFonts w:ascii="Calibri" w:cs="Calibri" w:eastAsia="Calibri" w:hAnsi="Calibri"/>
          <w:b w:val="false"/>
          <w:bCs w:val="false"/>
          <w:i w:val="false"/>
          <w:iCs w:val="false"/>
          <w:color w:val="13100F"/>
          <w:sz w:val="21"/>
          <w:szCs w:val="21"/>
        </w:rPr>
        <w:t xml:space="preserve">Every environment image (Promenade, future stations, future completion scenes) must reserve three functional zones so coded overlays never compete with a focal environmental feature:</w:t>
      </w:r>
    </w:p>
    <w:p>
      <w:pPr>
        <w:pStyle w:val="ListParagraph"/>
        <w:numPr>
          <w:ilvl w:val="0"/>
          <w:numId w:val="2"/>
        </w:numPr>
        <w:spacing w:after="80"/>
      </w:pPr>
      <w:r>
        <w:rPr>
          <w:rFonts w:ascii="Calibri" w:cs="Calibri" w:eastAsia="Calibri" w:hAnsi="Calibri"/>
          <w:color w:val="13100F"/>
          <w:sz w:val="21"/>
          <w:szCs w:val="21"/>
        </w:rPr>
        <w:t xml:space="preserve">Upper-right — status/identity controls (rank, passport, similar top-level indicators)</w:t>
      </w:r>
    </w:p>
    <w:p>
      <w:pPr>
        <w:pStyle w:val="ListParagraph"/>
        <w:numPr>
          <w:ilvl w:val="0"/>
          <w:numId w:val="2"/>
        </w:numPr>
        <w:spacing w:after="80"/>
      </w:pPr>
      <w:r>
        <w:rPr>
          <w:rFonts w:ascii="Calibri" w:cs="Calibri" w:eastAsia="Calibri" w:hAnsi="Calibri"/>
          <w:color w:val="13100F"/>
          <w:sz w:val="21"/>
          <w:szCs w:val="21"/>
        </w:rPr>
        <w:t xml:space="preserve">Lower-right — re-engagement / next-step content</w:t>
      </w:r>
    </w:p>
    <w:p>
      <w:pPr>
        <w:pStyle w:val="ListParagraph"/>
        <w:numPr>
          <w:ilvl w:val="0"/>
          <w:numId w:val="2"/>
        </w:numPr>
        <w:spacing w:after="80"/>
      </w:pPr>
      <w:r>
        <w:rPr>
          <w:rFonts w:ascii="Calibri" w:cs="Calibri" w:eastAsia="Calibri" w:hAnsi="Calibri"/>
          <w:color w:val="13100F"/>
          <w:sz w:val="21"/>
          <w:szCs w:val="21"/>
        </w:rPr>
        <w:t xml:space="preserve">Left column — progress and narrative content (progress state, guide messaging, activity feed)</w:t>
      </w:r>
    </w:p>
    <w:p>
      <w:pPr>
        <w:spacing w:after="160"/>
      </w:pPr>
      <w:r>
        <w:rPr>
          <w:rFonts w:ascii="Calibri" w:cs="Calibri" w:eastAsia="Calibri" w:hAnsi="Calibri"/>
          <w:b w:val="false"/>
          <w:bCs w:val="false"/>
          <w:i w:val="false"/>
          <w:iCs w:val="false"/>
          <w:color w:val="13100F"/>
          <w:sz w:val="21"/>
          <w:szCs w:val="21"/>
        </w:rPr>
        <w:t xml:space="preserve">Strong focal elements (water features, light sources, architectural centerpieces) should be composed outside these three zones, or positioned so only a minor edge overlaps — not the way the Promenade v1 waterfall did.</w:t>
      </w:r>
    </w:p>
    <w:p>
      <w:pPr>
        <w:spacing w:after="100" w:before="260"/>
      </w:pPr>
      <w:r>
        <w:rPr>
          <w:rFonts w:ascii="Calibri" w:cs="Calibri" w:eastAsia="Calibri" w:hAnsi="Calibri"/>
          <w:b/>
          <w:bCs/>
          <w:color w:val="13100F"/>
          <w:sz w:val="24"/>
          <w:szCs w:val="24"/>
        </w:rPr>
        <w:t xml:space="preserve">4.4 Asset Manifest</w:t>
      </w:r>
    </w:p>
    <w:p>
      <w:pPr>
        <w:spacing w:after="140"/>
      </w:pPr>
      <w:r>
        <w:rPr>
          <w:rFonts w:ascii="Calibri" w:cs="Calibri" w:eastAsia="Calibri" w:hAnsi="Calibri"/>
          <w:b/>
          <w:bCs/>
          <w:color w:val="C40000"/>
          <w:sz w:val="20"/>
          <w:szCs w:val="20"/>
        </w:rPr>
        <w:t xml:space="preserve">Status: [IN PROGRESS]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2400"/>
        <w:gridCol w:w="1200"/>
      </w:tblGrid>
      <w:tr>
        <w:tc>
          <w:tcPr>
            <w:tcW w:type="dxa" w:w="3400"/>
            <w:shd w:fill="F3E6E6" w:val="clear"/>
            <w:tcMar>
              <w:top w:type="dxa" w:w="80"/>
              <w:left w:type="dxa" w:w="100"/>
              <w:bottom w:type="dxa" w:w="80"/>
              <w:right w:type="dxa" w:w="100"/>
            </w:tcMar>
            <w:vAlign w:val="top"/>
          </w:tcPr>
          <w:p>
            <w:r>
              <w:rPr>
                <w:rFonts w:ascii="Calibri" w:cs="Calibri" w:eastAsia="Calibri" w:hAnsi="Calibri"/>
                <w:b/>
                <w:bCs/>
                <w:color w:val="C40000"/>
                <w:sz w:val="19"/>
                <w:szCs w:val="19"/>
              </w:rPr>
              <w:t xml:space="preserve">Asset</w:t>
            </w:r>
          </w:p>
        </w:tc>
        <w:tc>
          <w:tcPr>
            <w:tcW w:type="dxa" w:w="2200"/>
            <w:shd w:fill="F3E6E6" w:val="clear"/>
            <w:tcMar>
              <w:top w:type="dxa" w:w="80"/>
              <w:left w:type="dxa" w:w="100"/>
              <w:bottom w:type="dxa" w:w="80"/>
              <w:right w:type="dxa" w:w="100"/>
            </w:tcMar>
            <w:vAlign w:val="top"/>
          </w:tcPr>
          <w:p>
            <w:r>
              <w:rPr>
                <w:rFonts w:ascii="Calibri" w:cs="Calibri" w:eastAsia="Calibri" w:hAnsi="Calibri"/>
                <w:b/>
                <w:bCs/>
                <w:color w:val="C40000"/>
                <w:sz w:val="19"/>
                <w:szCs w:val="19"/>
              </w:rPr>
              <w:t xml:space="preserve">Filename</w:t>
            </w:r>
          </w:p>
        </w:tc>
        <w:tc>
          <w:tcPr>
            <w:tcW w:type="dxa" w:w="2400"/>
            <w:shd w:fill="F3E6E6" w:val="clear"/>
            <w:tcMar>
              <w:top w:type="dxa" w:w="80"/>
              <w:left w:type="dxa" w:w="100"/>
              <w:bottom w:type="dxa" w:w="80"/>
              <w:right w:type="dxa" w:w="100"/>
            </w:tcMar>
            <w:vAlign w:val="top"/>
          </w:tcPr>
          <w:p>
            <w:r>
              <w:rPr>
                <w:rFonts w:ascii="Calibri" w:cs="Calibri" w:eastAsia="Calibri" w:hAnsi="Calibri"/>
                <w:b/>
                <w:bCs/>
                <w:color w:val="C40000"/>
                <w:sz w:val="19"/>
                <w:szCs w:val="19"/>
              </w:rPr>
              <w:t xml:space="preserve">Status</w:t>
            </w:r>
          </w:p>
        </w:tc>
        <w:tc>
          <w:tcPr>
            <w:tcW w:type="dxa" w:w="1200"/>
            <w:shd w:fill="F3E6E6" w:val="clear"/>
            <w:tcMar>
              <w:top w:type="dxa" w:w="80"/>
              <w:left w:type="dxa" w:w="100"/>
              <w:bottom w:type="dxa" w:w="80"/>
              <w:right w:type="dxa" w:w="100"/>
            </w:tcMar>
            <w:vAlign w:val="top"/>
          </w:tcPr>
          <w:p>
            <w:r>
              <w:rPr>
                <w:rFonts w:ascii="Calibri" w:cs="Calibri" w:eastAsia="Calibri" w:hAnsi="Calibri"/>
                <w:b/>
                <w:bCs/>
                <w:color w:val="C40000"/>
                <w:sz w:val="19"/>
                <w:szCs w:val="19"/>
              </w:rPr>
              <w:t xml:space="preserve">Owner</w:t>
            </w:r>
          </w:p>
        </w:tc>
      </w:tr>
      <w:tr>
        <w:tc>
          <w:tcPr>
            <w:tcW w:type="dxa" w:w="34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Promenade environment background</w:t>
            </w:r>
          </w:p>
        </w:tc>
        <w:tc>
          <w:tcPr>
            <w:tcW w:type="dxa" w:w="22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promenade-background.webp</w:t>
            </w:r>
          </w:p>
        </w:tc>
        <w:tc>
          <w:tcPr>
            <w:tcW w:type="dxa" w:w="24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Approved (v2)</w:t>
            </w:r>
          </w:p>
        </w:tc>
        <w:tc>
          <w:tcPr>
            <w:tcW w:type="dxa" w:w="12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Design</w:t>
            </w:r>
          </w:p>
        </w:tc>
      </w:tr>
      <w:tr>
        <w:tc>
          <w:tcPr>
            <w:tcW w:type="dxa" w:w="34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Completion scenes — video (5 journeys: Home Purchase, Wait &amp; Save, Rent, Invest, House Hack)</w:t>
            </w:r>
          </w:p>
        </w:tc>
        <w:tc>
          <w:tcPr>
            <w:tcW w:type="dxa" w:w="22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TBD per journey</w:t>
            </w:r>
          </w:p>
        </w:tc>
        <w:tc>
          <w:tcPr>
            <w:tcW w:type="dxa" w:w="24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Produced (marketing video, 2026-07-22)</w:t>
            </w:r>
          </w:p>
        </w:tc>
        <w:tc>
          <w:tcPr>
            <w:tcW w:type="dxa" w:w="12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Design</w:t>
            </w:r>
          </w:p>
        </w:tc>
      </w:tr>
      <w:tr>
        <w:tc>
          <w:tcPr>
            <w:tcW w:type="dxa" w:w="34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Completion scenes — in-app static background (per §1.3/§4.2 spec)</w:t>
            </w:r>
          </w:p>
        </w:tc>
        <w:tc>
          <w:tcPr>
            <w:tcW w:type="dxa" w:w="22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wait-save-complete.webp (+ 4 more)</w:t>
            </w:r>
          </w:p>
        </w:tc>
        <w:tc>
          <w:tcPr>
            <w:tcW w:type="dxa" w:w="24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Not confirmed — verify per journey</w:t>
            </w:r>
          </w:p>
        </w:tc>
        <w:tc>
          <w:tcPr>
            <w:tcW w:type="dxa" w:w="12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Design</w:t>
            </w:r>
          </w:p>
        </w:tc>
      </w:tr>
      <w:tr>
        <w:tc>
          <w:tcPr>
            <w:tcW w:type="dxa" w:w="34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Institution Crest</w:t>
            </w:r>
          </w:p>
        </w:tc>
        <w:tc>
          <w:tcPr>
            <w:tcW w:type="dxa" w:w="22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TBD</w:t>
            </w:r>
          </w:p>
        </w:tc>
        <w:tc>
          <w:tcPr>
            <w:tcW w:type="dxa" w:w="24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Produced (2026-07-22) — verify against §2 spec</w:t>
            </w:r>
          </w:p>
        </w:tc>
        <w:tc>
          <w:tcPr>
            <w:tcW w:type="dxa" w:w="12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Design</w:t>
            </w:r>
          </w:p>
        </w:tc>
      </w:tr>
      <w:tr>
        <w:tc>
          <w:tcPr>
            <w:tcW w:type="dxa" w:w="34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Rank Badges (3)</w:t>
            </w:r>
          </w:p>
        </w:tc>
        <w:tc>
          <w:tcPr>
            <w:tcW w:type="dxa" w:w="22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TBD</w:t>
            </w:r>
          </w:p>
        </w:tc>
        <w:tc>
          <w:tcPr>
            <w:tcW w:type="dxa" w:w="24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Produced (2026-07-22) — verify against §2 spec</w:t>
            </w:r>
          </w:p>
        </w:tc>
        <w:tc>
          <w:tcPr>
            <w:tcW w:type="dxa" w:w="12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Design</w:t>
            </w:r>
          </w:p>
        </w:tc>
      </w:tr>
      <w:tr>
        <w:tc>
          <w:tcPr>
            <w:tcW w:type="dxa" w:w="34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Journey Seals (5)</w:t>
            </w:r>
          </w:p>
        </w:tc>
        <w:tc>
          <w:tcPr>
            <w:tcW w:type="dxa" w:w="22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w:t>
            </w:r>
          </w:p>
        </w:tc>
        <w:tc>
          <w:tcPr>
            <w:tcW w:type="dxa" w:w="24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Out of scope (removed 2026-07-22)</w:t>
            </w:r>
          </w:p>
        </w:tc>
        <w:tc>
          <w:tcPr>
            <w:tcW w:type="dxa" w:w="12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Design</w:t>
            </w:r>
          </w:p>
        </w:tc>
      </w:tr>
      <w:tr>
        <w:tc>
          <w:tcPr>
            <w:tcW w:type="dxa" w:w="34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Passport Graphics</w:t>
            </w:r>
          </w:p>
        </w:tc>
        <w:tc>
          <w:tcPr>
            <w:tcW w:type="dxa" w:w="22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w:t>
            </w:r>
          </w:p>
        </w:tc>
        <w:tc>
          <w:tcPr>
            <w:tcW w:type="dxa" w:w="24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Out of scope (removed 2026-07-22)</w:t>
            </w:r>
          </w:p>
        </w:tc>
        <w:tc>
          <w:tcPr>
            <w:tcW w:type="dxa" w:w="12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Design</w:t>
            </w:r>
          </w:p>
        </w:tc>
      </w:tr>
      <w:tr>
        <w:tc>
          <w:tcPr>
            <w:tcW w:type="dxa" w:w="34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Audio cues</w:t>
            </w:r>
          </w:p>
        </w:tc>
        <w:tc>
          <w:tcPr>
            <w:tcW w:type="dxa" w:w="22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TBD</w:t>
            </w:r>
          </w:p>
        </w:tc>
        <w:tc>
          <w:tcPr>
            <w:tcW w:type="dxa" w:w="24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Not yet produced</w:t>
            </w:r>
          </w:p>
        </w:tc>
        <w:tc>
          <w:tcPr>
            <w:tcW w:type="dxa" w:w="12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Design</w:t>
            </w:r>
          </w:p>
        </w:tc>
      </w:tr>
    </w:tbl>
    <w:p>
      <w:pPr>
        <w:spacing w:after="160"/>
      </w:pPr>
      <w:r>
        <w:rPr>
          <w:rFonts w:ascii="Calibri" w:cs="Calibri" w:eastAsia="Calibri" w:hAnsi="Calibri"/>
          <w:b w:val="false"/>
          <w:bCs w:val="false"/>
          <w:i w:val="false"/>
          <w:iCs w:val="false"/>
          <w:color w:val="13100F"/>
          <w:sz w:val="21"/>
          <w:szCs w:val="21"/>
        </w:rPr>
        <w:t xml:space="preserve">Update this table as each asset is produced and approved. It is the single source of truth for what exists versus what is still owed.</w:t>
      </w:r>
    </w:p>
    <w:p>
      <w:pPr>
        <w:pStyle w:val="Heading1"/>
        <w:pBdr>
          <w:bottom w:val="single" w:color="C40000" w:sz="10" w:space="4"/>
        </w:pBdr>
        <w:spacing w:after="160" w:before="420"/>
      </w:pPr>
      <w:r>
        <w:rPr>
          <w:rFonts w:ascii="Calibri" w:cs="Calibri" w:eastAsia="Calibri" w:hAnsi="Calibri"/>
          <w:b/>
          <w:bCs/>
          <w:color w:val="C40000"/>
          <w:sz w:val="30"/>
          <w:szCs w:val="30"/>
        </w:rPr>
        <w:t xml:space="preserve">5. Journey Documentation</w:t>
      </w:r>
    </w:p>
    <w:p>
      <w:pPr>
        <w:spacing w:after="140"/>
      </w:pPr>
      <w:r>
        <w:rPr>
          <w:rFonts w:ascii="Calibri" w:cs="Calibri" w:eastAsia="Calibri" w:hAnsi="Calibri"/>
          <w:b/>
          <w:bCs/>
          <w:color w:val="C40000"/>
          <w:sz w:val="20"/>
          <w:szCs w:val="20"/>
        </w:rPr>
        <w:t xml:space="preserve">Status: [PLACEHOLDER]</w:t>
      </w:r>
    </w:p>
    <w:p>
      <w:pPr>
        <w:spacing w:after="160"/>
      </w:pPr>
      <w:r>
        <w:rPr>
          <w:rFonts w:ascii="Calibri" w:cs="Calibri" w:eastAsia="Calibri" w:hAnsi="Calibri"/>
          <w:b w:val="false"/>
          <w:bCs w:val="false"/>
          <w:i w:val="false"/>
          <w:iCs w:val="false"/>
          <w:color w:val="13100F"/>
          <w:sz w:val="21"/>
          <w:szCs w:val="21"/>
        </w:rPr>
        <w:t xml:space="preserve">Reserved for per-journey creative direction, one section per foundational journey. None documented yet.</w:t>
      </w:r>
    </w:p>
    <w:p>
      <w:pPr>
        <w:pStyle w:val="ListParagraph"/>
        <w:numPr>
          <w:ilvl w:val="0"/>
          <w:numId w:val="2"/>
        </w:numPr>
        <w:spacing w:after="80"/>
      </w:pPr>
      <w:r>
        <w:rPr>
          <w:rFonts w:ascii="Calibri" w:cs="Calibri" w:eastAsia="Calibri" w:hAnsi="Calibri"/>
          <w:color w:val="13100F"/>
          <w:sz w:val="21"/>
          <w:szCs w:val="21"/>
        </w:rPr>
        <w:t xml:space="preserve">Home Purchase</w:t>
      </w:r>
    </w:p>
    <w:p>
      <w:pPr>
        <w:pStyle w:val="ListParagraph"/>
        <w:numPr>
          <w:ilvl w:val="0"/>
          <w:numId w:val="2"/>
        </w:numPr>
        <w:spacing w:after="80"/>
      </w:pPr>
      <w:r>
        <w:rPr>
          <w:rFonts w:ascii="Calibri" w:cs="Calibri" w:eastAsia="Calibri" w:hAnsi="Calibri"/>
          <w:color w:val="13100F"/>
          <w:sz w:val="21"/>
          <w:szCs w:val="21"/>
        </w:rPr>
        <w:t xml:space="preserve">House Hack</w:t>
      </w:r>
    </w:p>
    <w:p>
      <w:pPr>
        <w:pStyle w:val="ListParagraph"/>
        <w:numPr>
          <w:ilvl w:val="0"/>
          <w:numId w:val="2"/>
        </w:numPr>
        <w:spacing w:after="80"/>
      </w:pPr>
      <w:r>
        <w:rPr>
          <w:rFonts w:ascii="Calibri" w:cs="Calibri" w:eastAsia="Calibri" w:hAnsi="Calibri"/>
          <w:color w:val="13100F"/>
          <w:sz w:val="21"/>
          <w:szCs w:val="21"/>
        </w:rPr>
        <w:t xml:space="preserve">Stock Investing</w:t>
      </w:r>
    </w:p>
    <w:p>
      <w:pPr>
        <w:pStyle w:val="ListParagraph"/>
        <w:numPr>
          <w:ilvl w:val="0"/>
          <w:numId w:val="2"/>
        </w:numPr>
        <w:spacing w:after="80"/>
      </w:pPr>
      <w:r>
        <w:rPr>
          <w:rFonts w:ascii="Calibri" w:cs="Calibri" w:eastAsia="Calibri" w:hAnsi="Calibri"/>
          <w:color w:val="13100F"/>
          <w:sz w:val="21"/>
          <w:szCs w:val="21"/>
        </w:rPr>
        <w:t xml:space="preserve">Wait &amp; Save</w:t>
      </w:r>
    </w:p>
    <w:p>
      <w:pPr>
        <w:pStyle w:val="ListParagraph"/>
        <w:numPr>
          <w:ilvl w:val="0"/>
          <w:numId w:val="2"/>
        </w:numPr>
        <w:spacing w:after="80"/>
      </w:pPr>
      <w:r>
        <w:rPr>
          <w:rFonts w:ascii="Calibri" w:cs="Calibri" w:eastAsia="Calibri" w:hAnsi="Calibri"/>
          <w:color w:val="13100F"/>
          <w:sz w:val="21"/>
          <w:szCs w:val="21"/>
        </w:rPr>
        <w:t xml:space="preserve">Strategic Renting</w:t>
      </w:r>
    </w:p>
    <w:p>
      <w:pPr>
        <w:spacing w:after="160"/>
      </w:pPr>
      <w:r>
        <w:rPr>
          <w:rFonts w:ascii="Calibri" w:cs="Calibri" w:eastAsia="Calibri" w:hAnsi="Calibri"/>
          <w:b w:val="false"/>
          <w:bCs w:val="false"/>
          <w:i w:val="false"/>
          <w:iCs w:val="false"/>
          <w:color w:val="13100F"/>
          <w:sz w:val="21"/>
          <w:szCs w:val="21"/>
        </w:rPr>
        <w:t xml:space="preserve">Advanced Homeowner, Refinance, Renovation, HELOC, and Rental Conversion journeys are explicitly excluded from the current MVP scope (Technical Design Specification, Section 2.2) and should not be added here until that scope changes.</w:t>
      </w:r>
    </w:p>
    <w:p>
      <w:pPr>
        <w:pStyle w:val="Heading1"/>
        <w:pBdr>
          <w:bottom w:val="single" w:color="C40000" w:sz="10" w:space="4"/>
        </w:pBdr>
        <w:spacing w:after="160" w:before="420"/>
      </w:pPr>
      <w:r>
        <w:rPr>
          <w:rFonts w:ascii="Calibri" w:cs="Calibri" w:eastAsia="Calibri" w:hAnsi="Calibri"/>
          <w:b/>
          <w:bCs/>
          <w:color w:val="C40000"/>
          <w:sz w:val="30"/>
          <w:szCs w:val="30"/>
        </w:rPr>
        <w:t xml:space="preserve">6. Development Handoffs</w:t>
      </w:r>
    </w:p>
    <w:p>
      <w:pPr>
        <w:spacing w:after="140"/>
      </w:pPr>
      <w:r>
        <w:rPr>
          <w:rFonts w:ascii="Calibri" w:cs="Calibri" w:eastAsia="Calibri" w:hAnsi="Calibri"/>
          <w:b/>
          <w:bCs/>
          <w:color w:val="C40000"/>
          <w:sz w:val="20"/>
          <w:szCs w:val="20"/>
        </w:rPr>
        <w:t xml:space="preserve">Status: [IN PROGRESS]</w:t>
      </w:r>
    </w:p>
    <w:p>
      <w:pPr>
        <w:spacing w:after="160"/>
      </w:pPr>
      <w:r>
        <w:rPr>
          <w:rFonts w:ascii="Calibri" w:cs="Calibri" w:eastAsia="Calibri" w:hAnsi="Calibri"/>
          <w:b w:val="false"/>
          <w:bCs w:val="false"/>
          <w:i w:val="false"/>
          <w:iCs w:val="false"/>
          <w:color w:val="13100F"/>
          <w:sz w:val="21"/>
          <w:szCs w:val="21"/>
        </w:rPr>
        <w:t xml:space="preserve">Reserved for the record of what design has handed to development, and any open questions awaiting a development answer.</w:t>
      </w:r>
    </w:p>
    <w:p>
      <w:pPr>
        <w:pStyle w:val="ListParagraph"/>
        <w:numPr>
          <w:ilvl w:val="0"/>
          <w:numId w:val="2"/>
        </w:numPr>
        <w:spacing w:after="80"/>
      </w:pPr>
      <w:r>
        <w:rPr>
          <w:rFonts w:ascii="Calibri" w:cs="Calibri" w:eastAsia="Calibri" w:hAnsi="Calibri"/>
          <w:color w:val="13100F"/>
          <w:sz w:val="21"/>
          <w:szCs w:val="21"/>
        </w:rPr>
        <w:t xml:space="preserve">Question for the development team (open): does the application already have an established asset organization and loading convention (e.g. src/assets, public/images, a CDN, a static asset package) that design should package production files to match, rather than introducing a parallel structure?</w:t>
      </w:r>
    </w:p>
    <w:p>
      <w:pPr>
        <w:pStyle w:val="ListParagraph"/>
        <w:numPr>
          <w:ilvl w:val="0"/>
          <w:numId w:val="2"/>
        </w:numPr>
        <w:spacing w:after="80"/>
      </w:pPr>
      <w:r>
        <w:rPr>
          <w:rFonts w:ascii="Calibri" w:cs="Calibri" w:eastAsia="Calibri" w:hAnsi="Calibri"/>
          <w:color w:val="13100F"/>
          <w:sz w:val="21"/>
          <w:szCs w:val="21"/>
        </w:rPr>
        <w:t xml:space="preserve">Promenade environment background — delivered, approved, awaiting development’s confirmed path/convention before final placement.</w:t>
      </w:r>
    </w:p>
    <w:p>
      <w:pPr>
        <w:pStyle w:val="ListParagraph"/>
        <w:numPr>
          <w:ilvl w:val="0"/>
          <w:numId w:val="2"/>
        </w:numPr>
        <w:spacing w:after="80"/>
      </w:pPr>
      <w:r>
        <w:rPr>
          <w:rFonts w:ascii="Calibri" w:cs="Calibri" w:eastAsia="Calibri" w:hAnsi="Calibri"/>
          <w:color w:val="13100F"/>
          <w:sz w:val="21"/>
          <w:szCs w:val="21"/>
        </w:rPr>
        <w:t xml:space="preserve">Open discussion (deferred, not blocking): once a journey reaches COMPLETED, the current SVG world-map implementation shows only the completion summary — the trail itself is no longer reachable. Nothing in the spec requires this; it’s an implementation choice made when the completion flow was wired in. Revisit once the Promenade (photoreal background) question is resolved: if Promenade replaces this world-map view outright, this is moot; if the world-map view persists alongside or instead of Promenade, worth deciding whether the completed trail should remain visible (e.g. map + summary together, or a "view your trail" link back).</w:t>
      </w:r>
    </w:p>
    <w:p>
      <w:pPr>
        <w:pStyle w:val="Heading1"/>
        <w:pBdr>
          <w:bottom w:val="single" w:color="C40000" w:sz="10" w:space="4"/>
        </w:pBdr>
        <w:spacing w:after="160" w:before="420"/>
      </w:pPr>
      <w:r>
        <w:rPr>
          <w:rFonts w:ascii="Calibri" w:cs="Calibri" w:eastAsia="Calibri" w:hAnsi="Calibri"/>
          <w:b/>
          <w:bCs/>
          <w:color w:val="C40000"/>
          <w:sz w:val="30"/>
          <w:szCs w:val="30"/>
        </w:rPr>
        <w:t xml:space="preserve">7. Version History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800"/>
      </w:tblGrid>
      <w:tr>
        <w:tc>
          <w:tcPr>
            <w:tcW w:type="dxa" w:w="1400"/>
            <w:shd w:fill="F3E6E6" w:val="clear"/>
            <w:tcMar>
              <w:top w:type="dxa" w:w="80"/>
              <w:left w:type="dxa" w:w="100"/>
              <w:bottom w:type="dxa" w:w="80"/>
              <w:right w:type="dxa" w:w="100"/>
            </w:tcMar>
            <w:vAlign w:val="top"/>
          </w:tcPr>
          <w:p>
            <w:r>
              <w:rPr>
                <w:rFonts w:ascii="Calibri" w:cs="Calibri" w:eastAsia="Calibri" w:hAnsi="Calibri"/>
                <w:b/>
                <w:bCs/>
                <w:color w:val="C40000"/>
                <w:sz w:val="19"/>
                <w:szCs w:val="19"/>
              </w:rPr>
              <w:t xml:space="preserve">Version</w:t>
            </w:r>
          </w:p>
        </w:tc>
        <w:tc>
          <w:tcPr>
            <w:tcW w:type="dxa" w:w="1800"/>
            <w:shd w:fill="F3E6E6" w:val="clear"/>
            <w:tcMar>
              <w:top w:type="dxa" w:w="80"/>
              <w:left w:type="dxa" w:w="100"/>
              <w:bottom w:type="dxa" w:w="80"/>
              <w:right w:type="dxa" w:w="100"/>
            </w:tcMar>
            <w:vAlign w:val="top"/>
          </w:tcPr>
          <w:p>
            <w:r>
              <w:rPr>
                <w:rFonts w:ascii="Calibri" w:cs="Calibri" w:eastAsia="Calibri" w:hAnsi="Calibri"/>
                <w:b/>
                <w:bCs/>
                <w:color w:val="C40000"/>
                <w:sz w:val="19"/>
                <w:szCs w:val="19"/>
              </w:rPr>
              <w:t xml:space="preserve">Date</w:t>
            </w:r>
          </w:p>
        </w:tc>
        <w:tc>
          <w:tcPr>
            <w:tcW w:type="dxa" w:w="6800"/>
            <w:shd w:fill="F3E6E6" w:val="clear"/>
            <w:tcMar>
              <w:top w:type="dxa" w:w="80"/>
              <w:left w:type="dxa" w:w="100"/>
              <w:bottom w:type="dxa" w:w="80"/>
              <w:right w:type="dxa" w:w="100"/>
            </w:tcMar>
            <w:vAlign w:val="top"/>
          </w:tcPr>
          <w:p>
            <w:r>
              <w:rPr>
                <w:rFonts w:ascii="Calibri" w:cs="Calibri" w:eastAsia="Calibri" w:hAnsi="Calibri"/>
                <w:b/>
                <w:bCs/>
                <w:color w:val="C40000"/>
                <w:sz w:val="19"/>
                <w:szCs w:val="19"/>
              </w:rPr>
              <w:t xml:space="preserve">Change</w:t>
            </w:r>
          </w:p>
        </w:tc>
      </w:tr>
      <w:tr>
        <w:tc>
          <w:tcPr>
            <w:tcW w:type="dxa" w:w="14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0.1</w:t>
            </w:r>
          </w:p>
        </w:tc>
        <w:tc>
          <w:tcPr>
            <w:tcW w:type="dxa" w:w="18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2026-07-13</w:t>
            </w:r>
          </w:p>
        </w:tc>
        <w:tc>
          <w:tcPr>
            <w:tcW w:type="dxa" w:w="68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Initial scope: Promenade environment safe areas, naming standard, dimensions/format. All other sections placeholder.</w:t>
            </w:r>
          </w:p>
        </w:tc>
      </w:tr>
      <w:tr>
        <w:tc>
          <w:tcPr>
            <w:tcW w:type="dxa" w:w="14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0.2</w:t>
            </w:r>
          </w:p>
        </w:tc>
        <w:tc>
          <w:tcPr>
            <w:tcW w:type="dxa" w:w="18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2026-07-22</w:t>
            </w:r>
          </w:p>
        </w:tc>
        <w:tc>
          <w:tcPr>
            <w:tcW w:type="dxa" w:w="6800"/>
            <w:tcMar>
              <w:top w:type="dxa" w:w="80"/>
              <w:left w:type="dxa" w:w="100"/>
              <w:bottom w:type="dxa" w:w="80"/>
              <w:right w:type="dxa" w:w="100"/>
            </w:tcMar>
            <w:vAlign w:val="top"/>
          </w:tcPr>
          <w:p>
            <w:r>
              <w:rPr>
                <w:rFonts w:ascii="Calibri" w:cs="Calibri" w:eastAsia="Calibri" w:hAnsi="Calibri"/>
                <w:b w:val="false"/>
                <w:bCs w:val="false"/>
                <w:color w:val="13100F"/>
                <w:sz w:val="19"/>
                <w:szCs w:val="19"/>
              </w:rPr>
              <w:t xml:space="preserve">Corrective update per Marketing Execution Guide v1.1 (design team resolution): Institution Crest and 3 Rank Badges marked Produced; Journey Seals (5) and Passport Graphics marked Out of scope; "Certificates" recorded as considered-and-out-of-scope to prevent re-raising. Completion Scenes (§1.3) updated to reflect a marketing video asset for all 5 journeys, with an explicit open flag distinguishing that from this Guide’s own in-app static-background spec, which remains unconfirmed. Asset Manifest (§4.4) restructured to carry these items separately rather than as one bundled row.</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25A5A"/>
        <w:sz w:val="16"/>
        <w:szCs w:val="16"/>
      </w:rPr>
      <w:t xml:space="preserve">v0.2 — </w:t>
    </w:r>
    <w:r>
      <w:rPr>
        <w:rFonts w:ascii="Calibri" w:cs="Calibri" w:eastAsia="Calibri" w:hAnsi="Calibri"/>
        <w:color w:val="62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25A5A"/>
        <w:sz w:val="16"/>
        <w:szCs w:val="16"/>
      </w:rPr>
      <w:t xml:space="preserve">RealEquityIQ — Design System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2026-07-23T00:59:55.959Z</dcterms:created>
  <dcterms:modified xsi:type="dcterms:W3CDTF">2026-07-23T00:59:55.971Z</dcterms:modified>
</cp:coreProperties>
</file>

<file path=docProps/custom.xml><?xml version="1.0" encoding="utf-8"?>
<Properties xmlns="http://schemas.openxmlformats.org/officeDocument/2006/custom-properties" xmlns:vt="http://schemas.openxmlformats.org/officeDocument/2006/docPropsVTypes"/>
</file>