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b/>
          <w:bCs/>
          <w:color w:val="1F3A5F"/>
          <w:sz w:val="56"/>
          <w:szCs w:val="56"/>
        </w:rPr>
        <w:t xml:space="preserve">RealEquityIQ</w:t>
      </w:r>
    </w:p>
    <w:p>
      <w:pPr>
        <w:spacing w:after="400"/>
        <w:jc w:val="center"/>
      </w:pPr>
      <w:r>
        <w:rPr>
          <w:b/>
          <w:bCs/>
          <w:color w:val="B08D57"/>
          <w:sz w:val="32"/>
          <w:szCs w:val="32"/>
        </w:rPr>
        <w:t xml:space="preserve">UAT Overview &amp; Testing Guide</w:t>
      </w:r>
    </w:p>
    <w:p>
      <w:pPr>
        <w:spacing w:after="100"/>
        <w:jc w:val="center"/>
      </w:pPr>
      <w:r>
        <w:rPr>
          <w:i/>
          <w:iCs/>
          <w:color w:val="444444"/>
          <w:sz w:val="20"/>
          <w:szCs w:val="20"/>
        </w:rPr>
        <w:t xml:space="preserve">Pre-launch build · Stripe TEST MODE · No monetization is live</w:t>
      </w:r>
    </w:p>
    <w:p>
      <w:pPr>
        <w:spacing w:after="500"/>
      </w:pPr>
    </w:p>
    <w:tbl>
      <w:tblPr>
        <w:tblW w:type="pct" w:w="100%"/>
        <w:tblBorders>
          <w:top w:val="single" w:color="8A6A1F" w:sz="4"/>
          <w:left w:val="single" w:color="8A6A1F" w:sz="4"/>
          <w:bottom w:val="single" w:color="8A6A1F" w:sz="4"/>
          <w:right w:val="single" w:color="8A6A1F" w:sz="4"/>
          <w:insideH w:val="none" w:color="FFFFFF" w:sz="0"/>
          <w:insideV w:val="none" w:color="FFFFFF" w:sz="0"/>
        </w:tblBorders>
      </w:tblPr>
      <w:tblGrid>
        <w:gridCol w:w="100"/>
      </w:tblGrid>
      <w:tr>
        <w:trPr>
          <w:cantSplit/>
        </w:trPr>
        <w:tc>
          <w:tcPr>
            <w:shd w:fill="FBF3E6" w:val="clear"/>
            <w:tcMar>
              <w:top w:type="dxa" w:w="160"/>
              <w:left w:type="dxa" w:w="200"/>
              <w:bottom w:type="dxa" w:w="160"/>
              <w:right w:type="dxa" w:w="200"/>
            </w:tcMar>
          </w:tcPr>
          <w:p>
            <w:pPr>
              <w:spacing w:after="80"/>
            </w:pPr>
            <w:r>
              <w:rPr>
                <w:b/>
                <w:bCs/>
                <w:color w:val="8A6A1F"/>
                <w:sz w:val="21"/>
                <w:szCs w:val="21"/>
              </w:rPr>
              <w:t xml:space="preserve">Before you start</w:t>
            </w:r>
          </w:p>
          <w:p>
            <w:pPr>
              <w:spacing w:after="40"/>
            </w:pPr>
            <w:r>
              <w:rPr>
                <w:color w:val="333333"/>
                <w:sz w:val="20"/>
                <w:szCs w:val="20"/>
              </w:rPr>
              <w:t xml:space="preserve">This build has not been marketed and payment processing is NOT yet switched to production — every purchase in this guide happens in Stripe's test mode, using a test card. No real money moves and no real customer sees this app yet.</w:t>
            </w:r>
          </w:p>
          <w:p>
            <w:pPr>
              <w:spacing w:after="40"/>
            </w:pPr>
            <w:r>
              <w:rPr>
                <w:color w:val="333333"/>
                <w:sz w:val="20"/>
                <w:szCs w:val="20"/>
              </w:rPr>
              <w:t xml:space="preserve">You are acting as a first-time visitor working through the product cold, then deliberately trying to upgrade — this mirrors how a real prospective customer would experience it.</w:t>
            </w:r>
          </w:p>
        </w:tc>
      </w:tr>
    </w:tbl>
    <w:p>
      <w:pPr>
        <w:spacing w:after="300"/>
      </w:pPr>
    </w:p>
    <w:tbl>
      <w:tblPr>
        <w:tblW w:type="dxa" w:w="9460"/>
        <w:tblBorders>
          <w:top w:val="single" w:color="CCCCCC" w:sz="2"/>
          <w:left w:val="single" w:color="CCCCCC" w:sz="2"/>
          <w:bottom w:val="single" w:color="CCCCCC" w:sz="2"/>
          <w:right w:val="single" w:color="CCCCCC" w:sz="2"/>
          <w:insideH w:val="single" w:color="DDDDDD" w:sz="2"/>
          <w:insideV w:val="single" w:color="DDDDDD" w:sz="2"/>
        </w:tblBorders>
      </w:tblPr>
      <w:tblGrid>
        <w:gridCol w:w="3200"/>
        <w:gridCol w:w="6260"/>
      </w:tblGrid>
      <w:tr>
        <w:trPr>
          <w:tblHeader/>
        </w:trPr>
        <w:tc>
          <w:tcPr>
            <w:tcW w:type="dxa" w:w="3200"/>
            <w:shd w:fill="1F3A5F" w:val="clear"/>
            <w:tcMar>
              <w:top w:type="dxa" w:w="100"/>
              <w:left w:type="dxa" w:w="120"/>
              <w:bottom w:type="dxa" w:w="100"/>
              <w:right w:type="dxa" w:w="120"/>
            </w:tcMar>
          </w:tcPr>
          <w:p>
            <w:r>
              <w:rPr>
                <w:b/>
                <w:bCs/>
                <w:color w:val="FFFFFF"/>
                <w:sz w:val="19"/>
                <w:szCs w:val="19"/>
              </w:rPr>
              <w:t xml:space="preserve">Field</w:t>
            </w:r>
          </w:p>
        </w:tc>
        <w:tc>
          <w:tcPr>
            <w:tcW w:type="dxa" w:w="6260"/>
            <w:shd w:fill="1F3A5F" w:val="clear"/>
            <w:tcMar>
              <w:top w:type="dxa" w:w="100"/>
              <w:left w:type="dxa" w:w="120"/>
              <w:bottom w:type="dxa" w:w="100"/>
              <w:right w:type="dxa" w:w="120"/>
            </w:tcMar>
          </w:tcPr>
          <w:p>
            <w:r>
              <w:rPr>
                <w:b/>
                <w:bCs/>
                <w:color w:val="FFFFFF"/>
                <w:sz w:val="19"/>
                <w:szCs w:val="19"/>
              </w:rPr>
              <w:t xml:space="preserve">Detail</w:t>
            </w:r>
          </w:p>
        </w:tc>
      </w:tr>
      <w:tr>
        <w:tc>
          <w:tcPr>
            <w:tcW w:type="dxa" w:w="3200"/>
            <w:tcMar>
              <w:top w:type="dxa" w:w="90"/>
              <w:left w:type="dxa" w:w="120"/>
              <w:bottom w:type="dxa" w:w="90"/>
              <w:right w:type="dxa" w:w="120"/>
            </w:tcMar>
          </w:tcPr>
          <w:p>
            <w:r>
              <w:rPr>
                <w:b w:val="false"/>
                <w:bCs w:val="false"/>
                <w:color w:val="222222"/>
                <w:sz w:val="19"/>
                <w:szCs w:val="19"/>
              </w:rPr>
              <w:t xml:space="preserve">App URL / environment</w:t>
            </w:r>
          </w:p>
        </w:tc>
        <w:tc>
          <w:tcPr>
            <w:tcW w:type="dxa" w:w="6260"/>
            <w:tcMar>
              <w:top w:type="dxa" w:w="90"/>
              <w:left w:type="dxa" w:w="120"/>
              <w:bottom w:type="dxa" w:w="90"/>
              <w:right w:type="dxa" w:w="120"/>
            </w:tcMar>
          </w:tcPr>
          <w:p>
            <w:r>
              <w:rPr>
                <w:b w:val="false"/>
                <w:bCs w:val="false"/>
                <w:color w:val="222222"/>
                <w:sz w:val="19"/>
                <w:szCs w:val="19"/>
              </w:rPr>
              <w:t xml:space="preserve">[ to be supplied by the RealEquityIQ team ]</w:t>
            </w:r>
          </w:p>
        </w:tc>
      </w:tr>
      <w:tr>
        <w:tc>
          <w:tcPr>
            <w:tcW w:type="dxa" w:w="3200"/>
            <w:tcMar>
              <w:top w:type="dxa" w:w="90"/>
              <w:left w:type="dxa" w:w="120"/>
              <w:bottom w:type="dxa" w:w="90"/>
              <w:right w:type="dxa" w:w="120"/>
            </w:tcMar>
          </w:tcPr>
          <w:p>
            <w:r>
              <w:rPr>
                <w:b w:val="false"/>
                <w:bCs w:val="false"/>
                <w:color w:val="222222"/>
                <w:sz w:val="19"/>
                <w:szCs w:val="19"/>
              </w:rPr>
              <w:t xml:space="preserve">Test account</w:t>
            </w:r>
          </w:p>
        </w:tc>
        <w:tc>
          <w:tcPr>
            <w:tcW w:type="dxa" w:w="6260"/>
            <w:tcMar>
              <w:top w:type="dxa" w:w="90"/>
              <w:left w:type="dxa" w:w="120"/>
              <w:bottom w:type="dxa" w:w="90"/>
              <w:right w:type="dxa" w:w="120"/>
            </w:tcMar>
          </w:tcPr>
          <w:p>
            <w:r>
              <w:rPr>
                <w:b w:val="false"/>
                <w:bCs w:val="false"/>
                <w:color w:val="222222"/>
                <w:sz w:val="19"/>
                <w:szCs w:val="19"/>
              </w:rPr>
              <w:t xml:space="preserve">[ to be supplied — or sign up fresh as part of Phase 1 testing ]</w:t>
            </w:r>
          </w:p>
        </w:tc>
      </w:tr>
      <w:tr>
        <w:tc>
          <w:tcPr>
            <w:tcW w:type="dxa" w:w="3200"/>
            <w:tcMar>
              <w:top w:type="dxa" w:w="90"/>
              <w:left w:type="dxa" w:w="120"/>
              <w:bottom w:type="dxa" w:w="90"/>
              <w:right w:type="dxa" w:w="120"/>
            </w:tcMar>
          </w:tcPr>
          <w:p>
            <w:r>
              <w:rPr>
                <w:b w:val="false"/>
                <w:bCs w:val="false"/>
                <w:color w:val="222222"/>
                <w:sz w:val="19"/>
                <w:szCs w:val="19"/>
              </w:rPr>
              <w:t xml:space="preserve">Payment mode</w:t>
            </w:r>
          </w:p>
        </w:tc>
        <w:tc>
          <w:tcPr>
            <w:tcW w:type="dxa" w:w="6260"/>
            <w:tcMar>
              <w:top w:type="dxa" w:w="90"/>
              <w:left w:type="dxa" w:w="120"/>
              <w:bottom w:type="dxa" w:w="90"/>
              <w:right w:type="dxa" w:w="120"/>
            </w:tcMar>
          </w:tcPr>
          <w:p>
            <w:r>
              <w:rPr>
                <w:b w:val="false"/>
                <w:bCs w:val="false"/>
                <w:color w:val="222222"/>
                <w:sz w:val="19"/>
                <w:szCs w:val="19"/>
              </w:rPr>
              <w:t xml:space="preserve">Stripe TEST MODE — see §4 for the test card</w:t>
            </w:r>
          </w:p>
        </w:tc>
      </w:tr>
      <w:tr>
        <w:tc>
          <w:tcPr>
            <w:tcW w:type="dxa" w:w="3200"/>
            <w:tcMar>
              <w:top w:type="dxa" w:w="90"/>
              <w:left w:type="dxa" w:w="120"/>
              <w:bottom w:type="dxa" w:w="90"/>
              <w:right w:type="dxa" w:w="120"/>
            </w:tcMar>
          </w:tcPr>
          <w:p>
            <w:r>
              <w:rPr>
                <w:b w:val="false"/>
                <w:bCs w:val="false"/>
                <w:color w:val="222222"/>
                <w:sz w:val="19"/>
                <w:szCs w:val="19"/>
              </w:rPr>
              <w:t xml:space="preserve">Tester</w:t>
            </w:r>
          </w:p>
        </w:tc>
        <w:tc>
          <w:tcPr>
            <w:tcW w:type="dxa" w:w="6260"/>
            <w:tcMar>
              <w:top w:type="dxa" w:w="90"/>
              <w:left w:type="dxa" w:w="120"/>
              <w:bottom w:type="dxa" w:w="90"/>
              <w:right w:type="dxa" w:w="120"/>
            </w:tcMar>
          </w:tcPr>
          <w:p>
            <w:r>
              <w:rPr>
                <w:b w:val="false"/>
                <w:bCs w:val="false"/>
                <w:color w:val="222222"/>
                <w:sz w:val="19"/>
                <w:szCs w:val="19"/>
              </w:rPr>
              <w:t xml:space="preserve">[ Name ]</w:t>
            </w:r>
          </w:p>
        </w:tc>
      </w:tr>
      <w:tr>
        <w:tc>
          <w:tcPr>
            <w:tcW w:type="dxa" w:w="3200"/>
            <w:tcMar>
              <w:top w:type="dxa" w:w="90"/>
              <w:left w:type="dxa" w:w="120"/>
              <w:bottom w:type="dxa" w:w="90"/>
              <w:right w:type="dxa" w:w="120"/>
            </w:tcMar>
          </w:tcPr>
          <w:p>
            <w:r>
              <w:rPr>
                <w:b w:val="false"/>
                <w:bCs w:val="false"/>
                <w:color w:val="222222"/>
                <w:sz w:val="19"/>
                <w:szCs w:val="19"/>
              </w:rPr>
              <w:t xml:space="preserve">Guide version</w:t>
            </w:r>
          </w:p>
        </w:tc>
        <w:tc>
          <w:tcPr>
            <w:tcW w:type="dxa" w:w="6260"/>
            <w:tcMar>
              <w:top w:type="dxa" w:w="90"/>
              <w:left w:type="dxa" w:w="120"/>
              <w:bottom w:type="dxa" w:w="90"/>
              <w:right w:type="dxa" w:w="120"/>
            </w:tcMar>
          </w:tcPr>
          <w:p>
            <w:r>
              <w:rPr>
                <w:b w:val="false"/>
                <w:bCs w:val="false"/>
                <w:color w:val="222222"/>
                <w:sz w:val="19"/>
                <w:szCs w:val="19"/>
              </w:rPr>
              <w:t xml:space="preserve">v1.0 — 2026-08-08</w:t>
            </w:r>
          </w:p>
        </w:tc>
      </w:tr>
    </w:tbl>
    <w:p>
      <w:r>
        <w:br w:type="page"/>
      </w:r>
    </w:p>
    <w:p>
      <w:pPr>
        <w:pStyle w:val="Heading1"/>
        <w:pBdr>
          <w:bottom w:val="single" w:color="1F3A5F" w:sz="6" w:space="4"/>
        </w:pBdr>
        <w:spacing w:after="160" w:before="320"/>
      </w:pPr>
      <w:r>
        <w:rPr>
          <w:b/>
          <w:bCs/>
          <w:color w:val="1F3A5F"/>
          <w:sz w:val="30"/>
          <w:szCs w:val="30"/>
        </w:rPr>
        <w:t xml:space="preserve">1. What RealEquityIQ Is</w:t>
      </w:r>
    </w:p>
    <w:p>
      <w:pPr>
        <w:spacing w:after="160"/>
      </w:pPr>
      <w:r>
        <w:rPr>
          <w:b w:val="false"/>
          <w:bCs w:val="false"/>
          <w:i w:val="false"/>
          <w:iCs w:val="false"/>
          <w:color w:val="222222"/>
          <w:sz w:val="21"/>
          <w:szCs w:val="21"/>
        </w:rPr>
        <w:t xml:space="preserve">RealEquityIQ is a guided wealth-building simulation platform. Instead of a static financial calculator, it walks a user through comparing different paths to building net worth, shows a projected outcome for each, and then — once a path is chosen — guides the user through actually executing on it in the real world, with progress tracking and milestone recognition along the way.</w:t>
      </w:r>
    </w:p>
    <w:p>
      <w:pPr>
        <w:spacing w:after="160"/>
      </w:pPr>
      <w:r>
        <w:rPr>
          <w:b w:val="false"/>
          <w:bCs w:val="false"/>
          <w:i w:val="false"/>
          <w:iCs w:val="false"/>
          <w:color w:val="222222"/>
          <w:sz w:val="21"/>
          <w:szCs w:val="21"/>
        </w:rPr>
        <w:t xml:space="preserve">The product is built around two connected experiences:</w:t>
      </w:r>
    </w:p>
    <w:p>
      <w:pPr>
        <w:pStyle w:val="ListParagraph"/>
        <w:numPr>
          <w:ilvl w:val="0"/>
          <w:numId w:val="2"/>
        </w:numPr>
        <w:spacing w:after="80"/>
      </w:pPr>
      <w:r>
        <w:rPr>
          <w:b w:val="false"/>
          <w:bCs w:val="false"/>
          <w:sz w:val="21"/>
          <w:szCs w:val="21"/>
        </w:rPr>
        <w:t xml:space="preserve">Discovery — a guided, ~15-minute flow where the user enters a financial profile, compares scenarios side by side, and sees a projected net-worth trajectory for each one.</w:t>
      </w:r>
    </w:p>
    <w:p>
      <w:pPr>
        <w:pStyle w:val="ListParagraph"/>
        <w:numPr>
          <w:ilvl w:val="0"/>
          <w:numId w:val="2"/>
        </w:numPr>
        <w:spacing w:after="80"/>
      </w:pPr>
      <w:r>
        <w:rPr>
          <w:b w:val="false"/>
          <w:bCs w:val="false"/>
          <w:sz w:val="21"/>
          <w:szCs w:val="21"/>
        </w:rPr>
        <w:t xml:space="preserve">Execution / Journey — a longer-running, gamified experience for the path the user commits to: milestones, progress tracking, rank/identity progression, and a visual “Promenade” journey map.</w:t>
      </w:r>
    </w:p>
    <w:p>
      <w:pPr>
        <w:pStyle w:val="Heading2"/>
        <w:spacing w:after="120" w:before="260"/>
      </w:pPr>
      <w:r>
        <w:rPr>
          <w:b/>
          <w:bCs/>
          <w:color w:val="1F3A5F"/>
          <w:sz w:val="24"/>
          <w:szCs w:val="24"/>
        </w:rPr>
        <w:t xml:space="preserve">1.1 The Five Wealth-Building Paths</w:t>
      </w:r>
    </w:p>
    <w:p>
      <w:pPr>
        <w:spacing w:after="160"/>
      </w:pPr>
      <w:r>
        <w:rPr>
          <w:b w:val="false"/>
          <w:bCs w:val="false"/>
          <w:i w:val="false"/>
          <w:iCs w:val="false"/>
          <w:color w:val="222222"/>
          <w:sz w:val="21"/>
          <w:szCs w:val="21"/>
        </w:rPr>
        <w:t xml:space="preserve">Every simulation compares against some combination of these five scenarios:</w:t>
      </w:r>
    </w:p>
    <w:tbl>
      <w:tblPr>
        <w:tblW w:type="dxa" w:w="946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6860"/>
      </w:tblGrid>
      <w:tr>
        <w:trPr>
          <w:tblHeader/>
        </w:trPr>
        <w:tc>
          <w:tcPr>
            <w:tcW w:type="dxa" w:w="2600"/>
            <w:shd w:fill="1F3A5F" w:val="clear"/>
            <w:tcMar>
              <w:top w:type="dxa" w:w="100"/>
              <w:left w:type="dxa" w:w="120"/>
              <w:bottom w:type="dxa" w:w="100"/>
              <w:right w:type="dxa" w:w="120"/>
            </w:tcMar>
          </w:tcPr>
          <w:p>
            <w:r>
              <w:rPr>
                <w:b/>
                <w:bCs/>
                <w:color w:val="FFFFFF"/>
                <w:sz w:val="19"/>
                <w:szCs w:val="19"/>
              </w:rPr>
              <w:t xml:space="preserve">Path</w:t>
            </w:r>
          </w:p>
        </w:tc>
        <w:tc>
          <w:tcPr>
            <w:tcW w:type="dxa" w:w="6860"/>
            <w:shd w:fill="1F3A5F" w:val="clear"/>
            <w:tcMar>
              <w:top w:type="dxa" w:w="100"/>
              <w:left w:type="dxa" w:w="120"/>
              <w:bottom w:type="dxa" w:w="100"/>
              <w:right w:type="dxa" w:w="120"/>
            </w:tcMar>
          </w:tcPr>
          <w:p>
            <w:r>
              <w:rPr>
                <w:b/>
                <w:bCs/>
                <w:color w:val="FFFFFF"/>
                <w:sz w:val="19"/>
                <w:szCs w:val="19"/>
              </w:rPr>
              <w:t xml:space="preserve">Core Question It Answers</w:t>
            </w:r>
          </w:p>
        </w:tc>
      </w:tr>
      <w:tr>
        <w:tc>
          <w:tcPr>
            <w:tcW w:type="dxa" w:w="2600"/>
            <w:tcMar>
              <w:top w:type="dxa" w:w="90"/>
              <w:left w:type="dxa" w:w="120"/>
              <w:bottom w:type="dxa" w:w="90"/>
              <w:right w:type="dxa" w:w="120"/>
            </w:tcMar>
          </w:tcPr>
          <w:p>
            <w:r>
              <w:rPr>
                <w:b w:val="false"/>
                <w:bCs w:val="false"/>
                <w:color w:val="222222"/>
                <w:sz w:val="19"/>
                <w:szCs w:val="19"/>
              </w:rPr>
              <w:t xml:space="preserve">Home Purchase</w:t>
            </w:r>
          </w:p>
        </w:tc>
        <w:tc>
          <w:tcPr>
            <w:tcW w:type="dxa" w:w="6860"/>
            <w:tcMar>
              <w:top w:type="dxa" w:w="90"/>
              <w:left w:type="dxa" w:w="120"/>
              <w:bottom w:type="dxa" w:w="90"/>
              <w:right w:type="dxa" w:w="120"/>
            </w:tcMar>
          </w:tcPr>
          <w:p>
            <w:r>
              <w:rPr>
                <w:b w:val="false"/>
                <w:bCs w:val="false"/>
                <w:color w:val="222222"/>
                <w:sz w:val="19"/>
                <w:szCs w:val="19"/>
              </w:rPr>
              <w:t xml:space="preserve">What does buying a home do to my net worth over time?</w:t>
            </w:r>
          </w:p>
        </w:tc>
      </w:tr>
      <w:tr>
        <w:tc>
          <w:tcPr>
            <w:tcW w:type="dxa" w:w="2600"/>
            <w:tcMar>
              <w:top w:type="dxa" w:w="90"/>
              <w:left w:type="dxa" w:w="120"/>
              <w:bottom w:type="dxa" w:w="90"/>
              <w:right w:type="dxa" w:w="120"/>
            </w:tcMar>
          </w:tcPr>
          <w:p>
            <w:r>
              <w:rPr>
                <w:b w:val="false"/>
                <w:bCs w:val="false"/>
                <w:color w:val="222222"/>
                <w:sz w:val="19"/>
                <w:szCs w:val="19"/>
              </w:rPr>
              <w:t xml:space="preserve">House Hack</w:t>
            </w:r>
          </w:p>
        </w:tc>
        <w:tc>
          <w:tcPr>
            <w:tcW w:type="dxa" w:w="6860"/>
            <w:tcMar>
              <w:top w:type="dxa" w:w="90"/>
              <w:left w:type="dxa" w:w="120"/>
              <w:bottom w:type="dxa" w:w="90"/>
              <w:right w:type="dxa" w:w="120"/>
            </w:tcMar>
          </w:tcPr>
          <w:p>
            <w:r>
              <w:rPr>
                <w:b w:val="false"/>
                <w:bCs w:val="false"/>
                <w:color w:val="222222"/>
                <w:sz w:val="19"/>
                <w:szCs w:val="19"/>
              </w:rPr>
              <w:t xml:space="preserve">What if I buy a multi-unit property and live in one unit?</w:t>
            </w:r>
          </w:p>
        </w:tc>
      </w:tr>
      <w:tr>
        <w:tc>
          <w:tcPr>
            <w:tcW w:type="dxa" w:w="2600"/>
            <w:tcMar>
              <w:top w:type="dxa" w:w="90"/>
              <w:left w:type="dxa" w:w="120"/>
              <w:bottom w:type="dxa" w:w="90"/>
              <w:right w:type="dxa" w:w="120"/>
            </w:tcMar>
          </w:tcPr>
          <w:p>
            <w:r>
              <w:rPr>
                <w:b w:val="false"/>
                <w:bCs w:val="false"/>
                <w:color w:val="222222"/>
                <w:sz w:val="19"/>
                <w:szCs w:val="19"/>
              </w:rPr>
              <w:t xml:space="preserve">Strategic Renting</w:t>
            </w:r>
          </w:p>
        </w:tc>
        <w:tc>
          <w:tcPr>
            <w:tcW w:type="dxa" w:w="6860"/>
            <w:tcMar>
              <w:top w:type="dxa" w:w="90"/>
              <w:left w:type="dxa" w:w="120"/>
              <w:bottom w:type="dxa" w:w="90"/>
              <w:right w:type="dxa" w:w="120"/>
            </w:tcMar>
          </w:tcPr>
          <w:p>
            <w:r>
              <w:rPr>
                <w:b w:val="false"/>
                <w:bCs w:val="false"/>
                <w:color w:val="222222"/>
                <w:sz w:val="19"/>
                <w:szCs w:val="19"/>
              </w:rPr>
              <w:t xml:space="preserve">What if I keep renting and invest the difference instead?</w:t>
            </w:r>
          </w:p>
        </w:tc>
      </w:tr>
      <w:tr>
        <w:tc>
          <w:tcPr>
            <w:tcW w:type="dxa" w:w="2600"/>
            <w:tcMar>
              <w:top w:type="dxa" w:w="90"/>
              <w:left w:type="dxa" w:w="120"/>
              <w:bottom w:type="dxa" w:w="90"/>
              <w:right w:type="dxa" w:w="120"/>
            </w:tcMar>
          </w:tcPr>
          <w:p>
            <w:r>
              <w:rPr>
                <w:b w:val="false"/>
                <w:bCs w:val="false"/>
                <w:color w:val="222222"/>
                <w:sz w:val="19"/>
                <w:szCs w:val="19"/>
              </w:rPr>
              <w:t xml:space="preserve">Stock Investing</w:t>
            </w:r>
          </w:p>
        </w:tc>
        <w:tc>
          <w:tcPr>
            <w:tcW w:type="dxa" w:w="6860"/>
            <w:tcMar>
              <w:top w:type="dxa" w:w="90"/>
              <w:left w:type="dxa" w:w="120"/>
              <w:bottom w:type="dxa" w:w="90"/>
              <w:right w:type="dxa" w:w="120"/>
            </w:tcMar>
          </w:tcPr>
          <w:p>
            <w:r>
              <w:rPr>
                <w:b w:val="false"/>
                <w:bCs w:val="false"/>
                <w:color w:val="222222"/>
                <w:sz w:val="19"/>
                <w:szCs w:val="19"/>
              </w:rPr>
              <w:t xml:space="preserve">What if I put my money into the market instead of real estate?</w:t>
            </w:r>
          </w:p>
        </w:tc>
      </w:tr>
      <w:tr>
        <w:tc>
          <w:tcPr>
            <w:tcW w:type="dxa" w:w="2600"/>
            <w:tcMar>
              <w:top w:type="dxa" w:w="90"/>
              <w:left w:type="dxa" w:w="120"/>
              <w:bottom w:type="dxa" w:w="90"/>
              <w:right w:type="dxa" w:w="120"/>
            </w:tcMar>
          </w:tcPr>
          <w:p>
            <w:r>
              <w:rPr>
                <w:b w:val="false"/>
                <w:bCs w:val="false"/>
                <w:color w:val="222222"/>
                <w:sz w:val="19"/>
                <w:szCs w:val="19"/>
              </w:rPr>
              <w:t xml:space="preserve">Wait &amp; Save</w:t>
            </w:r>
          </w:p>
        </w:tc>
        <w:tc>
          <w:tcPr>
            <w:tcW w:type="dxa" w:w="6860"/>
            <w:tcMar>
              <w:top w:type="dxa" w:w="90"/>
              <w:left w:type="dxa" w:w="120"/>
              <w:bottom w:type="dxa" w:w="90"/>
              <w:right w:type="dxa" w:w="120"/>
            </w:tcMar>
          </w:tcPr>
          <w:p>
            <w:r>
              <w:rPr>
                <w:b w:val="false"/>
                <w:bCs w:val="false"/>
                <w:color w:val="222222"/>
                <w:sz w:val="19"/>
                <w:szCs w:val="19"/>
              </w:rPr>
              <w:t xml:space="preserve">What if I hold off and keep building savings first?</w:t>
            </w:r>
          </w:p>
        </w:tc>
      </w:tr>
    </w:tbl>
    <w:p>
      <w:pPr>
        <w:spacing w:after="160"/>
      </w:pPr>
    </w:p>
    <w:p>
      <w:pPr>
        <w:pStyle w:val="Heading2"/>
        <w:spacing w:after="120" w:before="260"/>
      </w:pPr>
      <w:r>
        <w:rPr>
          <w:b/>
          <w:bCs/>
          <w:color w:val="1F3A5F"/>
          <w:sz w:val="24"/>
          <w:szCs w:val="24"/>
        </w:rPr>
        <w:t xml:space="preserve">1.2 Core Experience Flow</w:t>
      </w:r>
    </w:p>
    <w:p>
      <w:pPr>
        <w:pStyle w:val="ListParagraph"/>
        <w:numPr>
          <w:ilvl w:val="0"/>
          <w:numId w:val="3"/>
        </w:numPr>
        <w:spacing w:after="80"/>
      </w:pPr>
      <w:r>
        <w:rPr>
          <w:sz w:val="21"/>
          <w:szCs w:val="21"/>
        </w:rPr>
        <w:t xml:space="preserve">Welcome / Discovery landing — the user starts the guided flow.</w:t>
      </w:r>
    </w:p>
    <w:p>
      <w:pPr>
        <w:pStyle w:val="ListParagraph"/>
        <w:numPr>
          <w:ilvl w:val="0"/>
          <w:numId w:val="3"/>
        </w:numPr>
        <w:spacing w:after="80"/>
      </w:pPr>
      <w:r>
        <w:rPr>
          <w:sz w:val="21"/>
          <w:szCs w:val="21"/>
        </w:rPr>
        <w:t xml:space="preserve">Scenario selection — user picks which of the five paths to compare.</w:t>
      </w:r>
    </w:p>
    <w:p>
      <w:pPr>
        <w:pStyle w:val="ListParagraph"/>
        <w:numPr>
          <w:ilvl w:val="0"/>
          <w:numId w:val="3"/>
        </w:numPr>
        <w:spacing w:after="80"/>
      </w:pPr>
      <w:r>
        <w:rPr>
          <w:sz w:val="21"/>
          <w:szCs w:val="21"/>
        </w:rPr>
        <w:t xml:space="preserve">Financial profile — user enters income, savings, and other basic inputs.</w:t>
      </w:r>
    </w:p>
    <w:p>
      <w:pPr>
        <w:pStyle w:val="ListParagraph"/>
        <w:numPr>
          <w:ilvl w:val="0"/>
          <w:numId w:val="3"/>
        </w:numPr>
        <w:spacing w:after="80"/>
      </w:pPr>
      <w:r>
        <w:rPr>
          <w:sz w:val="21"/>
          <w:szCs w:val="21"/>
        </w:rPr>
        <w:t xml:space="preserve">Results — a projected net-worth comparison across paths (Years 1, 3, 5, 10, 20).</w:t>
      </w:r>
    </w:p>
    <w:p>
      <w:pPr>
        <w:pStyle w:val="ListParagraph"/>
        <w:numPr>
          <w:ilvl w:val="0"/>
          <w:numId w:val="3"/>
        </w:numPr>
        <w:spacing w:after="80"/>
      </w:pPr>
      <w:r>
        <w:rPr>
          <w:sz w:val="21"/>
          <w:szCs w:val="21"/>
        </w:rPr>
        <w:t xml:space="preserve">Journey map (“The Promenade”) — a visual, milestone-based progress view for the chosen path.</w:t>
      </w:r>
    </w:p>
    <w:p>
      <w:pPr>
        <w:pStyle w:val="ListParagraph"/>
        <w:numPr>
          <w:ilvl w:val="0"/>
          <w:numId w:val="3"/>
        </w:numPr>
        <w:spacing w:after="80"/>
      </w:pPr>
      <w:r>
        <w:rPr>
          <w:sz w:val="21"/>
          <w:szCs w:val="21"/>
        </w:rPr>
        <w:t xml:space="preserve">Execution — real-world milestones the user self-reports as they happen (e.g. pre-approved, toured a home, made an offer, closed).</w:t>
      </w:r>
    </w:p>
    <w:p>
      <w:pPr>
        <w:pStyle w:val="ListParagraph"/>
        <w:numPr>
          <w:ilvl w:val="0"/>
          <w:numId w:val="3"/>
        </w:numPr>
        <w:spacing w:after="80"/>
      </w:pPr>
      <w:r>
        <w:rPr>
          <w:sz w:val="21"/>
          <w:szCs w:val="21"/>
        </w:rPr>
        <w:t xml:space="preserve">Completion — a celebration moment when a journey milestone/goal is reached.</w:t>
      </w:r>
    </w:p>
    <w:p>
      <w:pPr>
        <w:spacing w:after="200"/>
      </w:pPr>
    </w:p>
    <w:p>
      <w:pPr>
        <w:pStyle w:val="Heading2"/>
        <w:spacing w:after="120" w:before="260"/>
      </w:pPr>
      <w:r>
        <w:rPr>
          <w:b/>
          <w:bCs/>
          <w:color w:val="1F3A5F"/>
          <w:sz w:val="24"/>
          <w:szCs w:val="24"/>
        </w:rPr>
        <w:t xml:space="preserve">1.3 The Membership Model</w:t>
      </w:r>
    </w:p>
    <w:p>
      <w:pPr>
        <w:spacing w:after="160"/>
      </w:pPr>
      <w:r>
        <w:rPr>
          <w:b w:val="false"/>
          <w:bCs w:val="false"/>
          <w:i w:val="false"/>
          <w:iCs w:val="false"/>
          <w:color w:val="222222"/>
          <w:sz w:val="21"/>
          <w:szCs w:val="21"/>
        </w:rPr>
        <w:t xml:space="preserve">Access is gated by subscription tier. This is the central thing UAT needs to verify: that each tier unlocks exactly what it should, that upgrade/downgrade/cancel flows work cleanly, and that no tier leaks another tier's features.</w:t>
      </w:r>
    </w:p>
    <w:tbl>
      <w:tblPr>
        <w:tblW w:type="dxa" w:w="9460"/>
        <w:tblBorders>
          <w:top w:val="single" w:color="CCCCCC" w:sz="2"/>
          <w:left w:val="single" w:color="CCCCCC" w:sz="2"/>
          <w:bottom w:val="single" w:color="CCCCCC" w:sz="2"/>
          <w:right w:val="single" w:color="CCCCCC" w:sz="2"/>
          <w:insideH w:val="single" w:color="DDDDDD" w:sz="2"/>
          <w:insideV w:val="single" w:color="DDDDDD" w:sz="2"/>
        </w:tblBorders>
      </w:tblPr>
      <w:tblGrid>
        <w:gridCol w:w="1900"/>
        <w:gridCol w:w="2400"/>
        <w:gridCol w:w="2200"/>
        <w:gridCol w:w="2960"/>
      </w:tblGrid>
      <w:tr>
        <w:trPr>
          <w:tblHeader/>
        </w:trPr>
        <w:tc>
          <w:tcPr>
            <w:tcW w:type="dxa" w:w="1900"/>
            <w:shd w:fill="1F3A5F" w:val="clear"/>
            <w:tcMar>
              <w:top w:type="dxa" w:w="100"/>
              <w:left w:type="dxa" w:w="120"/>
              <w:bottom w:type="dxa" w:w="100"/>
              <w:right w:type="dxa" w:w="120"/>
            </w:tcMar>
          </w:tcPr>
          <w:p>
            <w:r>
              <w:rPr>
                <w:b/>
                <w:bCs/>
                <w:color w:val="FFFFFF"/>
                <w:sz w:val="19"/>
                <w:szCs w:val="19"/>
              </w:rPr>
              <w:t xml:space="preserve">Tier</w:t>
            </w:r>
          </w:p>
        </w:tc>
        <w:tc>
          <w:tcPr>
            <w:tcW w:type="dxa" w:w="2400"/>
            <w:shd w:fill="1F3A5F" w:val="clear"/>
            <w:tcMar>
              <w:top w:type="dxa" w:w="100"/>
              <w:left w:type="dxa" w:w="120"/>
              <w:bottom w:type="dxa" w:w="100"/>
              <w:right w:type="dxa" w:w="120"/>
            </w:tcMar>
          </w:tcPr>
          <w:p>
            <w:r>
              <w:rPr>
                <w:b/>
                <w:bCs/>
                <w:color w:val="FFFFFF"/>
                <w:sz w:val="19"/>
                <w:szCs w:val="19"/>
              </w:rPr>
              <w:t xml:space="preserve">Plan Name</w:t>
            </w:r>
          </w:p>
        </w:tc>
        <w:tc>
          <w:tcPr>
            <w:tcW w:type="dxa" w:w="2200"/>
            <w:shd w:fill="1F3A5F" w:val="clear"/>
            <w:tcMar>
              <w:top w:type="dxa" w:w="100"/>
              <w:left w:type="dxa" w:w="120"/>
              <w:bottom w:type="dxa" w:w="100"/>
              <w:right w:type="dxa" w:w="120"/>
            </w:tcMar>
          </w:tcPr>
          <w:p>
            <w:r>
              <w:rPr>
                <w:b/>
                <w:bCs/>
                <w:color w:val="FFFFFF"/>
                <w:sz w:val="19"/>
                <w:szCs w:val="19"/>
              </w:rPr>
              <w:t xml:space="preserve">Price</w:t>
            </w:r>
          </w:p>
        </w:tc>
        <w:tc>
          <w:tcPr>
            <w:tcW w:type="dxa" w:w="2960"/>
            <w:shd w:fill="1F3A5F" w:val="clear"/>
            <w:tcMar>
              <w:top w:type="dxa" w:w="100"/>
              <w:left w:type="dxa" w:w="120"/>
              <w:bottom w:type="dxa" w:w="100"/>
              <w:right w:type="dxa" w:w="120"/>
            </w:tcMar>
          </w:tcPr>
          <w:p>
            <w:r>
              <w:rPr>
                <w:b/>
                <w:bCs/>
                <w:color w:val="FFFFFF"/>
                <w:sz w:val="19"/>
                <w:szCs w:val="19"/>
              </w:rPr>
              <w:t xml:space="preserve">Billing</w:t>
            </w:r>
          </w:p>
        </w:tc>
      </w:tr>
      <w:tr>
        <w:tc>
          <w:tcPr>
            <w:tcW w:type="dxa" w:w="1900"/>
            <w:shd w:fill="E6F4EA" w:val="clear"/>
            <w:tcMar>
              <w:top w:type="dxa" w:w="90"/>
              <w:left w:type="dxa" w:w="120"/>
              <w:bottom w:type="dxa" w:w="90"/>
              <w:right w:type="dxa" w:w="120"/>
            </w:tcMar>
          </w:tcPr>
          <w:p>
            <w:r>
              <w:rPr>
                <w:b/>
                <w:bCs/>
                <w:color w:val="1E7A34"/>
                <w:sz w:val="19"/>
                <w:szCs w:val="19"/>
              </w:rPr>
              <w:t xml:space="preserve">Free</w:t>
            </w:r>
          </w:p>
        </w:tc>
        <w:tc>
          <w:tcPr>
            <w:tcW w:type="dxa" w:w="2400"/>
            <w:tcMar>
              <w:top w:type="dxa" w:w="90"/>
              <w:left w:type="dxa" w:w="120"/>
              <w:bottom w:type="dxa" w:w="90"/>
              <w:right w:type="dxa" w:w="120"/>
            </w:tcMar>
          </w:tcPr>
          <w:p>
            <w:r>
              <w:rPr>
                <w:b w:val="false"/>
                <w:bCs w:val="false"/>
                <w:color w:val="222222"/>
                <w:sz w:val="19"/>
                <w:szCs w:val="19"/>
              </w:rPr>
              <w:t xml:space="preserve">Explorer</w:t>
            </w:r>
          </w:p>
        </w:tc>
        <w:tc>
          <w:tcPr>
            <w:tcW w:type="dxa" w:w="2200"/>
            <w:tcMar>
              <w:top w:type="dxa" w:w="90"/>
              <w:left w:type="dxa" w:w="120"/>
              <w:bottom w:type="dxa" w:w="90"/>
              <w:right w:type="dxa" w:w="120"/>
            </w:tcMar>
          </w:tcPr>
          <w:p>
            <w:r>
              <w:rPr>
                <w:b w:val="false"/>
                <w:bCs w:val="false"/>
                <w:color w:val="222222"/>
                <w:sz w:val="19"/>
                <w:szCs w:val="19"/>
              </w:rPr>
              <w:t xml:space="preserve">$0</w:t>
            </w:r>
          </w:p>
        </w:tc>
        <w:tc>
          <w:tcPr>
            <w:tcW w:type="dxa" w:w="2960"/>
            <w:tcMar>
              <w:top w:type="dxa" w:w="90"/>
              <w:left w:type="dxa" w:w="120"/>
              <w:bottom w:type="dxa" w:w="90"/>
              <w:right w:type="dxa" w:w="120"/>
            </w:tcMar>
          </w:tcPr>
          <w:p>
            <w:r>
              <w:rPr>
                <w:b w:val="false"/>
                <w:bCs w:val="false"/>
                <w:color w:val="222222"/>
                <w:sz w:val="19"/>
                <w:szCs w:val="19"/>
              </w:rPr>
              <w:t xml:space="preserve">—</w:t>
            </w:r>
          </w:p>
        </w:tc>
      </w:tr>
      <w:tr>
        <w:tc>
          <w:tcPr>
            <w:tcW w:type="dxa" w:w="1900"/>
            <w:shd w:fill="E6F4EA" w:val="clear"/>
            <w:tcMar>
              <w:top w:type="dxa" w:w="90"/>
              <w:left w:type="dxa" w:w="120"/>
              <w:bottom w:type="dxa" w:w="90"/>
              <w:right w:type="dxa" w:w="120"/>
            </w:tcMar>
          </w:tcPr>
          <w:p>
            <w:r>
              <w:rPr>
                <w:b/>
                <w:bCs/>
                <w:color w:val="1E7A34"/>
                <w:sz w:val="19"/>
                <w:szCs w:val="19"/>
              </w:rPr>
              <w:t xml:space="preserve">À la carte</w:t>
            </w:r>
          </w:p>
        </w:tc>
        <w:tc>
          <w:tcPr>
            <w:tcW w:type="dxa" w:w="2400"/>
            <w:tcMar>
              <w:top w:type="dxa" w:w="90"/>
              <w:left w:type="dxa" w:w="120"/>
              <w:bottom w:type="dxa" w:w="90"/>
              <w:right w:type="dxa" w:w="120"/>
            </w:tcMar>
          </w:tcPr>
          <w:p>
            <w:r>
              <w:rPr>
                <w:b w:val="false"/>
                <w:bCs w:val="false"/>
                <w:color w:val="222222"/>
                <w:sz w:val="19"/>
                <w:szCs w:val="19"/>
              </w:rPr>
              <w:t xml:space="preserve">Explorer</w:t>
            </w:r>
          </w:p>
        </w:tc>
        <w:tc>
          <w:tcPr>
            <w:tcW w:type="dxa" w:w="2200"/>
            <w:tcMar>
              <w:top w:type="dxa" w:w="90"/>
              <w:left w:type="dxa" w:w="120"/>
              <w:bottom w:type="dxa" w:w="90"/>
              <w:right w:type="dxa" w:w="120"/>
            </w:tcMar>
          </w:tcPr>
          <w:p>
            <w:r>
              <w:rPr>
                <w:b w:val="false"/>
                <w:bCs w:val="false"/>
                <w:color w:val="222222"/>
                <w:sz w:val="19"/>
                <w:szCs w:val="19"/>
              </w:rPr>
              <w:t xml:space="preserve">$1 per run</w:t>
            </w:r>
          </w:p>
        </w:tc>
        <w:tc>
          <w:tcPr>
            <w:tcW w:type="dxa" w:w="2960"/>
            <w:tcMar>
              <w:top w:type="dxa" w:w="90"/>
              <w:left w:type="dxa" w:w="120"/>
              <w:bottom w:type="dxa" w:w="90"/>
              <w:right w:type="dxa" w:w="120"/>
            </w:tcMar>
          </w:tcPr>
          <w:p>
            <w:r>
              <w:rPr>
                <w:b w:val="false"/>
                <w:bCs w:val="false"/>
                <w:color w:val="222222"/>
                <w:sz w:val="19"/>
                <w:szCs w:val="19"/>
              </w:rPr>
              <w:t xml:space="preserve">One-time</w:t>
            </w:r>
          </w:p>
        </w:tc>
      </w:tr>
      <w:tr>
        <w:tc>
          <w:tcPr>
            <w:tcW w:type="dxa" w:w="1900"/>
            <w:shd w:fill="E8EEF7" w:val="clear"/>
            <w:tcMar>
              <w:top w:type="dxa" w:w="90"/>
              <w:left w:type="dxa" w:w="120"/>
              <w:bottom w:type="dxa" w:w="90"/>
              <w:right w:type="dxa" w:w="120"/>
            </w:tcMar>
          </w:tcPr>
          <w:p>
            <w:r>
              <w:rPr>
                <w:b/>
                <w:bCs/>
                <w:color w:val="1F3A5F"/>
                <w:sz w:val="19"/>
                <w:szCs w:val="19"/>
              </w:rPr>
              <w:t xml:space="preserve">Pro</w:t>
            </w:r>
          </w:p>
        </w:tc>
        <w:tc>
          <w:tcPr>
            <w:tcW w:type="dxa" w:w="2400"/>
            <w:tcMar>
              <w:top w:type="dxa" w:w="90"/>
              <w:left w:type="dxa" w:w="120"/>
              <w:bottom w:type="dxa" w:w="90"/>
              <w:right w:type="dxa" w:w="120"/>
            </w:tcMar>
          </w:tcPr>
          <w:p>
            <w:r>
              <w:rPr>
                <w:b w:val="false"/>
                <w:bCs w:val="false"/>
                <w:color w:val="222222"/>
                <w:sz w:val="19"/>
                <w:szCs w:val="19"/>
              </w:rPr>
              <w:t xml:space="preserve">Pathfinder</w:t>
            </w:r>
          </w:p>
        </w:tc>
        <w:tc>
          <w:tcPr>
            <w:tcW w:type="dxa" w:w="2200"/>
            <w:tcMar>
              <w:top w:type="dxa" w:w="90"/>
              <w:left w:type="dxa" w:w="120"/>
              <w:bottom w:type="dxa" w:w="90"/>
              <w:right w:type="dxa" w:w="120"/>
            </w:tcMar>
          </w:tcPr>
          <w:p>
            <w:r>
              <w:rPr>
                <w:b w:val="false"/>
                <w:bCs w:val="false"/>
                <w:color w:val="222222"/>
                <w:sz w:val="19"/>
                <w:szCs w:val="19"/>
              </w:rPr>
              <w:t xml:space="preserve">$4.99 / mo</w:t>
            </w:r>
          </w:p>
        </w:tc>
        <w:tc>
          <w:tcPr>
            <w:tcW w:type="dxa" w:w="2960"/>
            <w:tcMar>
              <w:top w:type="dxa" w:w="90"/>
              <w:left w:type="dxa" w:w="120"/>
              <w:bottom w:type="dxa" w:w="90"/>
              <w:right w:type="dxa" w:w="120"/>
            </w:tcMar>
          </w:tcPr>
          <w:p>
            <w:r>
              <w:rPr>
                <w:b w:val="false"/>
                <w:bCs w:val="false"/>
                <w:color w:val="222222"/>
                <w:sz w:val="19"/>
                <w:szCs w:val="19"/>
              </w:rPr>
              <w:t xml:space="preserve">Recurring</w:t>
            </w:r>
          </w:p>
        </w:tc>
      </w:tr>
      <w:tr>
        <w:tc>
          <w:tcPr>
            <w:tcW w:type="dxa" w:w="1900"/>
            <w:shd w:fill="FBEAEA" w:val="clear"/>
            <w:tcMar>
              <w:top w:type="dxa" w:w="90"/>
              <w:left w:type="dxa" w:w="120"/>
              <w:bottom w:type="dxa" w:w="90"/>
              <w:right w:type="dxa" w:w="120"/>
            </w:tcMar>
          </w:tcPr>
          <w:p>
            <w:r>
              <w:rPr>
                <w:b/>
                <w:bCs/>
                <w:color w:val="8A2A2A"/>
                <w:sz w:val="19"/>
                <w:szCs w:val="19"/>
              </w:rPr>
              <w:t xml:space="preserve">Elite</w:t>
            </w:r>
          </w:p>
        </w:tc>
        <w:tc>
          <w:tcPr>
            <w:tcW w:type="dxa" w:w="2400"/>
            <w:tcMar>
              <w:top w:type="dxa" w:w="90"/>
              <w:left w:type="dxa" w:w="120"/>
              <w:bottom w:type="dxa" w:w="90"/>
              <w:right w:type="dxa" w:w="120"/>
            </w:tcMar>
          </w:tcPr>
          <w:p>
            <w:r>
              <w:rPr>
                <w:b w:val="false"/>
                <w:bCs w:val="false"/>
                <w:color w:val="222222"/>
                <w:sz w:val="19"/>
                <w:szCs w:val="19"/>
              </w:rPr>
              <w:t xml:space="preserve">Market Expert</w:t>
            </w:r>
          </w:p>
        </w:tc>
        <w:tc>
          <w:tcPr>
            <w:tcW w:type="dxa" w:w="2200"/>
            <w:tcMar>
              <w:top w:type="dxa" w:w="90"/>
              <w:left w:type="dxa" w:w="120"/>
              <w:bottom w:type="dxa" w:w="90"/>
              <w:right w:type="dxa" w:w="120"/>
            </w:tcMar>
          </w:tcPr>
          <w:p>
            <w:r>
              <w:rPr>
                <w:b w:val="false"/>
                <w:bCs w:val="false"/>
                <w:color w:val="222222"/>
                <w:sz w:val="19"/>
                <w:szCs w:val="19"/>
              </w:rPr>
              <w:t xml:space="preserve">$9.99 / mo</w:t>
            </w:r>
          </w:p>
        </w:tc>
        <w:tc>
          <w:tcPr>
            <w:tcW w:type="dxa" w:w="2960"/>
            <w:tcMar>
              <w:top w:type="dxa" w:w="90"/>
              <w:left w:type="dxa" w:w="120"/>
              <w:bottom w:type="dxa" w:w="90"/>
              <w:right w:type="dxa" w:w="120"/>
            </w:tcMar>
          </w:tcPr>
          <w:p>
            <w:r>
              <w:rPr>
                <w:b w:val="false"/>
                <w:bCs w:val="false"/>
                <w:color w:val="222222"/>
                <w:sz w:val="19"/>
                <w:szCs w:val="19"/>
              </w:rPr>
              <w:t xml:space="preserve">Recurring</w:t>
            </w:r>
          </w:p>
        </w:tc>
      </w:tr>
      <w:tr>
        <w:tc>
          <w:tcPr>
            <w:tcW w:type="dxa" w:w="1900"/>
            <w:shd w:fill="FBEAEA" w:val="clear"/>
            <w:tcMar>
              <w:top w:type="dxa" w:w="90"/>
              <w:left w:type="dxa" w:w="120"/>
              <w:bottom w:type="dxa" w:w="90"/>
              <w:right w:type="dxa" w:w="120"/>
            </w:tcMar>
          </w:tcPr>
          <w:p>
            <w:r>
              <w:rPr>
                <w:b/>
                <w:bCs/>
                <w:color w:val="8A2A2A"/>
                <w:sz w:val="19"/>
                <w:szCs w:val="19"/>
              </w:rPr>
              <w:t xml:space="preserve">Elite Annual</w:t>
            </w:r>
          </w:p>
        </w:tc>
        <w:tc>
          <w:tcPr>
            <w:tcW w:type="dxa" w:w="2400"/>
            <w:tcMar>
              <w:top w:type="dxa" w:w="90"/>
              <w:left w:type="dxa" w:w="120"/>
              <w:bottom w:type="dxa" w:w="90"/>
              <w:right w:type="dxa" w:w="120"/>
            </w:tcMar>
          </w:tcPr>
          <w:p>
            <w:r>
              <w:rPr>
                <w:b w:val="false"/>
                <w:bCs w:val="false"/>
                <w:color w:val="222222"/>
                <w:sz w:val="19"/>
                <w:szCs w:val="19"/>
              </w:rPr>
              <w:t xml:space="preserve">Market Expert (Annual)</w:t>
            </w:r>
          </w:p>
        </w:tc>
        <w:tc>
          <w:tcPr>
            <w:tcW w:type="dxa" w:w="2200"/>
            <w:tcMar>
              <w:top w:type="dxa" w:w="90"/>
              <w:left w:type="dxa" w:w="120"/>
              <w:bottom w:type="dxa" w:w="90"/>
              <w:right w:type="dxa" w:w="120"/>
            </w:tcMar>
          </w:tcPr>
          <w:p>
            <w:r>
              <w:rPr>
                <w:b w:val="false"/>
                <w:bCs w:val="false"/>
                <w:color w:val="222222"/>
                <w:sz w:val="19"/>
                <w:szCs w:val="19"/>
              </w:rPr>
              <w:t xml:space="preserve">$99.99 / yr</w:t>
            </w:r>
          </w:p>
        </w:tc>
        <w:tc>
          <w:tcPr>
            <w:tcW w:type="dxa" w:w="2960"/>
            <w:tcMar>
              <w:top w:type="dxa" w:w="90"/>
              <w:left w:type="dxa" w:w="120"/>
              <w:bottom w:type="dxa" w:w="90"/>
              <w:right w:type="dxa" w:w="120"/>
            </w:tcMar>
          </w:tcPr>
          <w:p>
            <w:r>
              <w:rPr>
                <w:b w:val="false"/>
                <w:bCs w:val="false"/>
                <w:color w:val="222222"/>
                <w:sz w:val="19"/>
                <w:szCs w:val="19"/>
              </w:rPr>
              <w:t xml:space="preserve">Recurring, prepaid</w:t>
            </w:r>
          </w:p>
        </w:tc>
      </w:tr>
    </w:tbl>
    <w:p>
      <w:pPr>
        <w:spacing w:after="160"/>
      </w:pPr>
    </w:p>
    <w:p>
      <w:pPr>
        <w:spacing w:after="160"/>
      </w:pPr>
      <w:r>
        <w:rPr>
          <w:b w:val="false"/>
          <w:bCs w:val="false"/>
          <w:i/>
          <w:iCs/>
          <w:color w:val="444444"/>
          <w:sz w:val="21"/>
          <w:szCs w:val="21"/>
        </w:rPr>
        <w:t xml:space="preserve">Approximate feature gating by tier — treat this as your hypothesis to confirm, not ground truth; if what you observe in the app differs from this table, that is itself a finding worth reporting.</w:t>
      </w:r>
    </w:p>
    <w:tbl>
      <w:tblPr>
        <w:tblW w:type="dxa" w:w="946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2200"/>
        <w:gridCol w:w="2200"/>
        <w:gridCol w:w="2660"/>
      </w:tblGrid>
      <w:tr>
        <w:trPr>
          <w:tblHeader/>
        </w:trPr>
        <w:tc>
          <w:tcPr>
            <w:tcW w:type="dxa" w:w="2400"/>
            <w:shd w:fill="1F3A5F" w:val="clear"/>
            <w:tcMar>
              <w:top w:type="dxa" w:w="100"/>
              <w:left w:type="dxa" w:w="120"/>
              <w:bottom w:type="dxa" w:w="100"/>
              <w:right w:type="dxa" w:w="120"/>
            </w:tcMar>
          </w:tcPr>
          <w:p>
            <w:r>
              <w:rPr>
                <w:b/>
                <w:bCs/>
                <w:color w:val="FFFFFF"/>
                <w:sz w:val="19"/>
                <w:szCs w:val="19"/>
              </w:rPr>
              <w:t xml:space="preserve">Feature</w:t>
            </w:r>
          </w:p>
        </w:tc>
        <w:tc>
          <w:tcPr>
            <w:tcW w:type="dxa" w:w="2200"/>
            <w:shd w:fill="1F3A5F" w:val="clear"/>
            <w:tcMar>
              <w:top w:type="dxa" w:w="100"/>
              <w:left w:type="dxa" w:w="120"/>
              <w:bottom w:type="dxa" w:w="100"/>
              <w:right w:type="dxa" w:w="120"/>
            </w:tcMar>
          </w:tcPr>
          <w:p>
            <w:r>
              <w:rPr>
                <w:b/>
                <w:bCs/>
                <w:color w:val="FFFFFF"/>
                <w:sz w:val="19"/>
                <w:szCs w:val="19"/>
              </w:rPr>
              <w:t xml:space="preserve">Explorer (Free)</w:t>
            </w:r>
          </w:p>
        </w:tc>
        <w:tc>
          <w:tcPr>
            <w:tcW w:type="dxa" w:w="2200"/>
            <w:shd w:fill="1F3A5F" w:val="clear"/>
            <w:tcMar>
              <w:top w:type="dxa" w:w="100"/>
              <w:left w:type="dxa" w:w="120"/>
              <w:bottom w:type="dxa" w:w="100"/>
              <w:right w:type="dxa" w:w="120"/>
            </w:tcMar>
          </w:tcPr>
          <w:p>
            <w:r>
              <w:rPr>
                <w:b/>
                <w:bCs/>
                <w:color w:val="FFFFFF"/>
                <w:sz w:val="19"/>
                <w:szCs w:val="19"/>
              </w:rPr>
              <w:t xml:space="preserve">Pathfinder (Pro)</w:t>
            </w:r>
          </w:p>
        </w:tc>
        <w:tc>
          <w:tcPr>
            <w:tcW w:type="dxa" w:w="2660"/>
            <w:shd w:fill="1F3A5F" w:val="clear"/>
            <w:tcMar>
              <w:top w:type="dxa" w:w="100"/>
              <w:left w:type="dxa" w:w="120"/>
              <w:bottom w:type="dxa" w:w="100"/>
              <w:right w:type="dxa" w:w="120"/>
            </w:tcMar>
          </w:tcPr>
          <w:p>
            <w:r>
              <w:rPr>
                <w:b/>
                <w:bCs/>
                <w:color w:val="FFFFFF"/>
                <w:sz w:val="19"/>
                <w:szCs w:val="19"/>
              </w:rPr>
              <w:t xml:space="preserve">Market Expert (Elite)</w:t>
            </w:r>
          </w:p>
        </w:tc>
      </w:tr>
      <w:tr>
        <w:tc>
          <w:tcPr>
            <w:tcW w:type="dxa" w:w="2400"/>
            <w:tcMar>
              <w:top w:type="dxa" w:w="90"/>
              <w:left w:type="dxa" w:w="120"/>
              <w:bottom w:type="dxa" w:w="90"/>
              <w:right w:type="dxa" w:w="120"/>
            </w:tcMar>
          </w:tcPr>
          <w:p>
            <w:r>
              <w:rPr>
                <w:b w:val="false"/>
                <w:bCs w:val="false"/>
                <w:color w:val="222222"/>
                <w:sz w:val="19"/>
                <w:szCs w:val="19"/>
              </w:rPr>
              <w:t xml:space="preserve">Run simulations</w:t>
            </w:r>
          </w:p>
        </w:tc>
        <w:tc>
          <w:tcPr>
            <w:tcW w:type="dxa" w:w="2200"/>
            <w:tcMar>
              <w:top w:type="dxa" w:w="90"/>
              <w:left w:type="dxa" w:w="120"/>
              <w:bottom w:type="dxa" w:w="90"/>
              <w:right w:type="dxa" w:w="120"/>
            </w:tcMar>
          </w:tcPr>
          <w:p>
            <w:r>
              <w:rPr>
                <w:b w:val="false"/>
                <w:bCs w:val="false"/>
                <w:color w:val="222222"/>
                <w:sz w:val="19"/>
                <w:szCs w:val="19"/>
              </w:rPr>
              <w:t xml:space="preserve">Yes</w:t>
            </w:r>
          </w:p>
        </w:tc>
        <w:tc>
          <w:tcPr>
            <w:tcW w:type="dxa" w:w="2200"/>
            <w:tcMar>
              <w:top w:type="dxa" w:w="90"/>
              <w:left w:type="dxa" w:w="120"/>
              <w:bottom w:type="dxa" w:w="90"/>
              <w:right w:type="dxa" w:w="120"/>
            </w:tcMar>
          </w:tcPr>
          <w:p>
            <w:r>
              <w:rPr>
                <w:b w:val="false"/>
                <w:bCs w:val="false"/>
                <w:color w:val="222222"/>
                <w:sz w:val="19"/>
                <w:szCs w:val="19"/>
              </w:rPr>
              <w:t xml:space="preserve">Yes</w:t>
            </w:r>
          </w:p>
        </w:tc>
        <w:tc>
          <w:tcPr>
            <w:tcW w:type="dxa" w:w="2660"/>
            <w:tcMar>
              <w:top w:type="dxa" w:w="90"/>
              <w:left w:type="dxa" w:w="120"/>
              <w:bottom w:type="dxa" w:w="90"/>
              <w:right w:type="dxa" w:w="120"/>
            </w:tcMar>
          </w:tcPr>
          <w:p>
            <w:r>
              <w:rPr>
                <w:b w:val="false"/>
                <w:bCs w:val="false"/>
                <w:color w:val="222222"/>
                <w:sz w:val="19"/>
                <w:szCs w:val="19"/>
              </w:rPr>
              <w:t xml:space="preserve">Yes</w:t>
            </w:r>
          </w:p>
        </w:tc>
      </w:tr>
      <w:tr>
        <w:tc>
          <w:tcPr>
            <w:tcW w:type="dxa" w:w="2400"/>
            <w:tcMar>
              <w:top w:type="dxa" w:w="90"/>
              <w:left w:type="dxa" w:w="120"/>
              <w:bottom w:type="dxa" w:w="90"/>
              <w:right w:type="dxa" w:w="120"/>
            </w:tcMar>
          </w:tcPr>
          <w:p>
            <w:r>
              <w:rPr>
                <w:b w:val="false"/>
                <w:bCs w:val="false"/>
                <w:color w:val="222222"/>
                <w:sz w:val="19"/>
                <w:szCs w:val="19"/>
              </w:rPr>
              <w:t xml:space="preserve">Results visibility</w:t>
            </w:r>
          </w:p>
        </w:tc>
        <w:tc>
          <w:tcPr>
            <w:tcW w:type="dxa" w:w="2200"/>
            <w:tcMar>
              <w:top w:type="dxa" w:w="90"/>
              <w:left w:type="dxa" w:w="120"/>
              <w:bottom w:type="dxa" w:w="90"/>
              <w:right w:type="dxa" w:w="120"/>
            </w:tcMar>
          </w:tcPr>
          <w:p>
            <w:r>
              <w:rPr>
                <w:b w:val="false"/>
                <w:bCs w:val="false"/>
                <w:color w:val="222222"/>
                <w:sz w:val="19"/>
                <w:szCs w:val="19"/>
              </w:rPr>
              <w:t xml:space="preserve">Years 1 / 3 / 5 only, after email unlock</w:t>
            </w:r>
          </w:p>
        </w:tc>
        <w:tc>
          <w:tcPr>
            <w:tcW w:type="dxa" w:w="2200"/>
            <w:tcMar>
              <w:top w:type="dxa" w:w="90"/>
              <w:left w:type="dxa" w:w="120"/>
              <w:bottom w:type="dxa" w:w="90"/>
              <w:right w:type="dxa" w:w="120"/>
            </w:tcMar>
          </w:tcPr>
          <w:p>
            <w:r>
              <w:rPr>
                <w:b w:val="false"/>
                <w:bCs w:val="false"/>
                <w:color w:val="222222"/>
                <w:sz w:val="19"/>
                <w:szCs w:val="19"/>
              </w:rPr>
              <w:t xml:space="preserve">Full 20-year results</w:t>
            </w:r>
          </w:p>
        </w:tc>
        <w:tc>
          <w:tcPr>
            <w:tcW w:type="dxa" w:w="2660"/>
            <w:tcMar>
              <w:top w:type="dxa" w:w="90"/>
              <w:left w:type="dxa" w:w="120"/>
              <w:bottom w:type="dxa" w:w="90"/>
              <w:right w:type="dxa" w:w="120"/>
            </w:tcMar>
          </w:tcPr>
          <w:p>
            <w:r>
              <w:rPr>
                <w:b w:val="false"/>
                <w:bCs w:val="false"/>
                <w:color w:val="222222"/>
                <w:sz w:val="19"/>
                <w:szCs w:val="19"/>
              </w:rPr>
              <w:t xml:space="preserve">Full 20-year results</w:t>
            </w:r>
          </w:p>
        </w:tc>
      </w:tr>
      <w:tr>
        <w:tc>
          <w:tcPr>
            <w:tcW w:type="dxa" w:w="2400"/>
            <w:tcMar>
              <w:top w:type="dxa" w:w="90"/>
              <w:left w:type="dxa" w:w="120"/>
              <w:bottom w:type="dxa" w:w="90"/>
              <w:right w:type="dxa" w:w="120"/>
            </w:tcMar>
          </w:tcPr>
          <w:p>
            <w:r>
              <w:rPr>
                <w:b w:val="false"/>
                <w:bCs w:val="false"/>
                <w:color w:val="222222"/>
                <w:sz w:val="19"/>
                <w:szCs w:val="19"/>
              </w:rPr>
              <w:t xml:space="preserve">Scenarios comparable</w:t>
            </w:r>
          </w:p>
        </w:tc>
        <w:tc>
          <w:tcPr>
            <w:tcW w:type="dxa" w:w="2200"/>
            <w:tcMar>
              <w:top w:type="dxa" w:w="90"/>
              <w:left w:type="dxa" w:w="120"/>
              <w:bottom w:type="dxa" w:w="90"/>
              <w:right w:type="dxa" w:w="120"/>
            </w:tcMar>
          </w:tcPr>
          <w:p>
            <w:r>
              <w:rPr>
                <w:b w:val="false"/>
                <w:bCs w:val="false"/>
                <w:color w:val="222222"/>
                <w:sz w:val="19"/>
                <w:szCs w:val="19"/>
              </w:rPr>
              <w:t xml:space="preserve">Limited set</w:t>
            </w:r>
          </w:p>
        </w:tc>
        <w:tc>
          <w:tcPr>
            <w:tcW w:type="dxa" w:w="2200"/>
            <w:tcMar>
              <w:top w:type="dxa" w:w="90"/>
              <w:left w:type="dxa" w:w="120"/>
              <w:bottom w:type="dxa" w:w="90"/>
              <w:right w:type="dxa" w:w="120"/>
            </w:tcMar>
          </w:tcPr>
          <w:p>
            <w:r>
              <w:rPr>
                <w:b w:val="false"/>
                <w:bCs w:val="false"/>
                <w:color w:val="222222"/>
                <w:sz w:val="19"/>
                <w:szCs w:val="19"/>
              </w:rPr>
              <w:t xml:space="preserve">All 5 scenarios</w:t>
            </w:r>
          </w:p>
        </w:tc>
        <w:tc>
          <w:tcPr>
            <w:tcW w:type="dxa" w:w="2660"/>
            <w:tcMar>
              <w:top w:type="dxa" w:w="90"/>
              <w:left w:type="dxa" w:w="120"/>
              <w:bottom w:type="dxa" w:w="90"/>
              <w:right w:type="dxa" w:w="120"/>
            </w:tcMar>
          </w:tcPr>
          <w:p>
            <w:r>
              <w:rPr>
                <w:b w:val="false"/>
                <w:bCs w:val="false"/>
                <w:color w:val="222222"/>
                <w:sz w:val="19"/>
                <w:szCs w:val="19"/>
              </w:rPr>
              <w:t xml:space="preserve">All 5 + multi-property</w:t>
            </w:r>
          </w:p>
        </w:tc>
      </w:tr>
      <w:tr>
        <w:tc>
          <w:tcPr>
            <w:tcW w:type="dxa" w:w="2400"/>
            <w:tcMar>
              <w:top w:type="dxa" w:w="90"/>
              <w:left w:type="dxa" w:w="120"/>
              <w:bottom w:type="dxa" w:w="90"/>
              <w:right w:type="dxa" w:w="120"/>
            </w:tcMar>
          </w:tcPr>
          <w:p>
            <w:r>
              <w:rPr>
                <w:b w:val="false"/>
                <w:bCs w:val="false"/>
                <w:color w:val="222222"/>
                <w:sz w:val="19"/>
                <w:szCs w:val="19"/>
              </w:rPr>
              <w:t xml:space="preserve">Save &amp; compare runs</w:t>
            </w:r>
          </w:p>
        </w:tc>
        <w:tc>
          <w:tcPr>
            <w:tcW w:type="dxa" w:w="2200"/>
            <w:tcMar>
              <w:top w:type="dxa" w:w="90"/>
              <w:left w:type="dxa" w:w="120"/>
              <w:bottom w:type="dxa" w:w="90"/>
              <w:right w:type="dxa" w:w="120"/>
            </w:tcMar>
          </w:tcPr>
          <w:p>
            <w:r>
              <w:rPr>
                <w:b w:val="false"/>
                <w:bCs w:val="false"/>
                <w:color w:val="222222"/>
                <w:sz w:val="19"/>
                <w:szCs w:val="19"/>
              </w:rPr>
              <w:t xml:space="preserve">Not available</w:t>
            </w:r>
          </w:p>
        </w:tc>
        <w:tc>
          <w:tcPr>
            <w:tcW w:type="dxa" w:w="2200"/>
            <w:tcMar>
              <w:top w:type="dxa" w:w="90"/>
              <w:left w:type="dxa" w:w="120"/>
              <w:bottom w:type="dxa" w:w="90"/>
              <w:right w:type="dxa" w:w="120"/>
            </w:tcMar>
          </w:tcPr>
          <w:p>
            <w:r>
              <w:rPr>
                <w:b w:val="false"/>
                <w:bCs w:val="false"/>
                <w:color w:val="222222"/>
                <w:sz w:val="19"/>
                <w:szCs w:val="19"/>
              </w:rPr>
              <w:t xml:space="preserve">Yes</w:t>
            </w:r>
          </w:p>
        </w:tc>
        <w:tc>
          <w:tcPr>
            <w:tcW w:type="dxa" w:w="2660"/>
            <w:tcMar>
              <w:top w:type="dxa" w:w="90"/>
              <w:left w:type="dxa" w:w="120"/>
              <w:bottom w:type="dxa" w:w="90"/>
              <w:right w:type="dxa" w:w="120"/>
            </w:tcMar>
          </w:tcPr>
          <w:p>
            <w:r>
              <w:rPr>
                <w:b w:val="false"/>
                <w:bCs w:val="false"/>
                <w:color w:val="222222"/>
                <w:sz w:val="19"/>
                <w:szCs w:val="19"/>
              </w:rPr>
              <w:t xml:space="preserve">Yes</w:t>
            </w:r>
          </w:p>
        </w:tc>
      </w:tr>
      <w:tr>
        <w:tc>
          <w:tcPr>
            <w:tcW w:type="dxa" w:w="2400"/>
            <w:tcMar>
              <w:top w:type="dxa" w:w="90"/>
              <w:left w:type="dxa" w:w="120"/>
              <w:bottom w:type="dxa" w:w="90"/>
              <w:right w:type="dxa" w:w="120"/>
            </w:tcMar>
          </w:tcPr>
          <w:p>
            <w:r>
              <w:rPr>
                <w:b w:val="false"/>
                <w:bCs w:val="false"/>
                <w:color w:val="222222"/>
                <w:sz w:val="19"/>
                <w:szCs w:val="19"/>
              </w:rPr>
              <w:t xml:space="preserve">Journey map / milestones</w:t>
            </w:r>
          </w:p>
        </w:tc>
        <w:tc>
          <w:tcPr>
            <w:tcW w:type="dxa" w:w="2200"/>
            <w:tcMar>
              <w:top w:type="dxa" w:w="90"/>
              <w:left w:type="dxa" w:w="120"/>
              <w:bottom w:type="dxa" w:w="90"/>
              <w:right w:type="dxa" w:w="120"/>
            </w:tcMar>
          </w:tcPr>
          <w:p>
            <w:r>
              <w:rPr>
                <w:b w:val="false"/>
                <w:bCs w:val="false"/>
                <w:color w:val="222222"/>
                <w:sz w:val="19"/>
                <w:szCs w:val="19"/>
              </w:rPr>
              <w:t xml:space="preserve">Preview only</w:t>
            </w:r>
          </w:p>
        </w:tc>
        <w:tc>
          <w:tcPr>
            <w:tcW w:type="dxa" w:w="2200"/>
            <w:tcMar>
              <w:top w:type="dxa" w:w="90"/>
              <w:left w:type="dxa" w:w="120"/>
              <w:bottom w:type="dxa" w:w="90"/>
              <w:right w:type="dxa" w:w="120"/>
            </w:tcMar>
          </w:tcPr>
          <w:p>
            <w:r>
              <w:rPr>
                <w:b w:val="false"/>
                <w:bCs w:val="false"/>
                <w:color w:val="222222"/>
                <w:sz w:val="19"/>
                <w:szCs w:val="19"/>
              </w:rPr>
              <w:t xml:space="preserve">Full journey + milestones</w:t>
            </w:r>
          </w:p>
        </w:tc>
        <w:tc>
          <w:tcPr>
            <w:tcW w:type="dxa" w:w="2660"/>
            <w:tcMar>
              <w:top w:type="dxa" w:w="90"/>
              <w:left w:type="dxa" w:w="120"/>
              <w:bottom w:type="dxa" w:w="90"/>
              <w:right w:type="dxa" w:w="120"/>
            </w:tcMar>
          </w:tcPr>
          <w:p>
            <w:r>
              <w:rPr>
                <w:b w:val="false"/>
                <w:bCs w:val="false"/>
                <w:color w:val="222222"/>
                <w:sz w:val="19"/>
                <w:szCs w:val="19"/>
              </w:rPr>
              <w:t xml:space="preserve">Full journey + milestones</w:t>
            </w:r>
          </w:p>
        </w:tc>
      </w:tr>
      <w:tr>
        <w:tc>
          <w:tcPr>
            <w:tcW w:type="dxa" w:w="2400"/>
            <w:tcMar>
              <w:top w:type="dxa" w:w="90"/>
              <w:left w:type="dxa" w:w="120"/>
              <w:bottom w:type="dxa" w:w="90"/>
              <w:right w:type="dxa" w:w="120"/>
            </w:tcMar>
          </w:tcPr>
          <w:p>
            <w:r>
              <w:rPr>
                <w:b w:val="false"/>
                <w:bCs w:val="false"/>
                <w:color w:val="222222"/>
                <w:sz w:val="19"/>
                <w:szCs w:val="19"/>
              </w:rPr>
              <w:t xml:space="preserve">Household / multi-property mode</w:t>
            </w:r>
          </w:p>
        </w:tc>
        <w:tc>
          <w:tcPr>
            <w:tcW w:type="dxa" w:w="2200"/>
            <w:tcMar>
              <w:top w:type="dxa" w:w="90"/>
              <w:left w:type="dxa" w:w="120"/>
              <w:bottom w:type="dxa" w:w="90"/>
              <w:right w:type="dxa" w:w="120"/>
            </w:tcMar>
          </w:tcPr>
          <w:p>
            <w:r>
              <w:rPr>
                <w:b w:val="false"/>
                <w:bCs w:val="false"/>
                <w:color w:val="222222"/>
                <w:sz w:val="19"/>
                <w:szCs w:val="19"/>
              </w:rPr>
              <w:t xml:space="preserve">Not available</w:t>
            </w:r>
          </w:p>
        </w:tc>
        <w:tc>
          <w:tcPr>
            <w:tcW w:type="dxa" w:w="2200"/>
            <w:tcMar>
              <w:top w:type="dxa" w:w="90"/>
              <w:left w:type="dxa" w:w="120"/>
              <w:bottom w:type="dxa" w:w="90"/>
              <w:right w:type="dxa" w:w="120"/>
            </w:tcMar>
          </w:tcPr>
          <w:p>
            <w:r>
              <w:rPr>
                <w:b w:val="false"/>
                <w:bCs w:val="false"/>
                <w:color w:val="222222"/>
                <w:sz w:val="19"/>
                <w:szCs w:val="19"/>
              </w:rPr>
              <w:t xml:space="preserve">Not available</w:t>
            </w:r>
          </w:p>
        </w:tc>
        <w:tc>
          <w:tcPr>
            <w:tcW w:type="dxa" w:w="2660"/>
            <w:tcMar>
              <w:top w:type="dxa" w:w="90"/>
              <w:left w:type="dxa" w:w="120"/>
              <w:bottom w:type="dxa" w:w="90"/>
              <w:right w:type="dxa" w:w="120"/>
            </w:tcMar>
          </w:tcPr>
          <w:p>
            <w:r>
              <w:rPr>
                <w:b w:val="false"/>
                <w:bCs w:val="false"/>
                <w:color w:val="222222"/>
                <w:sz w:val="19"/>
                <w:szCs w:val="19"/>
              </w:rPr>
              <w:t xml:space="preserve">Yes</w:t>
            </w:r>
          </w:p>
        </w:tc>
      </w:tr>
      <w:tr>
        <w:tc>
          <w:tcPr>
            <w:tcW w:type="dxa" w:w="2400"/>
            <w:tcMar>
              <w:top w:type="dxa" w:w="90"/>
              <w:left w:type="dxa" w:w="120"/>
              <w:bottom w:type="dxa" w:w="90"/>
              <w:right w:type="dxa" w:w="120"/>
            </w:tcMar>
          </w:tcPr>
          <w:p>
            <w:r>
              <w:rPr>
                <w:b w:val="false"/>
                <w:bCs w:val="false"/>
                <w:color w:val="222222"/>
                <w:sz w:val="19"/>
                <w:szCs w:val="19"/>
              </w:rPr>
              <w:t xml:space="preserve">Identity badges</w:t>
            </w:r>
          </w:p>
        </w:tc>
        <w:tc>
          <w:tcPr>
            <w:tcW w:type="dxa" w:w="2200"/>
            <w:tcMar>
              <w:top w:type="dxa" w:w="90"/>
              <w:left w:type="dxa" w:w="120"/>
              <w:bottom w:type="dxa" w:w="90"/>
              <w:right w:type="dxa" w:w="120"/>
            </w:tcMar>
          </w:tcPr>
          <w:p>
            <w:r>
              <w:rPr>
                <w:b w:val="false"/>
                <w:bCs w:val="false"/>
                <w:color w:val="222222"/>
                <w:sz w:val="19"/>
                <w:szCs w:val="19"/>
              </w:rPr>
              <w:t xml:space="preserve">Basic avatar only</w:t>
            </w:r>
          </w:p>
        </w:tc>
        <w:tc>
          <w:tcPr>
            <w:tcW w:type="dxa" w:w="2200"/>
            <w:tcMar>
              <w:top w:type="dxa" w:w="90"/>
              <w:left w:type="dxa" w:w="120"/>
              <w:bottom w:type="dxa" w:w="90"/>
              <w:right w:type="dxa" w:w="120"/>
            </w:tcMar>
          </w:tcPr>
          <w:p>
            <w:r>
              <w:rPr>
                <w:b w:val="false"/>
                <w:bCs w:val="false"/>
                <w:color w:val="222222"/>
                <w:sz w:val="19"/>
                <w:szCs w:val="19"/>
              </w:rPr>
              <w:t xml:space="preserve">Standard</w:t>
            </w:r>
          </w:p>
        </w:tc>
        <w:tc>
          <w:tcPr>
            <w:tcW w:type="dxa" w:w="2660"/>
            <w:tcMar>
              <w:top w:type="dxa" w:w="90"/>
              <w:left w:type="dxa" w:w="120"/>
              <w:bottom w:type="dxa" w:w="90"/>
              <w:right w:type="dxa" w:w="120"/>
            </w:tcMar>
          </w:tcPr>
          <w:p>
            <w:r>
              <w:rPr>
                <w:b w:val="false"/>
                <w:bCs w:val="false"/>
                <w:color w:val="222222"/>
                <w:sz w:val="19"/>
                <w:szCs w:val="19"/>
              </w:rPr>
              <w:t xml:space="preserve">Verified badges</w:t>
            </w:r>
          </w:p>
        </w:tc>
      </w:tr>
    </w:tbl>
    <w:p>
      <w:pPr>
        <w:pStyle w:val="Heading2"/>
        <w:spacing w:after="120" w:before="260"/>
      </w:pPr>
      <w:r>
        <w:rPr>
          <w:b/>
          <w:bCs/>
          <w:color w:val="1F3A5F"/>
          <w:sz w:val="24"/>
          <w:szCs w:val="24"/>
        </w:rPr>
        <w:t xml:space="preserve">1.4 Fixed Assumptions Behind the Projections</w:t>
      </w:r>
    </w:p>
    <w:p>
      <w:pPr>
        <w:spacing w:after="160"/>
      </w:pPr>
      <w:r>
        <w:rPr>
          <w:b w:val="false"/>
          <w:bCs w:val="false"/>
          <w:i w:val="false"/>
          <w:iCs w:val="false"/>
          <w:color w:val="222222"/>
          <w:sz w:val="21"/>
          <w:szCs w:val="21"/>
        </w:rPr>
        <w:t xml:space="preserve">The projections are not personalized to each user's actual risk tolerance or market outlook — the engine runs on a set of fixed default percentages baked into the calculation, not a value derived from the risk-tolerance question the Stock Investing path asks the user. As of the last confirmed build, those fixed assumptions were:</w:t>
      </w:r>
    </w:p>
    <w:tbl>
      <w:tblPr>
        <w:tblW w:type="dxa" w:w="846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400"/>
        <w:gridCol w:w="3460"/>
      </w:tblGrid>
      <w:tr>
        <w:trPr>
          <w:tblHeader/>
        </w:trPr>
        <w:tc>
          <w:tcPr>
            <w:tcW w:type="dxa" w:w="2600"/>
            <w:shd w:fill="1F3A5F" w:val="clear"/>
            <w:tcMar>
              <w:top w:type="dxa" w:w="100"/>
              <w:left w:type="dxa" w:w="120"/>
              <w:bottom w:type="dxa" w:w="100"/>
              <w:right w:type="dxa" w:w="120"/>
            </w:tcMar>
          </w:tcPr>
          <w:p>
            <w:r>
              <w:rPr>
                <w:b/>
                <w:bCs/>
                <w:color w:val="FFFFFF"/>
                <w:sz w:val="19"/>
                <w:szCs w:val="19"/>
              </w:rPr>
              <w:t xml:space="preserve">Assumption</w:t>
            </w:r>
          </w:p>
        </w:tc>
        <w:tc>
          <w:tcPr>
            <w:tcW w:type="dxa" w:w="2400"/>
            <w:shd w:fill="1F3A5F" w:val="clear"/>
            <w:tcMar>
              <w:top w:type="dxa" w:w="100"/>
              <w:left w:type="dxa" w:w="120"/>
              <w:bottom w:type="dxa" w:w="100"/>
              <w:right w:type="dxa" w:w="120"/>
            </w:tcMar>
          </w:tcPr>
          <w:p>
            <w:r>
              <w:rPr>
                <w:b/>
                <w:bCs/>
                <w:color w:val="FFFFFF"/>
                <w:sz w:val="19"/>
                <w:szCs w:val="19"/>
              </w:rPr>
              <w:t xml:space="preserve">Fixed Value Used</w:t>
            </w:r>
          </w:p>
        </w:tc>
        <w:tc>
          <w:tcPr>
            <w:tcW w:type="dxa" w:w="3460"/>
            <w:shd w:fill="1F3A5F" w:val="clear"/>
            <w:tcMar>
              <w:top w:type="dxa" w:w="100"/>
              <w:left w:type="dxa" w:w="120"/>
              <w:bottom w:type="dxa" w:w="100"/>
              <w:right w:type="dxa" w:w="120"/>
            </w:tcMar>
          </w:tcPr>
          <w:p>
            <w:r>
              <w:rPr>
                <w:b/>
                <w:bCs/>
                <w:color w:val="FFFFFF"/>
                <w:sz w:val="19"/>
                <w:szCs w:val="19"/>
              </w:rPr>
              <w:t xml:space="preserve">Notes</w:t>
            </w:r>
          </w:p>
        </w:tc>
      </w:tr>
      <w:tr>
        <w:tc>
          <w:tcPr>
            <w:tcW w:type="dxa" w:w="2600"/>
            <w:tcMar>
              <w:top w:type="dxa" w:w="90"/>
              <w:left w:type="dxa" w:w="120"/>
              <w:bottom w:type="dxa" w:w="90"/>
              <w:right w:type="dxa" w:w="120"/>
            </w:tcMar>
          </w:tcPr>
          <w:p>
            <w:r>
              <w:rPr>
                <w:b w:val="false"/>
                <w:bCs w:val="false"/>
                <w:color w:val="222222"/>
                <w:sz w:val="19"/>
                <w:szCs w:val="19"/>
              </w:rPr>
              <w:t xml:space="preserve">Stock market / investment return</w:t>
            </w:r>
          </w:p>
        </w:tc>
        <w:tc>
          <w:tcPr>
            <w:tcW w:type="dxa" w:w="2400"/>
            <w:tcMar>
              <w:top w:type="dxa" w:w="90"/>
              <w:left w:type="dxa" w:w="120"/>
              <w:bottom w:type="dxa" w:w="90"/>
              <w:right w:type="dxa" w:w="120"/>
            </w:tcMar>
          </w:tcPr>
          <w:p>
            <w:r>
              <w:rPr>
                <w:b w:val="false"/>
                <w:bCs w:val="false"/>
                <w:color w:val="222222"/>
                <w:sz w:val="19"/>
                <w:szCs w:val="19"/>
              </w:rPr>
              <w:t xml:space="preserve">7% annual</w:t>
            </w:r>
          </w:p>
        </w:tc>
        <w:tc>
          <w:tcPr>
            <w:tcW w:type="dxa" w:w="3460"/>
            <w:tcMar>
              <w:top w:type="dxa" w:w="90"/>
              <w:left w:type="dxa" w:w="120"/>
              <w:bottom w:type="dxa" w:w="90"/>
              <w:right w:type="dxa" w:w="120"/>
            </w:tcMar>
          </w:tcPr>
          <w:p>
            <w:r>
              <w:rPr>
                <w:b w:val="false"/>
                <w:bCs w:val="false"/>
                <w:color w:val="222222"/>
                <w:sz w:val="19"/>
                <w:szCs w:val="19"/>
              </w:rPr>
              <w:t xml:space="preserve">Code comment describes this as the S&amp;P 500 long-run historical average, inflation-adjusted. Applied uniformly regardless of the user's stated risk tolerance.</w:t>
            </w:r>
          </w:p>
        </w:tc>
      </w:tr>
      <w:tr>
        <w:tc>
          <w:tcPr>
            <w:tcW w:type="dxa" w:w="2600"/>
            <w:tcMar>
              <w:top w:type="dxa" w:w="90"/>
              <w:left w:type="dxa" w:w="120"/>
              <w:bottom w:type="dxa" w:w="90"/>
              <w:right w:type="dxa" w:w="120"/>
            </w:tcMar>
          </w:tcPr>
          <w:p>
            <w:r>
              <w:rPr>
                <w:b w:val="false"/>
                <w:bCs w:val="false"/>
                <w:color w:val="222222"/>
                <w:sz w:val="19"/>
                <w:szCs w:val="19"/>
              </w:rPr>
              <w:t xml:space="preserve">Annual rent increase</w:t>
            </w:r>
          </w:p>
        </w:tc>
        <w:tc>
          <w:tcPr>
            <w:tcW w:type="dxa" w:w="2400"/>
            <w:tcMar>
              <w:top w:type="dxa" w:w="90"/>
              <w:left w:type="dxa" w:w="120"/>
              <w:bottom w:type="dxa" w:w="90"/>
              <w:right w:type="dxa" w:w="120"/>
            </w:tcMar>
          </w:tcPr>
          <w:p>
            <w:r>
              <w:rPr>
                <w:b w:val="false"/>
                <w:bCs w:val="false"/>
                <w:color w:val="222222"/>
                <w:sz w:val="19"/>
                <w:szCs w:val="19"/>
              </w:rPr>
              <w:t xml:space="preserve">3% annual</w:t>
            </w:r>
          </w:p>
        </w:tc>
        <w:tc>
          <w:tcPr>
            <w:tcW w:type="dxa" w:w="3460"/>
            <w:tcMar>
              <w:top w:type="dxa" w:w="90"/>
              <w:left w:type="dxa" w:w="120"/>
              <w:bottom w:type="dxa" w:w="90"/>
              <w:right w:type="dxa" w:w="120"/>
            </w:tcMar>
          </w:tcPr>
          <w:p>
            <w:r>
              <w:rPr>
                <w:b w:val="false"/>
                <w:bCs w:val="false"/>
                <w:color w:val="222222"/>
                <w:sz w:val="19"/>
                <w:szCs w:val="19"/>
              </w:rPr>
              <w:t xml:space="preserve">Applied uniformly to the Rent, Invest, and Wait &amp; Save comparisons.</w:t>
            </w:r>
          </w:p>
        </w:tc>
      </w:tr>
      <w:tr>
        <w:tc>
          <w:tcPr>
            <w:tcW w:type="dxa" w:w="2600"/>
            <w:tcMar>
              <w:top w:type="dxa" w:w="90"/>
              <w:left w:type="dxa" w:w="120"/>
              <w:bottom w:type="dxa" w:w="90"/>
              <w:right w:type="dxa" w:w="120"/>
            </w:tcMar>
          </w:tcPr>
          <w:p>
            <w:r>
              <w:rPr>
                <w:b w:val="false"/>
                <w:bCs w:val="false"/>
                <w:color w:val="222222"/>
                <w:sz w:val="19"/>
                <w:szCs w:val="19"/>
              </w:rPr>
              <w:t xml:space="preserve">Home price appreciation</w:t>
            </w:r>
          </w:p>
        </w:tc>
        <w:tc>
          <w:tcPr>
            <w:tcW w:type="dxa" w:w="2400"/>
            <w:tcMar>
              <w:top w:type="dxa" w:w="90"/>
              <w:left w:type="dxa" w:w="120"/>
              <w:bottom w:type="dxa" w:w="90"/>
              <w:right w:type="dxa" w:w="120"/>
            </w:tcMar>
          </w:tcPr>
          <w:p>
            <w:r>
              <w:rPr>
                <w:b w:val="false"/>
                <w:bCs w:val="false"/>
                <w:color w:val="222222"/>
                <w:sz w:val="19"/>
                <w:szCs w:val="19"/>
              </w:rPr>
              <w:t xml:space="preserve">Sourced per-county (conservative / base / optimistic band)</w:t>
            </w:r>
          </w:p>
        </w:tc>
        <w:tc>
          <w:tcPr>
            <w:tcW w:type="dxa" w:w="3460"/>
            <w:tcMar>
              <w:top w:type="dxa" w:w="90"/>
              <w:left w:type="dxa" w:w="120"/>
              <w:bottom w:type="dxa" w:w="90"/>
              <w:right w:type="dxa" w:w="120"/>
            </w:tcMar>
          </w:tcPr>
          <w:p>
            <w:r>
              <w:rPr>
                <w:b w:val="false"/>
                <w:bCs w:val="false"/>
                <w:color w:val="222222"/>
                <w:sz w:val="19"/>
                <w:szCs w:val="19"/>
              </w:rPr>
              <w:t xml:space="preserve">Not a single flat percentage — varies by the selected county's stored data, shown as a range rather than one number.</w:t>
            </w:r>
          </w:p>
        </w:tc>
      </w:tr>
      <w:tr>
        <w:tc>
          <w:tcPr>
            <w:tcW w:type="dxa" w:w="2600"/>
            <w:tcMar>
              <w:top w:type="dxa" w:w="90"/>
              <w:left w:type="dxa" w:w="120"/>
              <w:bottom w:type="dxa" w:w="90"/>
              <w:right w:type="dxa" w:w="120"/>
            </w:tcMar>
          </w:tcPr>
          <w:p>
            <w:r>
              <w:rPr>
                <w:b w:val="false"/>
                <w:bCs w:val="false"/>
                <w:color w:val="222222"/>
                <w:sz w:val="19"/>
                <w:szCs w:val="19"/>
              </w:rPr>
              <w:t xml:space="preserve">Mortgage interest rate</w:t>
            </w:r>
          </w:p>
        </w:tc>
        <w:tc>
          <w:tcPr>
            <w:tcW w:type="dxa" w:w="2400"/>
            <w:tcMar>
              <w:top w:type="dxa" w:w="90"/>
              <w:left w:type="dxa" w:w="120"/>
              <w:bottom w:type="dxa" w:w="90"/>
              <w:right w:type="dxa" w:w="120"/>
            </w:tcMar>
          </w:tcPr>
          <w:p>
            <w:r>
              <w:rPr>
                <w:b w:val="false"/>
                <w:bCs w:val="false"/>
                <w:color w:val="222222"/>
                <w:sz w:val="19"/>
                <w:szCs w:val="19"/>
              </w:rPr>
              <w:t xml:space="preserve">User-entered; 7% fallback if not provided</w:t>
            </w:r>
          </w:p>
        </w:tc>
        <w:tc>
          <w:tcPr>
            <w:tcW w:type="dxa" w:w="3460"/>
            <w:tcMar>
              <w:top w:type="dxa" w:w="90"/>
              <w:left w:type="dxa" w:w="120"/>
              <w:bottom w:type="dxa" w:w="90"/>
              <w:right w:type="dxa" w:w="120"/>
            </w:tcMar>
          </w:tcPr>
          <w:p>
            <w:r>
              <w:rPr>
                <w:b w:val="false"/>
                <w:bCs w:val="false"/>
                <w:color w:val="222222"/>
                <w:sz w:val="19"/>
                <w:szCs w:val="19"/>
              </w:rPr>
              <w:t xml:space="preserve">Reflects the rate the user types in, not a fixed assumption, unless left blank.</w:t>
            </w:r>
          </w:p>
        </w:tc>
      </w:tr>
      <w:tr>
        <w:tc>
          <w:tcPr>
            <w:tcW w:type="dxa" w:w="2600"/>
            <w:tcMar>
              <w:top w:type="dxa" w:w="90"/>
              <w:left w:type="dxa" w:w="120"/>
              <w:bottom w:type="dxa" w:w="90"/>
              <w:right w:type="dxa" w:w="120"/>
            </w:tcMar>
          </w:tcPr>
          <w:p>
            <w:r>
              <w:rPr>
                <w:b w:val="false"/>
                <w:bCs w:val="false"/>
                <w:color w:val="222222"/>
                <w:sz w:val="19"/>
                <w:szCs w:val="19"/>
              </w:rPr>
              <w:t xml:space="preserve">Housing affordability budget</w:t>
            </w:r>
          </w:p>
        </w:tc>
        <w:tc>
          <w:tcPr>
            <w:tcW w:type="dxa" w:w="2400"/>
            <w:tcMar>
              <w:top w:type="dxa" w:w="90"/>
              <w:left w:type="dxa" w:w="120"/>
              <w:bottom w:type="dxa" w:w="90"/>
              <w:right w:type="dxa" w:w="120"/>
            </w:tcMar>
          </w:tcPr>
          <w:p>
            <w:r>
              <w:rPr>
                <w:b w:val="false"/>
                <w:bCs w:val="false"/>
                <w:color w:val="222222"/>
                <w:sz w:val="19"/>
                <w:szCs w:val="19"/>
              </w:rPr>
              <w:t xml:space="preserve">28% of gross monthly income</w:t>
            </w:r>
          </w:p>
        </w:tc>
        <w:tc>
          <w:tcPr>
            <w:tcW w:type="dxa" w:w="3460"/>
            <w:tcMar>
              <w:top w:type="dxa" w:w="90"/>
              <w:left w:type="dxa" w:w="120"/>
              <w:bottom w:type="dxa" w:w="90"/>
              <w:right w:type="dxa" w:w="120"/>
            </w:tcMar>
          </w:tcPr>
          <w:p>
            <w:r>
              <w:rPr>
                <w:b w:val="false"/>
                <w:bCs w:val="false"/>
                <w:color w:val="222222"/>
                <w:sz w:val="19"/>
                <w:szCs w:val="19"/>
              </w:rPr>
              <w:t xml:space="preserve">Used to size the owner-cost budget in the Buy / House Hack paths.</w:t>
            </w:r>
          </w:p>
        </w:tc>
      </w:tr>
      <w:tr>
        <w:tc>
          <w:tcPr>
            <w:tcW w:type="dxa" w:w="2600"/>
            <w:tcMar>
              <w:top w:type="dxa" w:w="90"/>
              <w:left w:type="dxa" w:w="120"/>
              <w:bottom w:type="dxa" w:w="90"/>
              <w:right w:type="dxa" w:w="120"/>
            </w:tcMar>
          </w:tcPr>
          <w:p>
            <w:r>
              <w:rPr>
                <w:b w:val="false"/>
                <w:bCs w:val="false"/>
                <w:color w:val="222222"/>
                <w:sz w:val="19"/>
                <w:szCs w:val="19"/>
              </w:rPr>
              <w:t xml:space="preserve">Minimum investment contribution (non-buy paths)</w:t>
            </w:r>
          </w:p>
        </w:tc>
        <w:tc>
          <w:tcPr>
            <w:tcW w:type="dxa" w:w="2400"/>
            <w:tcMar>
              <w:top w:type="dxa" w:w="90"/>
              <w:left w:type="dxa" w:w="120"/>
              <w:bottom w:type="dxa" w:w="90"/>
              <w:right w:type="dxa" w:w="120"/>
            </w:tcMar>
          </w:tcPr>
          <w:p>
            <w:r>
              <w:rPr>
                <w:b w:val="false"/>
                <w:bCs w:val="false"/>
                <w:color w:val="222222"/>
                <w:sz w:val="19"/>
                <w:szCs w:val="19"/>
              </w:rPr>
              <w:t xml:space="preserve">4% of gross income floor</w:t>
            </w:r>
          </w:p>
        </w:tc>
        <w:tc>
          <w:tcPr>
            <w:tcW w:type="dxa" w:w="3460"/>
            <w:tcMar>
              <w:top w:type="dxa" w:w="90"/>
              <w:left w:type="dxa" w:w="120"/>
              <w:bottom w:type="dxa" w:w="90"/>
              <w:right w:type="dxa" w:w="120"/>
            </w:tcMar>
          </w:tcPr>
          <w:p>
            <w:r>
              <w:rPr>
                <w:b w:val="false"/>
                <w:bCs w:val="false"/>
                <w:color w:val="222222"/>
                <w:sz w:val="19"/>
                <w:szCs w:val="19"/>
              </w:rPr>
              <w:t xml:space="preserve">Rent / Invest / Wait &amp; Save paths invest at least this much monthly even when surplus is lower; actual surplus is used when it exceeds the floor.</w:t>
            </w:r>
          </w:p>
        </w:tc>
      </w:tr>
    </w:tbl>
    <w:p>
      <w:pPr>
        <w:spacing w:after="120"/>
      </w:pPr>
    </w:p>
    <w:tbl>
      <w:tblPr>
        <w:tblW w:type="pct" w:w="100%"/>
        <w:tblBorders>
          <w:top w:val="single" w:color="8A2A2A" w:sz="4"/>
          <w:left w:val="single" w:color="8A2A2A" w:sz="4"/>
          <w:bottom w:val="single" w:color="8A2A2A" w:sz="4"/>
          <w:right w:val="single" w:color="8A2A2A" w:sz="4"/>
          <w:insideH w:val="none" w:color="FFFFFF" w:sz="0"/>
          <w:insideV w:val="none" w:color="FFFFFF" w:sz="0"/>
        </w:tblBorders>
      </w:tblPr>
      <w:tblGrid>
        <w:gridCol w:w="100"/>
      </w:tblGrid>
      <w:tr>
        <w:trPr>
          <w:cantSplit/>
        </w:trPr>
        <w:tc>
          <w:tcPr>
            <w:shd w:fill="FBEAEA" w:val="clear"/>
            <w:tcMar>
              <w:top w:type="dxa" w:w="160"/>
              <w:left w:type="dxa" w:w="200"/>
              <w:bottom w:type="dxa" w:w="160"/>
              <w:right w:type="dxa" w:w="200"/>
            </w:tcMar>
          </w:tcPr>
          <w:p>
            <w:pPr>
              <w:spacing w:after="80"/>
            </w:pPr>
            <w:r>
              <w:rPr>
                <w:b/>
                <w:bCs/>
                <w:color w:val="8A2A2A"/>
                <w:sz w:val="21"/>
                <w:szCs w:val="21"/>
              </w:rPr>
              <w:t xml:space="preserve">Please verify, don't just take this table on faith</w:t>
            </w:r>
          </w:p>
          <w:p>
            <w:pPr>
              <w:spacing w:after="40"/>
            </w:pPr>
            <w:r>
              <w:rPr>
                <w:color w:val="333333"/>
                <w:sz w:val="20"/>
                <w:szCs w:val="20"/>
              </w:rPr>
              <w:t xml:space="preserve">These figures come from engineering notes on an earlier snapshot of the calculation engine, not a live read of the current build — confirm the actual values with the product team before relying on this table, and flag anything that doesn't match.</w:t>
            </w:r>
          </w:p>
          <w:p>
            <w:pPr>
              <w:spacing w:after="40"/>
            </w:pPr>
            <w:r>
              <w:rPr>
                <w:color w:val="333333"/>
                <w:sz w:val="20"/>
                <w:szCs w:val="20"/>
              </w:rPr>
              <w:t xml:space="preserve">“Risk tolerance” is asked in the Stock Investing flow but does not appear to feed into the 7% return assumption — don't expect a different answer to move the projected numbers. If it does, that itself is worth flagging.</w:t>
            </w:r>
          </w:p>
          <w:p>
            <w:pPr>
              <w:spacing w:after="40"/>
            </w:pPr>
            <w:r>
              <w:rPr>
                <w:color w:val="333333"/>
                <w:sz w:val="20"/>
                <w:szCs w:val="20"/>
              </w:rPr>
              <w:t xml:space="preserve">Buy/House Hack/Wait and Rent/Invest/Wait have historically used two different monthly-investment methodologies — worth a sanity check that paths are compared on a consistent, disclosed basis.</w:t>
            </w:r>
          </w:p>
        </w:tc>
      </w:tr>
    </w:tbl>
    <w:p>
      <w:r>
        <w:br w:type="page"/>
      </w:r>
    </w:p>
    <w:p>
      <w:pPr>
        <w:pStyle w:val="Heading1"/>
        <w:pBdr>
          <w:bottom w:val="single" w:color="1F3A5F" w:sz="6" w:space="4"/>
        </w:pBdr>
        <w:spacing w:after="160" w:before="320"/>
      </w:pPr>
      <w:r>
        <w:rPr>
          <w:b/>
          <w:bCs/>
          <w:color w:val="1F3A5F"/>
          <w:sz w:val="30"/>
          <w:szCs w:val="30"/>
        </w:rPr>
        <w:t xml:space="preserve">2. Purpose of This UAT Pass</w:t>
      </w:r>
    </w:p>
    <w:p>
      <w:pPr>
        <w:spacing w:after="160"/>
      </w:pPr>
      <w:r>
        <w:rPr>
          <w:b w:val="false"/>
          <w:bCs w:val="false"/>
          <w:i w:val="false"/>
          <w:iCs w:val="false"/>
          <w:color w:val="222222"/>
          <w:sz w:val="21"/>
          <w:szCs w:val="21"/>
        </w:rPr>
        <w:t xml:space="preserve">The goal of this round is discovery, not just confirmation: walk through the product methodically enough to surface the full inventory of features and functions, starting from a brand-new free account and progressing deliberately up through each paid tier. You are looking for three things:</w:t>
      </w:r>
    </w:p>
    <w:p>
      <w:pPr>
        <w:pStyle w:val="ListParagraph"/>
        <w:numPr>
          <w:ilvl w:val="0"/>
          <w:numId w:val="2"/>
        </w:numPr>
        <w:spacing w:after="80"/>
      </w:pPr>
      <w:r>
        <w:rPr>
          <w:b w:val="false"/>
          <w:bCs w:val="false"/>
          <w:sz w:val="21"/>
          <w:szCs w:val="21"/>
        </w:rPr>
        <w:t xml:space="preserve">What exists and works as expected.</w:t>
      </w:r>
    </w:p>
    <w:p>
      <w:pPr>
        <w:pStyle w:val="ListParagraph"/>
        <w:numPr>
          <w:ilvl w:val="0"/>
          <w:numId w:val="2"/>
        </w:numPr>
        <w:spacing w:after="80"/>
      </w:pPr>
      <w:r>
        <w:rPr>
          <w:b w:val="false"/>
          <w:bCs w:val="false"/>
          <w:sz w:val="21"/>
          <w:szCs w:val="21"/>
        </w:rPr>
        <w:t xml:space="preserve">What exists but behaves inconsistently, breaks, or doesn’t match what the tier promises (e.g. a Free-tier feature that should be blurred/locked but isn’t, or a Pro feature that’s still gated after upgrading).</w:t>
      </w:r>
    </w:p>
    <w:p>
      <w:pPr>
        <w:pStyle w:val="ListParagraph"/>
        <w:numPr>
          <w:ilvl w:val="0"/>
          <w:numId w:val="2"/>
        </w:numPr>
        <w:spacing w:after="80"/>
      </w:pPr>
      <w:r>
        <w:rPr>
          <w:b w:val="false"/>
          <w:bCs w:val="false"/>
          <w:sz w:val="21"/>
          <w:szCs w:val="21"/>
        </w:rPr>
        <w:t xml:space="preserve">What’s simply confusing or unclear from a first-time user’s perspective — you don’t need financial software experience to flag this; a fresh, literal read of the UI is exactly what’s valuable here.</w:t>
      </w:r>
    </w:p>
    <w:p>
      <w:pPr>
        <w:spacing w:after="160"/>
      </w:pPr>
      <w:r>
        <w:rPr>
          <w:b w:val="false"/>
          <w:bCs w:val="false"/>
          <w:i w:val="false"/>
          <w:iCs w:val="false"/>
          <w:color w:val="222222"/>
          <w:sz w:val="21"/>
          <w:szCs w:val="21"/>
        </w:rPr>
        <w:t xml:space="preserve">You do not need to test payment infrastructure security or code — that’s covered separately. Your job is to behave like a real prospective customer: explore, try to break things by clicking the way a real person would, and upgrade for real (in test mode) to see what changes.</w:t>
      </w:r>
    </w:p>
    <w:p>
      <w:pPr>
        <w:pStyle w:val="Heading1"/>
        <w:pBdr>
          <w:bottom w:val="single" w:color="1F3A5F" w:sz="6" w:space="4"/>
        </w:pBdr>
        <w:spacing w:after="160" w:before="320"/>
      </w:pPr>
      <w:r>
        <w:rPr>
          <w:b/>
          <w:bCs/>
          <w:color w:val="1F3A5F"/>
          <w:sz w:val="30"/>
          <w:szCs w:val="30"/>
        </w:rPr>
        <w:t xml:space="preserve">3. Suggested Testing Approach</w:t>
      </w:r>
    </w:p>
    <w:p>
      <w:pPr>
        <w:spacing w:after="160"/>
      </w:pPr>
      <w:r>
        <w:rPr>
          <w:b w:val="false"/>
          <w:bCs w:val="false"/>
          <w:i w:val="false"/>
          <w:iCs w:val="false"/>
          <w:color w:val="222222"/>
          <w:sz w:val="21"/>
          <w:szCs w:val="21"/>
        </w:rPr>
        <w:t xml:space="preserve">Work through the phases below in order. Each phase builds on the account state left by the previous one, so please don’t skip ahead — the upgrade flows in particular only make sense once the Free-tier baseline has been established.</w:t>
      </w:r>
    </w:p>
    <w:p>
      <w:pPr>
        <w:pStyle w:val="Heading2"/>
        <w:spacing w:after="120" w:before="260"/>
      </w:pPr>
      <w:r>
        <w:rPr>
          <w:b/>
          <w:bCs/>
          <w:color w:val="1F3A5F"/>
          <w:sz w:val="24"/>
          <w:szCs w:val="24"/>
        </w:rPr>
        <w:t xml:space="preserve">Phase 1 — Explorer (Free) Tier: Baseline Inventory</w:t>
      </w:r>
    </w:p>
    <w:p>
      <w:pPr>
        <w:spacing w:after="160"/>
      </w:pPr>
      <w:r>
        <w:rPr>
          <w:b w:val="false"/>
          <w:bCs w:val="false"/>
          <w:i w:val="false"/>
          <w:iCs w:val="false"/>
          <w:color w:val="222222"/>
          <w:sz w:val="21"/>
          <w:szCs w:val="21"/>
        </w:rPr>
        <w:t xml:space="preserve">Goal: catalog everything available before any money changes hands.</w:t>
      </w:r>
    </w:p>
    <w:p>
      <w:pPr>
        <w:pStyle w:val="ListParagraph"/>
        <w:numPr>
          <w:ilvl w:val="0"/>
          <w:numId w:val="2"/>
        </w:numPr>
        <w:spacing w:after="80"/>
      </w:pPr>
      <w:r>
        <w:rPr>
          <w:b w:val="false"/>
          <w:bCs w:val="false"/>
          <w:sz w:val="21"/>
          <w:szCs w:val="21"/>
        </w:rPr>
        <w:t xml:space="preserve">Sign up for a brand-new account (or use the fresh test account provided).</w:t>
      </w:r>
    </w:p>
    <w:p>
      <w:pPr>
        <w:pStyle w:val="ListParagraph"/>
        <w:numPr>
          <w:ilvl w:val="0"/>
          <w:numId w:val="2"/>
        </w:numPr>
        <w:spacing w:after="80"/>
      </w:pPr>
      <w:r>
        <w:rPr>
          <w:b w:val="false"/>
          <w:bCs w:val="false"/>
          <w:sz w:val="21"/>
          <w:szCs w:val="21"/>
        </w:rPr>
        <w:t xml:space="preserve">Work through Discovery start to finish: scenario selection → financial profile → results, for at least two different scenario combinations.</w:t>
      </w:r>
    </w:p>
    <w:p>
      <w:pPr>
        <w:pStyle w:val="ListParagraph"/>
        <w:numPr>
          <w:ilvl w:val="0"/>
          <w:numId w:val="2"/>
        </w:numPr>
        <w:spacing w:after="80"/>
      </w:pPr>
      <w:r>
        <w:rPr>
          <w:b w:val="false"/>
          <w:bCs w:val="false"/>
          <w:sz w:val="21"/>
          <w:szCs w:val="21"/>
        </w:rPr>
        <w:t xml:space="preserve">Note exactly what’s visible vs. blurred/locked in the Results screen (per the table in §1.3 you should see Years 1/3/5 only, gated behind an email unlock).</w:t>
      </w:r>
    </w:p>
    <w:p>
      <w:pPr>
        <w:pStyle w:val="ListParagraph"/>
        <w:numPr>
          <w:ilvl w:val="0"/>
          <w:numId w:val="2"/>
        </w:numPr>
        <w:spacing w:after="80"/>
      </w:pPr>
      <w:r>
        <w:rPr>
          <w:b w:val="false"/>
          <w:bCs w:val="false"/>
          <w:sz w:val="21"/>
          <w:szCs w:val="21"/>
        </w:rPr>
        <w:t xml:space="preserve">Try the email-unlock mechanic and confirm it behaves as described.</w:t>
      </w:r>
    </w:p>
    <w:p>
      <w:pPr>
        <w:pStyle w:val="ListParagraph"/>
        <w:numPr>
          <w:ilvl w:val="0"/>
          <w:numId w:val="2"/>
        </w:numPr>
        <w:spacing w:after="80"/>
      </w:pPr>
      <w:r>
        <w:rPr>
          <w:b w:val="false"/>
          <w:bCs w:val="false"/>
          <w:sz w:val="21"/>
          <w:szCs w:val="21"/>
        </w:rPr>
        <w:t xml:space="preserve">Visit every navigation item, menu, and settings screen you can find, even ones that seem unrelated to simulations — note anything that looks like it should be paid but isn’t gated, or vice versa.</w:t>
      </w:r>
    </w:p>
    <w:p>
      <w:pPr>
        <w:pStyle w:val="ListParagraph"/>
        <w:numPr>
          <w:ilvl w:val="0"/>
          <w:numId w:val="2"/>
        </w:numPr>
        <w:spacing w:after="80"/>
      </w:pPr>
      <w:r>
        <w:rPr>
          <w:b w:val="false"/>
          <w:bCs w:val="false"/>
          <w:sz w:val="21"/>
          <w:szCs w:val="21"/>
        </w:rPr>
        <w:t xml:space="preserve">Attempt to reach any Pro- or Elite-only feature directly (e.g. via a URL, a stray button, or a deep link) to see whether it’s actually blocked or just hidden from navigation.</w:t>
      </w:r>
    </w:p>
    <w:p>
      <w:pPr>
        <w:pStyle w:val="ListParagraph"/>
        <w:numPr>
          <w:ilvl w:val="0"/>
          <w:numId w:val="2"/>
        </w:numPr>
        <w:spacing w:after="80"/>
      </w:pPr>
      <w:r>
        <w:rPr>
          <w:b w:val="false"/>
          <w:bCs w:val="false"/>
          <w:sz w:val="21"/>
          <w:szCs w:val="21"/>
        </w:rPr>
        <w:t xml:space="preserve">Record every distinct screen, button, and feature you encounter — this becomes your feature inventory for later phases.</w:t>
      </w:r>
    </w:p>
    <w:p>
      <w:pPr>
        <w:pStyle w:val="Heading2"/>
        <w:spacing w:after="120" w:before="260"/>
      </w:pPr>
      <w:r>
        <w:rPr>
          <w:b/>
          <w:bCs/>
          <w:color w:val="1F3A5F"/>
          <w:sz w:val="24"/>
          <w:szCs w:val="24"/>
        </w:rPr>
        <w:t xml:space="preserve">Phase 2 — Upgrade to Pathfinder (Pro, $4.99/mo)</w:t>
      </w:r>
    </w:p>
    <w:p>
      <w:pPr>
        <w:spacing w:after="160"/>
      </w:pPr>
      <w:r>
        <w:rPr>
          <w:b w:val="false"/>
          <w:bCs w:val="false"/>
          <w:i w:val="false"/>
          <w:iCs w:val="false"/>
          <w:color w:val="222222"/>
          <w:sz w:val="21"/>
          <w:szCs w:val="21"/>
        </w:rPr>
        <w:t xml:space="preserve">Goal: verify the upgrade flow itself, then re-run your Phase 1 inventory to see what changed.</w:t>
      </w:r>
    </w:p>
    <w:p>
      <w:pPr>
        <w:spacing w:after="160"/>
      </w:pPr>
      <w:r>
        <w:rPr>
          <w:b w:val="false"/>
          <w:bCs w:val="false"/>
          <w:i/>
          <w:iCs/>
          <w:color w:val="444444"/>
          <w:sz w:val="21"/>
          <w:szCs w:val="21"/>
        </w:rPr>
        <w:t xml:space="preserve">Payment credentials: see §4.1 for the test card to use at checkout.</w:t>
      </w:r>
    </w:p>
    <w:p>
      <w:pPr>
        <w:pStyle w:val="ListParagraph"/>
        <w:numPr>
          <w:ilvl w:val="0"/>
          <w:numId w:val="2"/>
        </w:numPr>
        <w:spacing w:after="80"/>
      </w:pPr>
      <w:r>
        <w:rPr>
          <w:b w:val="false"/>
          <w:bCs w:val="false"/>
          <w:sz w:val="21"/>
          <w:szCs w:val="21"/>
        </w:rPr>
        <w:t xml:space="preserve">From within the app, initiate an upgrade to the Pro / Pathfinder plan.</w:t>
      </w:r>
    </w:p>
    <w:p>
      <w:pPr>
        <w:pStyle w:val="ListParagraph"/>
        <w:numPr>
          <w:ilvl w:val="0"/>
          <w:numId w:val="2"/>
        </w:numPr>
        <w:spacing w:after="80"/>
      </w:pPr>
      <w:r>
        <w:rPr>
          <w:b w:val="false"/>
          <w:bCs w:val="false"/>
          <w:sz w:val="21"/>
          <w:szCs w:val="21"/>
        </w:rPr>
        <w:t xml:space="preserve">Complete checkout using the Stripe test card in §4 below.</w:t>
      </w:r>
    </w:p>
    <w:p>
      <w:pPr>
        <w:pStyle w:val="ListParagraph"/>
        <w:numPr>
          <w:ilvl w:val="0"/>
          <w:numId w:val="2"/>
        </w:numPr>
        <w:spacing w:after="80"/>
      </w:pPr>
      <w:r>
        <w:rPr>
          <w:b w:val="false"/>
          <w:bCs w:val="false"/>
          <w:sz w:val="21"/>
          <w:szCs w:val="21"/>
        </w:rPr>
        <w:t xml:space="preserve">Confirm the account correctly reflects Pro status after checkout (this has historically been a trouble spot — watch specifically for the account showing “free” or an “Upgrade” button still displaying after a successful payment).</w:t>
      </w:r>
    </w:p>
    <w:p>
      <w:pPr>
        <w:pStyle w:val="ListParagraph"/>
        <w:numPr>
          <w:ilvl w:val="0"/>
          <w:numId w:val="2"/>
        </w:numPr>
        <w:spacing w:after="80"/>
      </w:pPr>
      <w:r>
        <w:rPr>
          <w:b w:val="false"/>
          <w:bCs w:val="false"/>
          <w:sz w:val="21"/>
          <w:szCs w:val="21"/>
        </w:rPr>
        <w:t xml:space="preserve">Re-run the same simulations from Phase 1 and confirm full 20-year results are now visible, save &amp; compare works, and the journey map is now fully accessible.</w:t>
      </w:r>
    </w:p>
    <w:p>
      <w:pPr>
        <w:pStyle w:val="ListParagraph"/>
        <w:numPr>
          <w:ilvl w:val="0"/>
          <w:numId w:val="2"/>
        </w:numPr>
        <w:spacing w:after="80"/>
      </w:pPr>
      <w:r>
        <w:rPr>
          <w:b w:val="false"/>
          <w:bCs w:val="false"/>
          <w:sz w:val="21"/>
          <w:szCs w:val="21"/>
        </w:rPr>
        <w:t xml:space="preserve">Confirm Elite-only features (multi-property, household mode, verified badges) are still correctly locked.</w:t>
      </w:r>
    </w:p>
    <w:p>
      <w:pPr>
        <w:pStyle w:val="ListParagraph"/>
        <w:numPr>
          <w:ilvl w:val="0"/>
          <w:numId w:val="2"/>
        </w:numPr>
        <w:spacing w:after="80"/>
      </w:pPr>
      <w:r>
        <w:rPr>
          <w:b w:val="false"/>
          <w:bCs w:val="false"/>
          <w:sz w:val="21"/>
          <w:szCs w:val="21"/>
        </w:rPr>
        <w:t xml:space="preserve">Locate account/billing settings and confirm the plan is shown correctly there too.</w:t>
      </w:r>
    </w:p>
    <w:p>
      <w:pPr>
        <w:pStyle w:val="Heading2"/>
        <w:spacing w:after="120" w:before="260"/>
      </w:pPr>
      <w:r>
        <w:rPr>
          <w:b/>
          <w:bCs/>
          <w:color w:val="1F3A5F"/>
          <w:sz w:val="24"/>
          <w:szCs w:val="24"/>
        </w:rPr>
        <w:t xml:space="preserve">Phase 3 — Upgrade to Market Expert (Elite, $9.99/mo and/or $99.99/yr)</w:t>
      </w:r>
    </w:p>
    <w:p>
      <w:pPr>
        <w:spacing w:after="160"/>
      </w:pPr>
      <w:r>
        <w:rPr>
          <w:b w:val="false"/>
          <w:bCs w:val="false"/>
          <w:i w:val="false"/>
          <w:iCs w:val="false"/>
          <w:color w:val="222222"/>
          <w:sz w:val="21"/>
          <w:szCs w:val="21"/>
        </w:rPr>
        <w:t xml:space="preserve">Goal: verify the second upgrade step, including that moving from Pro to Elite is handled as a plan change rather than a duplicate subscription.</w:t>
      </w:r>
    </w:p>
    <w:p>
      <w:pPr>
        <w:spacing w:after="160"/>
      </w:pPr>
      <w:r>
        <w:rPr>
          <w:b w:val="false"/>
          <w:bCs w:val="false"/>
          <w:i/>
          <w:iCs/>
          <w:color w:val="444444"/>
          <w:sz w:val="21"/>
          <w:szCs w:val="21"/>
        </w:rPr>
        <w:t xml:space="preserve">Payment credentials: see §4.1 for the test card to use at checkout.</w:t>
      </w:r>
    </w:p>
    <w:p>
      <w:pPr>
        <w:pStyle w:val="ListParagraph"/>
        <w:numPr>
          <w:ilvl w:val="0"/>
          <w:numId w:val="2"/>
        </w:numPr>
        <w:spacing w:after="80"/>
      </w:pPr>
      <w:r>
        <w:rPr>
          <w:b w:val="false"/>
          <w:bCs w:val="false"/>
          <w:sz w:val="21"/>
          <w:szCs w:val="21"/>
        </w:rPr>
        <w:t xml:space="preserve">From your now-Pro account, initiate an upgrade to Elite (try the monthly option first if both are reachable).</w:t>
      </w:r>
    </w:p>
    <w:p>
      <w:pPr>
        <w:pStyle w:val="ListParagraph"/>
        <w:numPr>
          <w:ilvl w:val="0"/>
          <w:numId w:val="2"/>
        </w:numPr>
        <w:spacing w:after="80"/>
      </w:pPr>
      <w:r>
        <w:rPr>
          <w:b w:val="false"/>
          <w:bCs w:val="false"/>
          <w:sz w:val="21"/>
          <w:szCs w:val="21"/>
        </w:rPr>
        <w:t xml:space="preserve">Complete checkout with the same test card.</w:t>
      </w:r>
    </w:p>
    <w:p>
      <w:pPr>
        <w:pStyle w:val="ListParagraph"/>
        <w:numPr>
          <w:ilvl w:val="0"/>
          <w:numId w:val="2"/>
        </w:numPr>
        <w:spacing w:after="80"/>
      </w:pPr>
      <w:r>
        <w:rPr>
          <w:b w:val="false"/>
          <w:bCs w:val="false"/>
          <w:sz w:val="21"/>
          <w:szCs w:val="21"/>
        </w:rPr>
        <w:t xml:space="preserve">Confirm Elite-only features are now unlocked (multi-property simulation, household mode, verified badges, and anything else you identified as Elite-gated in Phase 1).</w:t>
      </w:r>
    </w:p>
    <w:p>
      <w:pPr>
        <w:pStyle w:val="ListParagraph"/>
        <w:numPr>
          <w:ilvl w:val="0"/>
          <w:numId w:val="2"/>
        </w:numPr>
        <w:spacing w:after="80"/>
      </w:pPr>
      <w:r>
        <w:rPr>
          <w:b w:val="false"/>
          <w:bCs w:val="false"/>
          <w:sz w:val="21"/>
          <w:szCs w:val="21"/>
        </w:rPr>
        <w:t xml:space="preserve">If an annual option is available, test switching to it as a second pass and note whether the flow reads as a plan change (single active subscription) rather than creating a second, separate subscription.</w:t>
      </w:r>
    </w:p>
    <w:p>
      <w:pPr>
        <w:pStyle w:val="Heading2"/>
        <w:spacing w:after="120" w:before="260"/>
      </w:pPr>
      <w:r>
        <w:rPr>
          <w:b/>
          <w:bCs/>
          <w:color w:val="1F3A5F"/>
          <w:sz w:val="24"/>
          <w:szCs w:val="24"/>
        </w:rPr>
        <w:t xml:space="preserve">Phase 4 — Billing Management (Downgrade / Cancel)</w:t>
      </w:r>
    </w:p>
    <w:p>
      <w:pPr>
        <w:spacing w:after="160"/>
      </w:pPr>
      <w:r>
        <w:rPr>
          <w:b w:val="false"/>
          <w:bCs w:val="false"/>
          <w:i w:val="false"/>
          <w:iCs w:val="false"/>
          <w:color w:val="222222"/>
          <w:sz w:val="21"/>
          <w:szCs w:val="21"/>
        </w:rPr>
        <w:t xml:space="preserve">Goal: confirm the account can move back down cleanly, not just up.</w:t>
      </w:r>
    </w:p>
    <w:p>
      <w:pPr>
        <w:spacing w:after="160"/>
      </w:pPr>
      <w:r>
        <w:rPr>
          <w:b w:val="false"/>
          <w:bCs w:val="false"/>
          <w:i/>
          <w:iCs/>
          <w:color w:val="444444"/>
          <w:sz w:val="21"/>
          <w:szCs w:val="21"/>
        </w:rPr>
        <w:t xml:space="preserve">Payment credentials: if the flow requires re-entering card details (e.g. re-subscribing after a cancel), see §4.1 for the test card to use.</w:t>
      </w:r>
    </w:p>
    <w:p>
      <w:pPr>
        <w:pStyle w:val="ListParagraph"/>
        <w:numPr>
          <w:ilvl w:val="0"/>
          <w:numId w:val="2"/>
        </w:numPr>
        <w:spacing w:after="80"/>
      </w:pPr>
      <w:r>
        <w:rPr>
          <w:b w:val="false"/>
          <w:bCs w:val="false"/>
          <w:sz w:val="21"/>
          <w:szCs w:val="21"/>
        </w:rPr>
        <w:t xml:space="preserve">Locate the billing/subscription management screen (this may hand off to a Stripe-hosted billing portal — that’s expected).</w:t>
      </w:r>
    </w:p>
    <w:p>
      <w:pPr>
        <w:pStyle w:val="ListParagraph"/>
        <w:numPr>
          <w:ilvl w:val="0"/>
          <w:numId w:val="2"/>
        </w:numPr>
        <w:spacing w:after="80"/>
      </w:pPr>
      <w:r>
        <w:rPr>
          <w:b w:val="false"/>
          <w:bCs w:val="false"/>
          <w:sz w:val="21"/>
          <w:szCs w:val="21"/>
        </w:rPr>
        <w:t xml:space="preserve">Attempt to change the plan down a tier (e.g. Elite → Pro) and confirm the app reflects the new, lower tier’s access — including that Elite-only features become locked again.</w:t>
      </w:r>
    </w:p>
    <w:p>
      <w:pPr>
        <w:pStyle w:val="ListParagraph"/>
        <w:numPr>
          <w:ilvl w:val="0"/>
          <w:numId w:val="2"/>
        </w:numPr>
        <w:spacing w:after="80"/>
      </w:pPr>
      <w:r>
        <w:rPr>
          <w:b w:val="false"/>
          <w:bCs w:val="false"/>
          <w:sz w:val="21"/>
          <w:szCs w:val="21"/>
        </w:rPr>
        <w:t xml:space="preserve">Attempt a full cancellation and confirm the account reverts to Free/Explorer-level access.</w:t>
      </w:r>
    </w:p>
    <w:p>
      <w:pPr>
        <w:pStyle w:val="ListParagraph"/>
        <w:numPr>
          <w:ilvl w:val="0"/>
          <w:numId w:val="2"/>
        </w:numPr>
        <w:spacing w:after="80"/>
      </w:pPr>
      <w:r>
        <w:rPr>
          <w:b w:val="false"/>
          <w:bCs w:val="false"/>
          <w:sz w:val="21"/>
          <w:szCs w:val="21"/>
        </w:rPr>
        <w:t xml:space="preserve">Note the exact wording, timing, and any confusing steps in this flow — billing management is a common source of real-world support tickets, so clarity here matters.</w:t>
      </w:r>
    </w:p>
    <w:p>
      <w:pPr>
        <w:pStyle w:val="Heading2"/>
        <w:spacing w:after="120" w:before="260"/>
      </w:pPr>
      <w:r>
        <w:rPr>
          <w:b/>
          <w:bCs/>
          <w:color w:val="1F3A5F"/>
          <w:sz w:val="24"/>
          <w:szCs w:val="24"/>
        </w:rPr>
        <w:t xml:space="preserve">Phase 5 — Cross-Cutting Checks</w:t>
      </w:r>
    </w:p>
    <w:p>
      <w:pPr>
        <w:spacing w:after="160"/>
      </w:pPr>
      <w:r>
        <w:rPr>
          <w:b w:val="false"/>
          <w:bCs w:val="false"/>
          <w:i w:val="false"/>
          <w:iCs w:val="false"/>
          <w:color w:val="222222"/>
          <w:sz w:val="21"/>
          <w:szCs w:val="21"/>
        </w:rPr>
        <w:t xml:space="preserve">Run these throughout, not just at the end.</w:t>
      </w:r>
    </w:p>
    <w:p>
      <w:pPr>
        <w:pStyle w:val="ListParagraph"/>
        <w:numPr>
          <w:ilvl w:val="0"/>
          <w:numId w:val="2"/>
        </w:numPr>
        <w:spacing w:after="80"/>
      </w:pPr>
      <w:r>
        <w:rPr>
          <w:b w:val="false"/>
          <w:bCs w:val="false"/>
          <w:sz w:val="21"/>
          <w:szCs w:val="21"/>
        </w:rPr>
        <w:t xml:space="preserve">Mobile / narrow-viewport view of every major screen — this build has had layout issues here before (e.g. a fixed header overlapping content), so give mobile width real attention rather than assuming desktop behavior generalizes.</w:t>
      </w:r>
    </w:p>
    <w:p>
      <w:pPr>
        <w:pStyle w:val="ListParagraph"/>
        <w:numPr>
          <w:ilvl w:val="0"/>
          <w:numId w:val="2"/>
        </w:numPr>
        <w:spacing w:after="80"/>
      </w:pPr>
      <w:r>
        <w:rPr>
          <w:b w:val="false"/>
          <w:bCs w:val="false"/>
          <w:sz w:val="21"/>
          <w:szCs w:val="21"/>
        </w:rPr>
        <w:t xml:space="preserve">Log out and back in at each tier to confirm the tier persists correctly across sessions.</w:t>
      </w:r>
    </w:p>
    <w:p>
      <w:pPr>
        <w:pStyle w:val="ListParagraph"/>
        <w:numPr>
          <w:ilvl w:val="0"/>
          <w:numId w:val="2"/>
        </w:numPr>
        <w:spacing w:after="80"/>
      </w:pPr>
      <w:r>
        <w:rPr>
          <w:b w:val="false"/>
          <w:bCs w:val="false"/>
          <w:sz w:val="21"/>
          <w:szCs w:val="21"/>
        </w:rPr>
        <w:t xml:space="preserve">General wording/consistency check: does anything on screen promise something a lower tier can’t actually do, or vice versa?</w:t>
      </w:r>
    </w:p>
    <w:p>
      <w:r>
        <w:br w:type="page"/>
      </w:r>
    </w:p>
    <w:p>
      <w:pPr>
        <w:pStyle w:val="Heading1"/>
        <w:pBdr>
          <w:bottom w:val="single" w:color="1F3A5F" w:sz="6" w:space="4"/>
        </w:pBdr>
        <w:spacing w:after="160" w:before="320"/>
      </w:pPr>
      <w:r>
        <w:rPr>
          <w:b/>
          <w:bCs/>
          <w:color w:val="1F3A5F"/>
          <w:sz w:val="30"/>
          <w:szCs w:val="30"/>
        </w:rPr>
        <w:t xml:space="preserve">4. Payment Testing — Stripe Test Mode</w:t>
      </w:r>
    </w:p>
    <w:tbl>
      <w:tblPr>
        <w:tblW w:type="pct" w:w="100%"/>
        <w:tblBorders>
          <w:top w:val="single" w:color="8A2A2A" w:sz="4"/>
          <w:left w:val="single" w:color="8A2A2A" w:sz="4"/>
          <w:bottom w:val="single" w:color="8A2A2A" w:sz="4"/>
          <w:right w:val="single" w:color="8A2A2A" w:sz="4"/>
          <w:insideH w:val="none" w:color="FFFFFF" w:sz="0"/>
          <w:insideV w:val="none" w:color="FFFFFF" w:sz="0"/>
        </w:tblBorders>
      </w:tblPr>
      <w:tblGrid>
        <w:gridCol w:w="100"/>
      </w:tblGrid>
      <w:tr>
        <w:trPr>
          <w:cantSplit/>
        </w:trPr>
        <w:tc>
          <w:tcPr>
            <w:shd w:fill="FBEAEA" w:val="clear"/>
            <w:tcMar>
              <w:top w:type="dxa" w:w="160"/>
              <w:left w:type="dxa" w:w="200"/>
              <w:bottom w:type="dxa" w:w="160"/>
              <w:right w:type="dxa" w:w="200"/>
            </w:tcMar>
          </w:tcPr>
          <w:p>
            <w:pPr>
              <w:spacing w:after="80"/>
            </w:pPr>
            <w:r>
              <w:rPr>
                <w:b/>
                <w:bCs/>
                <w:color w:val="8A2A2A"/>
                <w:sz w:val="21"/>
                <w:szCs w:val="21"/>
              </w:rPr>
              <w:t xml:space="preserve">This is a test environment</w:t>
            </w:r>
          </w:p>
          <w:p>
            <w:pPr>
              <w:spacing w:after="40"/>
            </w:pPr>
            <w:r>
              <w:rPr>
                <w:color w:val="333333"/>
                <w:sz w:val="20"/>
                <w:szCs w:val="20"/>
              </w:rPr>
              <w:t xml:space="preserve">The checkout screens you’ll see are real Stripe checkout pages, but the project is configured in Stripe TEST MODE. No real card is charged and no real money moves, no matter what card details you enter. Use only the test card below — a real personal card will simply be rejected or, in the worst case, tested against a live-mode endpoint by mistake, so do not attempt to substitute a real card “to be safe.”</w:t>
            </w:r>
          </w:p>
        </w:tc>
      </w:tr>
    </w:tbl>
    <w:p>
      <w:pPr>
        <w:spacing w:after="120"/>
      </w:pPr>
    </w:p>
    <w:p>
      <w:pPr>
        <w:pStyle w:val="Heading2"/>
        <w:spacing w:after="120" w:before="260"/>
      </w:pPr>
      <w:r>
        <w:rPr>
          <w:b/>
          <w:bCs/>
          <w:color w:val="1F3A5F"/>
          <w:sz w:val="24"/>
          <w:szCs w:val="24"/>
        </w:rPr>
        <w:t xml:space="preserve">4.1 Test Card Details</w:t>
      </w:r>
    </w:p>
    <w:tbl>
      <w:tblPr>
        <w:tblW w:type="dxa" w:w="9460"/>
        <w:tblBorders>
          <w:top w:val="single" w:color="CCCCCC" w:sz="2"/>
          <w:left w:val="single" w:color="CCCCCC" w:sz="2"/>
          <w:bottom w:val="single" w:color="CCCCCC" w:sz="2"/>
          <w:right w:val="single" w:color="CCCCCC" w:sz="2"/>
          <w:insideH w:val="single" w:color="DDDDDD" w:sz="2"/>
          <w:insideV w:val="single" w:color="DDDDDD" w:sz="2"/>
        </w:tblBorders>
      </w:tblPr>
      <w:tblGrid>
        <w:gridCol w:w="2800"/>
        <w:gridCol w:w="6660"/>
      </w:tblGrid>
      <w:tr>
        <w:trPr>
          <w:tblHeader/>
        </w:trPr>
        <w:tc>
          <w:tcPr>
            <w:tcW w:type="dxa" w:w="2800"/>
            <w:shd w:fill="1F3A5F" w:val="clear"/>
            <w:tcMar>
              <w:top w:type="dxa" w:w="100"/>
              <w:left w:type="dxa" w:w="120"/>
              <w:bottom w:type="dxa" w:w="100"/>
              <w:right w:type="dxa" w:w="120"/>
            </w:tcMar>
          </w:tcPr>
          <w:p>
            <w:r>
              <w:rPr>
                <w:b/>
                <w:bCs/>
                <w:color w:val="FFFFFF"/>
                <w:sz w:val="19"/>
                <w:szCs w:val="19"/>
              </w:rPr>
              <w:t xml:space="preserve">Field</w:t>
            </w:r>
          </w:p>
        </w:tc>
        <w:tc>
          <w:tcPr>
            <w:tcW w:type="dxa" w:w="6660"/>
            <w:shd w:fill="1F3A5F" w:val="clear"/>
            <w:tcMar>
              <w:top w:type="dxa" w:w="100"/>
              <w:left w:type="dxa" w:w="120"/>
              <w:bottom w:type="dxa" w:w="100"/>
              <w:right w:type="dxa" w:w="120"/>
            </w:tcMar>
          </w:tcPr>
          <w:p>
            <w:r>
              <w:rPr>
                <w:b/>
                <w:bCs/>
                <w:color w:val="FFFFFF"/>
                <w:sz w:val="19"/>
                <w:szCs w:val="19"/>
              </w:rPr>
              <w:t xml:space="preserve">Value</w:t>
            </w:r>
          </w:p>
        </w:tc>
      </w:tr>
      <w:tr>
        <w:tc>
          <w:tcPr>
            <w:tcW w:type="dxa" w:w="2800"/>
            <w:tcMar>
              <w:top w:type="dxa" w:w="90"/>
              <w:left w:type="dxa" w:w="120"/>
              <w:bottom w:type="dxa" w:w="90"/>
              <w:right w:type="dxa" w:w="120"/>
            </w:tcMar>
          </w:tcPr>
          <w:p>
            <w:r>
              <w:rPr>
                <w:b w:val="false"/>
                <w:bCs w:val="false"/>
                <w:color w:val="222222"/>
                <w:sz w:val="19"/>
                <w:szCs w:val="19"/>
              </w:rPr>
              <w:t xml:space="preserve">Card number</w:t>
            </w:r>
          </w:p>
        </w:tc>
        <w:tc>
          <w:tcPr>
            <w:tcW w:type="dxa" w:w="6660"/>
            <w:tcMar>
              <w:top w:type="dxa" w:w="90"/>
              <w:left w:type="dxa" w:w="120"/>
              <w:bottom w:type="dxa" w:w="90"/>
              <w:right w:type="dxa" w:w="120"/>
            </w:tcMar>
          </w:tcPr>
          <w:p>
            <w:r>
              <w:rPr>
                <w:b w:val="false"/>
                <w:bCs w:val="false"/>
                <w:color w:val="222222"/>
                <w:sz w:val="19"/>
                <w:szCs w:val="19"/>
              </w:rPr>
              <w:t xml:space="preserve">4242 4242 4242 4242</w:t>
            </w:r>
          </w:p>
        </w:tc>
      </w:tr>
      <w:tr>
        <w:tc>
          <w:tcPr>
            <w:tcW w:type="dxa" w:w="2800"/>
            <w:tcMar>
              <w:top w:type="dxa" w:w="90"/>
              <w:left w:type="dxa" w:w="120"/>
              <w:bottom w:type="dxa" w:w="90"/>
              <w:right w:type="dxa" w:w="120"/>
            </w:tcMar>
          </w:tcPr>
          <w:p>
            <w:r>
              <w:rPr>
                <w:b w:val="false"/>
                <w:bCs w:val="false"/>
                <w:color w:val="222222"/>
                <w:sz w:val="19"/>
                <w:szCs w:val="19"/>
              </w:rPr>
              <w:t xml:space="preserve">Expiration date</w:t>
            </w:r>
          </w:p>
        </w:tc>
        <w:tc>
          <w:tcPr>
            <w:tcW w:type="dxa" w:w="6660"/>
            <w:tcMar>
              <w:top w:type="dxa" w:w="90"/>
              <w:left w:type="dxa" w:w="120"/>
              <w:bottom w:type="dxa" w:w="90"/>
              <w:right w:type="dxa" w:w="120"/>
            </w:tcMar>
          </w:tcPr>
          <w:p>
            <w:r>
              <w:rPr>
                <w:b w:val="false"/>
                <w:bCs w:val="false"/>
                <w:color w:val="222222"/>
                <w:sz w:val="19"/>
                <w:szCs w:val="19"/>
              </w:rPr>
              <w:t xml:space="preserve">Any future date (e.g. 12/30)</w:t>
            </w:r>
          </w:p>
        </w:tc>
      </w:tr>
      <w:tr>
        <w:tc>
          <w:tcPr>
            <w:tcW w:type="dxa" w:w="2800"/>
            <w:tcMar>
              <w:top w:type="dxa" w:w="90"/>
              <w:left w:type="dxa" w:w="120"/>
              <w:bottom w:type="dxa" w:w="90"/>
              <w:right w:type="dxa" w:w="120"/>
            </w:tcMar>
          </w:tcPr>
          <w:p>
            <w:r>
              <w:rPr>
                <w:b w:val="false"/>
                <w:bCs w:val="false"/>
                <w:color w:val="222222"/>
                <w:sz w:val="19"/>
                <w:szCs w:val="19"/>
              </w:rPr>
              <w:t xml:space="preserve">CVC</w:t>
            </w:r>
          </w:p>
        </w:tc>
        <w:tc>
          <w:tcPr>
            <w:tcW w:type="dxa" w:w="6660"/>
            <w:tcMar>
              <w:top w:type="dxa" w:w="90"/>
              <w:left w:type="dxa" w:w="120"/>
              <w:bottom w:type="dxa" w:w="90"/>
              <w:right w:type="dxa" w:w="120"/>
            </w:tcMar>
          </w:tcPr>
          <w:p>
            <w:r>
              <w:rPr>
                <w:b w:val="false"/>
                <w:bCs w:val="false"/>
                <w:color w:val="222222"/>
                <w:sz w:val="19"/>
                <w:szCs w:val="19"/>
              </w:rPr>
              <w:t xml:space="preserve">Any 3 digits (e.g. 123)</w:t>
            </w:r>
          </w:p>
        </w:tc>
      </w:tr>
      <w:tr>
        <w:tc>
          <w:tcPr>
            <w:tcW w:type="dxa" w:w="2800"/>
            <w:tcMar>
              <w:top w:type="dxa" w:w="90"/>
              <w:left w:type="dxa" w:w="120"/>
              <w:bottom w:type="dxa" w:w="90"/>
              <w:right w:type="dxa" w:w="120"/>
            </w:tcMar>
          </w:tcPr>
          <w:p>
            <w:r>
              <w:rPr>
                <w:b w:val="false"/>
                <w:bCs w:val="false"/>
                <w:color w:val="222222"/>
                <w:sz w:val="19"/>
                <w:szCs w:val="19"/>
              </w:rPr>
              <w:t xml:space="preserve">ZIP / postal code</w:t>
            </w:r>
          </w:p>
        </w:tc>
        <w:tc>
          <w:tcPr>
            <w:tcW w:type="dxa" w:w="6660"/>
            <w:tcMar>
              <w:top w:type="dxa" w:w="90"/>
              <w:left w:type="dxa" w:w="120"/>
              <w:bottom w:type="dxa" w:w="90"/>
              <w:right w:type="dxa" w:w="120"/>
            </w:tcMar>
          </w:tcPr>
          <w:p>
            <w:r>
              <w:rPr>
                <w:b w:val="false"/>
                <w:bCs w:val="false"/>
                <w:color w:val="222222"/>
                <w:sz w:val="19"/>
                <w:szCs w:val="19"/>
              </w:rPr>
              <w:t xml:space="preserve">Any valid-format ZIP (e.g. 10001)</w:t>
            </w:r>
          </w:p>
        </w:tc>
      </w:tr>
      <w:tr>
        <w:tc>
          <w:tcPr>
            <w:tcW w:type="dxa" w:w="2800"/>
            <w:tcMar>
              <w:top w:type="dxa" w:w="90"/>
              <w:left w:type="dxa" w:w="120"/>
              <w:bottom w:type="dxa" w:w="90"/>
              <w:right w:type="dxa" w:w="120"/>
            </w:tcMar>
          </w:tcPr>
          <w:p>
            <w:r>
              <w:rPr>
                <w:b w:val="false"/>
                <w:bCs w:val="false"/>
                <w:color w:val="222222"/>
                <w:sz w:val="19"/>
                <w:szCs w:val="19"/>
              </w:rPr>
              <w:t xml:space="preserve">Cardholder name</w:t>
            </w:r>
          </w:p>
        </w:tc>
        <w:tc>
          <w:tcPr>
            <w:tcW w:type="dxa" w:w="6660"/>
            <w:tcMar>
              <w:top w:type="dxa" w:w="90"/>
              <w:left w:type="dxa" w:w="120"/>
              <w:bottom w:type="dxa" w:w="90"/>
              <w:right w:type="dxa" w:w="120"/>
            </w:tcMar>
          </w:tcPr>
          <w:p>
            <w:r>
              <w:rPr>
                <w:b w:val="false"/>
                <w:bCs w:val="false"/>
                <w:color w:val="222222"/>
                <w:sz w:val="19"/>
                <w:szCs w:val="19"/>
              </w:rPr>
              <w:t xml:space="preserve">Any name</w:t>
            </w:r>
          </w:p>
        </w:tc>
      </w:tr>
    </w:tbl>
    <w:p>
      <w:pPr>
        <w:spacing w:after="200"/>
      </w:pPr>
    </w:p>
    <w:p>
      <w:pPr>
        <w:pStyle w:val="Heading2"/>
        <w:spacing w:after="120" w:before="260"/>
      </w:pPr>
      <w:r>
        <w:rPr>
          <w:b/>
          <w:bCs/>
          <w:color w:val="1F3A5F"/>
          <w:sz w:val="24"/>
          <w:szCs w:val="24"/>
        </w:rPr>
        <w:t xml:space="preserve">4.2 Step-by-Step</w:t>
      </w:r>
    </w:p>
    <w:p>
      <w:pPr>
        <w:pStyle w:val="ListParagraph"/>
        <w:numPr>
          <w:ilvl w:val="0"/>
          <w:numId w:val="3"/>
        </w:numPr>
        <w:spacing w:after="80"/>
      </w:pPr>
      <w:r>
        <w:rPr>
          <w:sz w:val="21"/>
          <w:szCs w:val="21"/>
        </w:rPr>
        <w:t xml:space="preserve">From the app, click the Upgrade / Subscribe action for the plan you’re testing.</w:t>
      </w:r>
    </w:p>
    <w:p>
      <w:pPr>
        <w:pStyle w:val="ListParagraph"/>
        <w:numPr>
          <w:ilvl w:val="0"/>
          <w:numId w:val="3"/>
        </w:numPr>
        <w:spacing w:after="80"/>
      </w:pPr>
      <w:r>
        <w:rPr>
          <w:sz w:val="21"/>
          <w:szCs w:val="21"/>
        </w:rPr>
        <w:t xml:space="preserve">You’ll be handed off to a Stripe-hosted checkout page — confirm the plan name and price shown match what you clicked.</w:t>
      </w:r>
    </w:p>
    <w:p>
      <w:pPr>
        <w:pStyle w:val="ListParagraph"/>
        <w:numPr>
          <w:ilvl w:val="0"/>
          <w:numId w:val="3"/>
        </w:numPr>
        <w:spacing w:after="80"/>
      </w:pPr>
      <w:r>
        <w:rPr>
          <w:sz w:val="21"/>
          <w:szCs w:val="21"/>
        </w:rPr>
        <w:t xml:space="preserve">Enter the test card number above, any future expiration date, any 3-digit CVC, and any ZIP.</w:t>
      </w:r>
    </w:p>
    <w:p>
      <w:pPr>
        <w:pStyle w:val="ListParagraph"/>
        <w:numPr>
          <w:ilvl w:val="0"/>
          <w:numId w:val="3"/>
        </w:numPr>
        <w:spacing w:after="80"/>
      </w:pPr>
      <w:r>
        <w:rPr>
          <w:sz w:val="21"/>
          <w:szCs w:val="21"/>
        </w:rPr>
        <w:t xml:space="preserve">Complete the purchase and confirm you’re returned to the app.</w:t>
      </w:r>
    </w:p>
    <w:p>
      <w:pPr>
        <w:pStyle w:val="ListParagraph"/>
        <w:numPr>
          <w:ilvl w:val="0"/>
          <w:numId w:val="3"/>
        </w:numPr>
        <w:spacing w:after="80"/>
      </w:pPr>
      <w:r>
        <w:rPr>
          <w:sz w:val="21"/>
          <w:szCs w:val="21"/>
        </w:rPr>
        <w:t xml:space="preserve">Immediately verify the account’s tier updated (Phase 2/3 checks above) — this is the single most important thing to confirm after every checkout, since tier not updating after a successful payment has been a recurring issue in earlier builds.</w:t>
      </w:r>
    </w:p>
    <w:p>
      <w:pPr>
        <w:spacing w:after="160"/>
      </w:pPr>
    </w:p>
    <w:p>
      <w:pPr>
        <w:spacing w:after="160"/>
      </w:pPr>
      <w:r>
        <w:rPr>
          <w:b w:val="false"/>
          <w:bCs w:val="false"/>
          <w:i/>
          <w:iCs/>
          <w:color w:val="222222"/>
          <w:sz w:val="21"/>
          <w:szCs w:val="21"/>
        </w:rPr>
        <w:t xml:space="preserve">Other useful Stripe test cards, if you want to deliberately test failure handling (optional, not required for this pass):</w:t>
      </w:r>
    </w:p>
    <w:tbl>
      <w:tblPr>
        <w:tblW w:type="dxa" w:w="9460"/>
        <w:tblBorders>
          <w:top w:val="single" w:color="CCCCCC" w:sz="2"/>
          <w:left w:val="single" w:color="CCCCCC" w:sz="2"/>
          <w:bottom w:val="single" w:color="CCCCCC" w:sz="2"/>
          <w:right w:val="single" w:color="CCCCCC" w:sz="2"/>
          <w:insideH w:val="single" w:color="DDDDDD" w:sz="2"/>
          <w:insideV w:val="single" w:color="DDDDDD" w:sz="2"/>
        </w:tblBorders>
      </w:tblPr>
      <w:tblGrid>
        <w:gridCol w:w="3200"/>
        <w:gridCol w:w="6260"/>
      </w:tblGrid>
      <w:tr>
        <w:trPr>
          <w:tblHeader/>
        </w:trPr>
        <w:tc>
          <w:tcPr>
            <w:tcW w:type="dxa" w:w="3200"/>
            <w:shd w:fill="1F3A5F" w:val="clear"/>
            <w:tcMar>
              <w:top w:type="dxa" w:w="100"/>
              <w:left w:type="dxa" w:w="120"/>
              <w:bottom w:type="dxa" w:w="100"/>
              <w:right w:type="dxa" w:w="120"/>
            </w:tcMar>
          </w:tcPr>
          <w:p>
            <w:r>
              <w:rPr>
                <w:b/>
                <w:bCs/>
                <w:color w:val="FFFFFF"/>
                <w:sz w:val="19"/>
                <w:szCs w:val="19"/>
              </w:rPr>
              <w:t xml:space="preserve">Card number</w:t>
            </w:r>
          </w:p>
        </w:tc>
        <w:tc>
          <w:tcPr>
            <w:tcW w:type="dxa" w:w="6260"/>
            <w:shd w:fill="1F3A5F" w:val="clear"/>
            <w:tcMar>
              <w:top w:type="dxa" w:w="100"/>
              <w:left w:type="dxa" w:w="120"/>
              <w:bottom w:type="dxa" w:w="100"/>
              <w:right w:type="dxa" w:w="120"/>
            </w:tcMar>
          </w:tcPr>
          <w:p>
            <w:r>
              <w:rPr>
                <w:b/>
                <w:bCs/>
                <w:color w:val="FFFFFF"/>
                <w:sz w:val="19"/>
                <w:szCs w:val="19"/>
              </w:rPr>
              <w:t xml:space="preserve">Simulates</w:t>
            </w:r>
          </w:p>
        </w:tc>
      </w:tr>
      <w:tr>
        <w:tc>
          <w:tcPr>
            <w:tcW w:type="dxa" w:w="3200"/>
            <w:tcMar>
              <w:top w:type="dxa" w:w="90"/>
              <w:left w:type="dxa" w:w="120"/>
              <w:bottom w:type="dxa" w:w="90"/>
              <w:right w:type="dxa" w:w="120"/>
            </w:tcMar>
          </w:tcPr>
          <w:p>
            <w:r>
              <w:rPr>
                <w:b w:val="false"/>
                <w:bCs w:val="false"/>
                <w:color w:val="222222"/>
                <w:sz w:val="19"/>
                <w:szCs w:val="19"/>
              </w:rPr>
              <w:t xml:space="preserve">4000 0000 0000 0002</w:t>
            </w:r>
          </w:p>
        </w:tc>
        <w:tc>
          <w:tcPr>
            <w:tcW w:type="dxa" w:w="6260"/>
            <w:tcMar>
              <w:top w:type="dxa" w:w="90"/>
              <w:left w:type="dxa" w:w="120"/>
              <w:bottom w:type="dxa" w:w="90"/>
              <w:right w:type="dxa" w:w="120"/>
            </w:tcMar>
          </w:tcPr>
          <w:p>
            <w:r>
              <w:rPr>
                <w:b w:val="false"/>
                <w:bCs w:val="false"/>
                <w:color w:val="222222"/>
                <w:sz w:val="19"/>
                <w:szCs w:val="19"/>
              </w:rPr>
              <w:t xml:space="preserve">Card declined</w:t>
            </w:r>
          </w:p>
        </w:tc>
      </w:tr>
      <w:tr>
        <w:tc>
          <w:tcPr>
            <w:tcW w:type="dxa" w:w="3200"/>
            <w:tcMar>
              <w:top w:type="dxa" w:w="90"/>
              <w:left w:type="dxa" w:w="120"/>
              <w:bottom w:type="dxa" w:w="90"/>
              <w:right w:type="dxa" w:w="120"/>
            </w:tcMar>
          </w:tcPr>
          <w:p>
            <w:r>
              <w:rPr>
                <w:b w:val="false"/>
                <w:bCs w:val="false"/>
                <w:color w:val="222222"/>
                <w:sz w:val="19"/>
                <w:szCs w:val="19"/>
              </w:rPr>
              <w:t xml:space="preserve">4000 0025 0000 3155</w:t>
            </w:r>
          </w:p>
        </w:tc>
        <w:tc>
          <w:tcPr>
            <w:tcW w:type="dxa" w:w="6260"/>
            <w:tcMar>
              <w:top w:type="dxa" w:w="90"/>
              <w:left w:type="dxa" w:w="120"/>
              <w:bottom w:type="dxa" w:w="90"/>
              <w:right w:type="dxa" w:w="120"/>
            </w:tcMar>
          </w:tcPr>
          <w:p>
            <w:r>
              <w:rPr>
                <w:b w:val="false"/>
                <w:bCs w:val="false"/>
                <w:color w:val="222222"/>
                <w:sz w:val="19"/>
                <w:szCs w:val="19"/>
              </w:rPr>
              <w:t xml:space="preserve">Requires 3D Secure authentication</w:t>
            </w:r>
          </w:p>
        </w:tc>
      </w:tr>
      <w:tr>
        <w:tc>
          <w:tcPr>
            <w:tcW w:type="dxa" w:w="3200"/>
            <w:tcMar>
              <w:top w:type="dxa" w:w="90"/>
              <w:left w:type="dxa" w:w="120"/>
              <w:bottom w:type="dxa" w:w="90"/>
              <w:right w:type="dxa" w:w="120"/>
            </w:tcMar>
          </w:tcPr>
          <w:p>
            <w:r>
              <w:rPr>
                <w:b w:val="false"/>
                <w:bCs w:val="false"/>
                <w:color w:val="222222"/>
                <w:sz w:val="19"/>
                <w:szCs w:val="19"/>
              </w:rPr>
              <w:t xml:space="preserve">4000 0000 0000 9995</w:t>
            </w:r>
          </w:p>
        </w:tc>
        <w:tc>
          <w:tcPr>
            <w:tcW w:type="dxa" w:w="6260"/>
            <w:tcMar>
              <w:top w:type="dxa" w:w="90"/>
              <w:left w:type="dxa" w:w="120"/>
              <w:bottom w:type="dxa" w:w="90"/>
              <w:right w:type="dxa" w:w="120"/>
            </w:tcMar>
          </w:tcPr>
          <w:p>
            <w:r>
              <w:rPr>
                <w:b w:val="false"/>
                <w:bCs w:val="false"/>
                <w:color w:val="222222"/>
                <w:sz w:val="19"/>
                <w:szCs w:val="19"/>
              </w:rPr>
              <w:t xml:space="preserve">Insufficient funds decline</w:t>
            </w:r>
          </w:p>
        </w:tc>
      </w:tr>
    </w:tbl>
    <w:p>
      <w:pPr>
        <w:pStyle w:val="Heading1"/>
        <w:pBdr>
          <w:bottom w:val="single" w:color="1F3A5F" w:sz="6" w:space="4"/>
        </w:pBdr>
        <w:spacing w:after="160" w:before="320"/>
      </w:pPr>
      <w:r>
        <w:rPr>
          <w:b/>
          <w:bCs/>
          <w:color w:val="1F3A5F"/>
          <w:sz w:val="30"/>
          <w:szCs w:val="30"/>
        </w:rPr>
        <w:t xml:space="preserve">5. How to Report What You Find</w:t>
      </w:r>
    </w:p>
    <w:p>
      <w:pPr>
        <w:spacing w:after="160"/>
      </w:pPr>
      <w:r>
        <w:rPr>
          <w:b w:val="false"/>
          <w:bCs w:val="false"/>
          <w:i w:val="false"/>
          <w:iCs w:val="false"/>
          <w:color w:val="222222"/>
          <w:sz w:val="21"/>
          <w:szCs w:val="21"/>
        </w:rPr>
        <w:t xml:space="preserve">For each item, capture:</w:t>
      </w:r>
    </w:p>
    <w:p>
      <w:pPr>
        <w:pStyle w:val="ListParagraph"/>
        <w:numPr>
          <w:ilvl w:val="0"/>
          <w:numId w:val="2"/>
        </w:numPr>
        <w:spacing w:after="80"/>
      </w:pPr>
      <w:r>
        <w:rPr>
          <w:b w:val="false"/>
          <w:bCs w:val="false"/>
          <w:sz w:val="21"/>
          <w:szCs w:val="21"/>
        </w:rPr>
        <w:t xml:space="preserve">What tier you were on and what you did, step by step.</w:t>
      </w:r>
    </w:p>
    <w:p>
      <w:pPr>
        <w:pStyle w:val="ListParagraph"/>
        <w:numPr>
          <w:ilvl w:val="0"/>
          <w:numId w:val="2"/>
        </w:numPr>
        <w:spacing w:after="80"/>
      </w:pPr>
      <w:r>
        <w:rPr>
          <w:b w:val="false"/>
          <w:bCs w:val="false"/>
          <w:sz w:val="21"/>
          <w:szCs w:val="21"/>
        </w:rPr>
        <w:t xml:space="preserve">What you expected to happen (per this guide's tables, or your own reasonable expectation as a first-time user).</w:t>
      </w:r>
    </w:p>
    <w:p>
      <w:pPr>
        <w:pStyle w:val="ListParagraph"/>
        <w:numPr>
          <w:ilvl w:val="0"/>
          <w:numId w:val="2"/>
        </w:numPr>
        <w:spacing w:after="80"/>
      </w:pPr>
      <w:r>
        <w:rPr>
          <w:b w:val="false"/>
          <w:bCs w:val="false"/>
          <w:sz w:val="21"/>
          <w:szCs w:val="21"/>
        </w:rPr>
        <w:t xml:space="preserve">What actually happened — screenshot if possible.</w:t>
      </w:r>
    </w:p>
    <w:p>
      <w:pPr>
        <w:pStyle w:val="ListParagraph"/>
        <w:numPr>
          <w:ilvl w:val="0"/>
          <w:numId w:val="2"/>
        </w:numPr>
        <w:spacing w:after="80"/>
      </w:pPr>
      <w:r>
        <w:rPr>
          <w:b w:val="false"/>
          <w:bCs w:val="false"/>
          <w:sz w:val="21"/>
          <w:szCs w:val="21"/>
        </w:rPr>
        <w:t xml:space="preserve">Whether it blocked you from continuing, or was just a rough edge.</w:t>
      </w:r>
    </w:p>
    <w:p>
      <w:pPr>
        <w:spacing w:after="160"/>
      </w:pPr>
      <w:r>
        <w:rPr>
          <w:b w:val="false"/>
          <w:bCs w:val="false"/>
          <w:i w:val="false"/>
          <w:iCs w:val="false"/>
          <w:color w:val="222222"/>
          <w:sz w:val="21"/>
          <w:szCs w:val="21"/>
        </w:rPr>
        <w:t xml:space="preserve">Feature-inventory items don’t need a bug write-up — a simple running list of screens/features you encountered per tier is exactly what’s wanted, even where everything worked correctly. That inventory is as valuable an output of this pass as the bug list.</w:t>
      </w:r>
    </w:p>
    <w:p>
      <w:pPr>
        <w:spacing w:after="300"/>
      </w:pPr>
    </w:p>
    <w:tbl>
      <w:tblPr>
        <w:tblW w:type="pct" w:w="100%"/>
        <w:tblBorders>
          <w:top w:val="single" w:color="1F3A5F" w:sz="4"/>
          <w:left w:val="single" w:color="1F3A5F" w:sz="4"/>
          <w:bottom w:val="single" w:color="1F3A5F" w:sz="4"/>
          <w:right w:val="single" w:color="1F3A5F" w:sz="4"/>
          <w:insideH w:val="none" w:color="FFFFFF" w:sz="0"/>
          <w:insideV w:val="none" w:color="FFFFFF" w:sz="0"/>
        </w:tblBorders>
      </w:tblPr>
      <w:tblGrid>
        <w:gridCol w:w="100"/>
      </w:tblGrid>
      <w:tr>
        <w:trPr>
          <w:cantSplit/>
        </w:trPr>
        <w:tc>
          <w:tcPr>
            <w:shd w:fill="E8EEF7" w:val="clear"/>
            <w:tcMar>
              <w:top w:type="dxa" w:w="160"/>
              <w:left w:type="dxa" w:w="200"/>
              <w:bottom w:type="dxa" w:w="160"/>
              <w:right w:type="dxa" w:w="200"/>
            </w:tcMar>
          </w:tcPr>
          <w:p>
            <w:pPr>
              <w:spacing w:after="80"/>
            </w:pPr>
            <w:r>
              <w:rPr>
                <w:b/>
                <w:bCs/>
                <w:color w:val="1F3A5F"/>
                <w:sz w:val="21"/>
                <w:szCs w:val="21"/>
              </w:rPr>
              <w:t xml:space="preserve">Quick reference</w:t>
            </w:r>
          </w:p>
          <w:p>
            <w:pPr>
              <w:spacing w:after="40"/>
            </w:pPr>
            <w:r>
              <w:rPr>
                <w:color w:val="333333"/>
                <w:sz w:val="20"/>
                <w:szCs w:val="20"/>
              </w:rPr>
              <w:t xml:space="preserve">Test card: 4242 4242 4242 4242, any future expiry, any CVC, any ZIP.</w:t>
            </w:r>
          </w:p>
          <w:p>
            <w:pPr>
              <w:spacing w:after="40"/>
            </w:pPr>
            <w:r>
              <w:rPr>
                <w:color w:val="333333"/>
                <w:sz w:val="20"/>
                <w:szCs w:val="20"/>
              </w:rPr>
              <w:t xml:space="preserve">Tier order to test in: Explorer (Free) → Pathfinder (Pro) → Market Expert (Elite) → downgrade/cancel.</w:t>
            </w:r>
          </w:p>
          <w:p>
            <w:pPr>
              <w:spacing w:after="40"/>
            </w:pPr>
            <w:r>
              <w:rPr>
                <w:color w:val="333333"/>
                <w:sz w:val="20"/>
                <w:szCs w:val="20"/>
              </w:rPr>
              <w:t xml:space="preserve">Watch especially for: tier not updating after checkout, and mobile-width layout issues.</w:t>
            </w:r>
          </w:p>
          <w:p>
            <w:pPr>
              <w:spacing w:after="40"/>
            </w:pPr>
            <w:r>
              <w:rPr>
                <w:color w:val="333333"/>
                <w:sz w:val="20"/>
                <w:szCs w:val="20"/>
              </w:rPr>
              <w:t xml:space="preserve">Remember: projections use fixed default assumptions (§1.4), not personalized risk-tolerance math — don't expect the numbers to move just because a risk-tolerance answer changes.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pre-launch build.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RealEquityIQ — UAT Overview &amp; Testing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2026-08-08T03:28:45.946Z</dcterms:created>
  <dcterms:modified xsi:type="dcterms:W3CDTF">2026-08-08T03:28:45.946Z</dcterms:modified>
</cp:coreProperties>
</file>

<file path=docProps/custom.xml><?xml version="1.0" encoding="utf-8"?>
<Properties xmlns="http://schemas.openxmlformats.org/officeDocument/2006/custom-properties" xmlns:vt="http://schemas.openxmlformats.org/officeDocument/2006/docPropsVTypes"/>
</file>