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Premiere partie</w:t>
      </w:r>
    </w:p>
    <w:p>
      <w:r>
        <w:t xml:space="preserve">Le village se reveilla sous la neige. Marc ouvrit la porte et regarda le lac gele. Le village se reveilla sous la neige. Marc ouvrit la porte et regarda le lac gele. </w:t>
      </w:r>
    </w:p>
    <w:p>
      <w:pPr>
        <w:pStyle w:val="Heading2"/>
      </w:pPr>
      <w:r>
        <w:t>Le depart</w:t>
      </w:r>
    </w:p>
    <w:p>
      <w:r>
        <w:t xml:space="preserve">Le village se reveilla sous la neige. Marc ouvrit la porte et regarda le lac gele. </w:t>
      </w:r>
      <w:r>
        <w:br w:type="page"/>
      </w:r>
    </w:p>
    <w:p>
      <w:r>
        <w:t xml:space="preserve">Le village se reveilla sous la neige. Marc ouvrit la porte et regarda le lac gele. </w:t>
      </w:r>
    </w:p>
    <w:p>
      <w:pPr>
        <w:pStyle w:val="Heading1"/>
      </w:pPr>
      <w:r>
        <w:t>Deuxieme partie</w:t>
      </w:r>
    </w:p>
    <w:p>
      <w:r>
        <w:t xml:space="preserve">Le village se reveilla sous la neige. Marc ouvrit la porte et regarda le lac gele.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