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MASTER SERVICES AGREEMENT</w:t>
      </w:r>
    </w:p>
    <w:p>
      <w:pPr>
        <w:spacing w:after="120"/>
      </w:pPr>
      <w:r>
        <w:t>This Master Services Agreement (this "Agreement") is entered into as of March 15, 2023 (the "Effective Date"), by and between Meridian Logistics Solutions, LLC, a Texas limited liability company with its principal place of business at 2200 Commerce Street, Suite 1100, Dallas, Texas 75201 ("Service Provider" or "Meridian"), and Cascade Retail Group, Inc., a Texas corporation with its principal place of business at 400 Rainey Street, Austin, Texas 78701 ("Client" or "Cascade").</w:t>
      </w:r>
    </w:p>
    <w:p>
      <w:pPr>
        <w:spacing w:after="120"/>
      </w:pPr>
      <w:r>
        <w:t>1.  ENGAGEMENT. Client hereby engages Service Provider, and Service Provider hereby accepts the engagement, to provide logistics integration consulting services (the "Services") to Client in accordance with the terms of this Agreement.</w:t>
      </w:r>
    </w:p>
    <w:p>
      <w:pPr>
        <w:spacing w:after="120"/>
      </w:pPr>
      <w:r>
        <w:t>2.  TERM. This Agreement shall commence on the Effective Date and shall continue for an initial term of three (3) years (the "Initial Term"), unless earlier terminated in accordance with Section 12 (Termination). The Initial Term shall end on March 31, 2026, unless extended by written agreement of the parties.</w:t>
      </w:r>
    </w:p>
    <w:p>
      <w:pPr>
        <w:spacing w:after="120"/>
      </w:pPr>
      <w:r>
        <w:t>3.  SERVICES. Service Provider shall provide the Services described in one or more Statements of Work executed by the parties. Each Statement of Work shall be incorporated into this Agreement by reference.</w:t>
      </w:r>
    </w:p>
    <w:p>
      <w:pPr>
        <w:spacing w:after="120"/>
      </w:pPr>
      <w:r>
        <w:t>4.  COMPENSATION.</w:t>
      </w:r>
    </w:p>
    <w:p>
      <w:pPr>
        <w:spacing w:after="120"/>
      </w:pPr>
      <w:r>
        <w:t>4.1  Hourly Rate. Client shall pay Service Provider for the Services at the rate of $125.00 per hour (the "Initial Hourly Rate"), subject to adjustment as provided in this Agreement.</w:t>
      </w:r>
    </w:p>
    <w:p>
      <w:pPr>
        <w:spacing w:after="120"/>
      </w:pPr>
      <w:r>
        <w:t>4.2  Invoices. Service Provider shall invoice Client monthly for Services performed during the preceding month. Each invoice shall describe the Services performed, the hours worked, and the amounts charged.</w:t>
      </w:r>
    </w:p>
    <w:p>
      <w:pPr>
        <w:spacing w:after="120"/>
      </w:pPr>
      <w:r>
        <w:t>4.3  Payment Terms. Client shall pay each undisputed invoice within thirty (30) days after receipt.</w:t>
      </w:r>
    </w:p>
    <w:p>
      <w:pPr>
        <w:spacing w:after="120"/>
      </w:pPr>
      <w:r>
        <w:t>5.  CLAIMS. Client shall pay all undisputed amounts when due. Any disputed amount shall be paid when the dispute is resolved.</w:t>
      </w:r>
    </w:p>
    <w:p>
      <w:pPr>
        <w:spacing w:after="120"/>
      </w:pPr>
      <w:r>
        <w:t>6.  WARRANTIES. Service Provider warrants that the Services will be performed in a professional and workmanlike manner consistent with industry standards.</w:t>
      </w:r>
    </w:p>
    <w:p>
      <w:pPr>
        <w:spacing w:after="120"/>
      </w:pPr>
      <w:r>
        <w:t>7.  INSURANCE.</w:t>
      </w:r>
    </w:p>
    <w:p>
      <w:pPr>
        <w:spacing w:after="120"/>
      </w:pPr>
      <w:r>
        <w:t>7.4  Liability Insurance. Service Provider shall maintain, at its own expense, commercial general liability insurance with limits of not less than $2,000,000 per occurrence, naming Client as an additional insured.</w:t>
      </w:r>
    </w:p>
    <w:p>
      <w:pPr>
        <w:spacing w:after="120"/>
      </w:pPr>
      <w:r>
        <w:t>8.  CONFIDENTIALITY. Each party shall keep confidential all non-public information disclosed by the other party in connection with this Agreement.</w:t>
      </w:r>
    </w:p>
    <w:p>
      <w:pPr>
        <w:spacing w:after="120"/>
      </w:pPr>
      <w:r>
        <w:t>9.  DEFAULT AND REMEDIES.</w:t>
      </w:r>
    </w:p>
    <w:p>
      <w:pPr>
        <w:spacing w:after="120"/>
      </w:pPr>
      <w:r>
        <w:t>9.2  Cure Period. If either party fails to perform any obligation under this Agreement, the non-defaulting party shall provide written notice of the default. The defaulting party shall have fifteen (15) days from receipt of such notice to cure the default. If the default is not cured within such fifteen (15) day period, the non-defaulting party may terminate this Agreement and pursue any and all available remedies.</w:t>
      </w:r>
    </w:p>
    <w:p>
      <w:pPr>
        <w:spacing w:after="120"/>
      </w:pPr>
      <w:r>
        <w:t>10.  INDEPENDENT CONTRACTOR. Service Provider is an independent contractor and not an employee, agent, or partner of Client.</w:t>
      </w:r>
    </w:p>
    <w:p>
      <w:pPr>
        <w:spacing w:after="120"/>
      </w:pPr>
      <w:r>
        <w:t>11.  ASSIGNMENT. Neither party may assign this Agreement without the prior written consent of the other party, except that either party may assign this Agreement to an affiliate or in connection with a merger, acquisition, or sale of all or substantially all of its assets.</w:t>
      </w:r>
    </w:p>
    <w:p>
      <w:pPr>
        <w:spacing w:after="120"/>
      </w:pPr>
      <w:r>
        <w:t>12.  TERMINATION.</w:t>
      </w:r>
    </w:p>
    <w:p>
      <w:pPr>
        <w:spacing w:after="120"/>
      </w:pPr>
      <w:r>
        <w:t>12.1  Termination for Cause. Either party may terminate this Agreement immediately upon written notice if the other party materially breaches this Agreement and fails to cure such breach within the cure period set forth in Section 9.2.</w:t>
      </w:r>
    </w:p>
    <w:p>
      <w:pPr>
        <w:spacing w:after="120"/>
      </w:pPr>
      <w:r>
        <w:t>12.2  Effect of Termination. Upon termination, Client shall pay Service Provider for all Services performed through the date of termination.</w:t>
      </w:r>
    </w:p>
    <w:p>
      <w:pPr>
        <w:spacing w:after="120"/>
      </w:pPr>
      <w:r>
        <w:t>13.  NOTICES. All notices under this Agreement shall be in writing and delivered by hand, by recognized overnight courier, or by certified mail, return receipt requested.</w:t>
      </w:r>
    </w:p>
    <w:p>
      <w:pPr>
        <w:spacing w:after="120"/>
      </w:pPr>
      <w:r>
        <w:t>14.  MISCELLANEOUS.</w:t>
      </w:r>
    </w:p>
    <w:p>
      <w:pPr>
        <w:spacing w:after="120"/>
      </w:pPr>
      <w:r>
        <w:t>14.1  Relationship of the Parties. This Agreement constitutes the entire agreement between the parties with respect to the subject matter hereof.</w:t>
      </w:r>
    </w:p>
    <w:p>
      <w:pPr>
        <w:spacing w:after="120"/>
      </w:pPr>
      <w:r>
        <w:t>14.2  Amendment. This Agreement may be amended only by a written instrument signed by both parties.</w:t>
      </w:r>
    </w:p>
    <w:p>
      <w:pPr>
        <w:spacing w:after="120"/>
      </w:pPr>
      <w:r>
        <w:t>14.3  Governing Law and Venue. This Agreement shall be governed by and construed in accordance with the laws of the State of Texas, without regard to its conflict-of-laws principles. Any dispute arising out of or relating to this Agreement shall be resolved exclusively in the state courts located in Travis County, Texas, and the parties hereby consent to the personal jurisdiction and venue of such courts.</w:t>
      </w:r>
    </w:p>
    <w:p>
      <w:pPr>
        <w:spacing w:after="120"/>
      </w:pPr>
      <w:r>
        <w:t>14.4  Waiver. No waiver of any provision of this Agreement shall be effective unless in writing and signed by the waiving party.</w:t>
      </w:r>
    </w:p>
    <w:p>
      <w:pPr>
        <w:spacing w:after="120"/>
      </w:pPr>
      <w:r>
        <w:t>14.5  Severability. If any provision of this Agreement is held to be invalid or unenforceable, the remaining provisions shall continue in full force and effect.</w:t>
      </w:r>
    </w:p>
    <w:p>
      <w:pPr>
        <w:spacing w:after="120"/>
      </w:pPr>
      <w:r>
        <w:t>14.6  Counterparts. This Agreement may be executed in counterparts, each of which shall be deemed an original.</w:t>
      </w:r>
    </w:p>
    <w:p>
      <w:pPr>
        <w:spacing w:after="120"/>
      </w:pPr>
      <w:r>
        <w:t>IN WITNESS WHEREOF, the parties have executed this Agreement as of the Effective Date.</w:t>
      </w:r>
    </w:p>
    <w:p>
      <w:pPr>
        <w:spacing w:after="120"/>
      </w:pPr>
      <w:r>
        <w:t>MERIDIAN LOGISTICS SOLUTIONS, LLC</w:t>
      </w:r>
    </w:p>
    <w:p>
      <w:pPr>
        <w:spacing w:after="120"/>
      </w:pPr>
      <w:r>
        <w:t>By: /s/ Margaret E. Reyes</w:t>
      </w:r>
    </w:p>
    <w:p>
      <w:pPr>
        <w:spacing w:after="120"/>
      </w:pPr>
      <w:r>
        <w:t xml:space="preserve">    Margaret E. Reyes, Managing Member</w:t>
      </w:r>
    </w:p>
    <w:p>
      <w:pPr>
        <w:spacing w:after="120"/>
      </w:pPr>
      <w:r>
        <w:t xml:space="preserve">    Date: March 15, 2023</w:t>
      </w:r>
    </w:p>
    <w:p>
      <w:pPr>
        <w:spacing w:after="120"/>
      </w:pPr>
      <w:r>
        <w:t>CASCADE RETAIL GROUP, INC.</w:t>
      </w:r>
    </w:p>
    <w:p>
      <w:pPr>
        <w:spacing w:after="120"/>
      </w:pPr>
      <w:r>
        <w:t>By: /s/ Robert K. Halverson</w:t>
      </w:r>
    </w:p>
    <w:p>
      <w:pPr>
        <w:spacing w:after="120"/>
      </w:pPr>
      <w:r>
        <w:t xml:space="preserve">    Robert K. Halverson, Chief Executive Officer</w:t>
      </w:r>
    </w:p>
    <w:p>
      <w:pPr>
        <w:spacing w:after="120"/>
      </w:pPr>
      <w:r>
        <w:t xml:space="preserve">    Date: March 15, 2023</w:t>
      </w:r>
    </w:p>
    <w:p>
      <w:pPr>
        <w:spacing w:after="120"/>
      </w:pPr>
    </w:p>
    <w:p>
      <w:pPr>
        <w:spacing w:after="120"/>
      </w:pPr>
      <w:r>
        <w:t>EXHIBIT A — SERVICE LEVEL ADDENDUM (attached to Amendment No. 1; not part of the original MSA)</w:t>
      </w:r>
    </w:p>
    <w:p>
      <w:pPr>
        <w:spacing w:after="120"/>
      </w:pPr>
      <w:r>
        <w:t>This Exhibit A is referenced in Amendment No. 1 and added the SLA terms effective January 22, 2024. It is not part of the original MSA dated March 15,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