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335" w:rsidRPr="00251481" w:rsidRDefault="0057710F">
      <w:pPr>
        <w:pStyle w:val="Title"/>
      </w:pPr>
      <w:r w:rsidRPr="00251481">
        <w:t>Magic: the Gathering</w:t>
      </w:r>
      <w:r w:rsidRPr="00251481">
        <w:br/>
      </w:r>
      <w:bookmarkStart w:id="0" w:name="_GoBack"/>
      <w:bookmarkEnd w:id="0"/>
      <w:r w:rsidRPr="00251481">
        <w:t xml:space="preserve">– </w:t>
      </w:r>
      <w:proofErr w:type="spellStart"/>
      <w:r w:rsidRPr="00251481">
        <w:t>pierwszy</w:t>
      </w:r>
      <w:proofErr w:type="spellEnd"/>
      <w:r w:rsidRPr="00251481">
        <w:t xml:space="preserve"> </w:t>
      </w:r>
      <w:proofErr w:type="spellStart"/>
      <w:r w:rsidRPr="00251481">
        <w:t>turniej</w:t>
      </w:r>
      <w:proofErr w:type="spellEnd"/>
    </w:p>
    <w:p w:rsidR="008D6335" w:rsidRPr="00251481" w:rsidRDefault="0057710F" w:rsidP="00EA3C6D">
      <w:pPr>
        <w:pStyle w:val="Heading2"/>
        <w:rPr>
          <w:lang w:val="pl-PL"/>
        </w:rPr>
      </w:pPr>
      <w:r w:rsidRPr="00251481">
        <w:rPr>
          <w:lang w:val="pl-PL"/>
        </w:rPr>
        <w:t>14 stycznia 2018</w:t>
      </w:r>
    </w:p>
    <w:p w:rsidR="008D6335" w:rsidRPr="0057710F" w:rsidRDefault="0057710F" w:rsidP="00822BB8">
      <w:pPr>
        <w:pStyle w:val="Lead"/>
      </w:pPr>
      <w:r w:rsidRPr="0057710F">
        <w:t xml:space="preserve">Znasz już podstawowe zasady gry w </w:t>
      </w:r>
      <w:proofErr w:type="spellStart"/>
      <w:r w:rsidRPr="0057710F">
        <w:t>Magica</w:t>
      </w:r>
      <w:proofErr w:type="spellEnd"/>
      <w:r w:rsidRPr="0057710F">
        <w:t>. Złożyłeś właśnie swoją pierwszą talię. Pograłeś z kolegami w swojej okolicy i na osiedlu nie masz sobie równych. Pora zatem wypłynąć na szersze wody i spróbować sił w prawdziwym turnieju</w:t>
      </w:r>
      <w:r w:rsidR="009C7A3B" w:rsidRPr="0057710F">
        <w:t>.</w:t>
      </w:r>
    </w:p>
    <w:p w:rsidR="008D6335" w:rsidRPr="009C7A3B" w:rsidRDefault="0057710F" w:rsidP="009C7A3B">
      <w:pPr>
        <w:pStyle w:val="Image"/>
      </w:pPr>
      <w:r>
        <w:drawing>
          <wp:inline distT="0" distB="0" distL="0" distR="0">
            <wp:extent cx="5760000" cy="4319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g006.jpg"/>
                    <pic:cNvPicPr/>
                  </pic:nvPicPr>
                  <pic:blipFill>
                    <a:blip r:embed="rId7">
                      <a:extLst>
                        <a:ext uri="{28A0092B-C50C-407E-A947-70E740481C1C}">
                          <a14:useLocalDpi xmlns:a14="http://schemas.microsoft.com/office/drawing/2010/main" val="0"/>
                        </a:ext>
                      </a:extLst>
                    </a:blip>
                    <a:stretch>
                      <a:fillRect/>
                    </a:stretch>
                  </pic:blipFill>
                  <pic:spPr>
                    <a:xfrm>
                      <a:off x="0" y="0"/>
                      <a:ext cx="5760000" cy="4319859"/>
                    </a:xfrm>
                    <a:prstGeom prst="rect">
                      <a:avLst/>
                    </a:prstGeom>
                  </pic:spPr>
                </pic:pic>
              </a:graphicData>
            </a:graphic>
          </wp:inline>
        </w:drawing>
      </w:r>
    </w:p>
    <w:p w:rsidR="0057710F" w:rsidRDefault="0057710F" w:rsidP="0057710F">
      <w:pPr>
        <w:pStyle w:val="Text"/>
      </w:pPr>
      <w:r w:rsidRPr="0057710F">
        <w:t xml:space="preserve">Pierwszym krokiem będzie znalezienie odpowiedniej miejscówki. Turnieje w ogromnej większości przypadków organizowane są przez sklepy z grami karcianymi, planszowymi, itp. współpracującymi z producentem </w:t>
      </w:r>
      <w:proofErr w:type="spellStart"/>
      <w:r w:rsidRPr="0057710F">
        <w:t>Magica</w:t>
      </w:r>
      <w:proofErr w:type="spellEnd"/>
      <w:r w:rsidRPr="0057710F">
        <w:t xml:space="preserve">. Rzadziej w kawiarniach, barach, czy też klubach. Bazę sklepów można znaleźć na oficjalnym lokalizatorze </w:t>
      </w:r>
      <w:hyperlink r:id="rId8" w:history="1">
        <w:proofErr w:type="spellStart"/>
        <w:r w:rsidRPr="0057710F">
          <w:rPr>
            <w:rStyle w:val="Hyperlink"/>
          </w:rPr>
          <w:t>Wizardsów</w:t>
        </w:r>
        <w:proofErr w:type="spellEnd"/>
      </w:hyperlink>
      <w:r w:rsidRPr="0057710F">
        <w:t>. Znajduje się tam również informacja o najbliższych turniejach, ale z doświadczenia mogę powiedzieć, że umieszczane są tam tylko te największe.</w:t>
      </w:r>
    </w:p>
    <w:p w:rsidR="00C23C90" w:rsidRDefault="0057710F" w:rsidP="0057710F">
      <w:pPr>
        <w:pStyle w:val="Text"/>
      </w:pPr>
      <w:r w:rsidRPr="0057710F">
        <w:t xml:space="preserve">Po namierzeniu sklepu w naszej okolicy najprościej oczywiście będzie tam podjechać i osobiście zapytać o organizowane wydarzenia. Możemy oczywiście spróbować odnaleźć stronę www lub też na Facebooku. Dobrym rozwiązaniem może okazać się odwiedzenie forum największego polskiego </w:t>
      </w:r>
      <w:hyperlink r:id="rId9" w:history="1">
        <w:r w:rsidRPr="0057710F">
          <w:rPr>
            <w:rStyle w:val="Hyperlink"/>
          </w:rPr>
          <w:t>serwisu społeczności</w:t>
        </w:r>
      </w:hyperlink>
      <w:r w:rsidRPr="0057710F">
        <w:t xml:space="preserve"> Magic: the </w:t>
      </w:r>
      <w:proofErr w:type="spellStart"/>
      <w:r w:rsidRPr="0057710F">
        <w:t>Gathering</w:t>
      </w:r>
      <w:proofErr w:type="spellEnd"/>
      <w:r w:rsidRPr="0057710F">
        <w:t>, gdzie w działach regionalnych wszystkie sklepy z danego województwa umieszczają informacje o turniejach</w:t>
      </w:r>
      <w:r w:rsidR="009C7A3B" w:rsidRPr="0057710F">
        <w:t>.</w:t>
      </w:r>
    </w:p>
    <w:p w:rsidR="0057710F" w:rsidRDefault="0057710F" w:rsidP="0057710F">
      <w:pPr>
        <w:pStyle w:val="Image"/>
      </w:pPr>
      <w:r>
        <w:drawing>
          <wp:inline distT="0" distB="0" distL="0" distR="0">
            <wp:extent cx="5760000" cy="4319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tg006-1.jpg"/>
                    <pic:cNvPicPr/>
                  </pic:nvPicPr>
                  <pic:blipFill>
                    <a:blip r:embed="rId10">
                      <a:extLst>
                        <a:ext uri="{28A0092B-C50C-407E-A947-70E740481C1C}">
                          <a14:useLocalDpi xmlns:a14="http://schemas.microsoft.com/office/drawing/2010/main" val="0"/>
                        </a:ext>
                      </a:extLst>
                    </a:blip>
                    <a:stretch>
                      <a:fillRect/>
                    </a:stretch>
                  </pic:blipFill>
                  <pic:spPr>
                    <a:xfrm>
                      <a:off x="0" y="0"/>
                      <a:ext cx="5760000" cy="4319859"/>
                    </a:xfrm>
                    <a:prstGeom prst="rect">
                      <a:avLst/>
                    </a:prstGeom>
                  </pic:spPr>
                </pic:pic>
              </a:graphicData>
            </a:graphic>
          </wp:inline>
        </w:drawing>
      </w:r>
    </w:p>
    <w:p w:rsidR="0057710F" w:rsidRDefault="0057710F" w:rsidP="0057710F">
      <w:pPr>
        <w:pStyle w:val="Text"/>
      </w:pPr>
      <w:r w:rsidRPr="0057710F">
        <w:t xml:space="preserve">Formaty gry w Magic: the </w:t>
      </w:r>
      <w:proofErr w:type="spellStart"/>
      <w:r w:rsidRPr="0057710F">
        <w:t>Gathering</w:t>
      </w:r>
      <w:proofErr w:type="spellEnd"/>
      <w:r w:rsidRPr="0057710F">
        <w:t xml:space="preserve">, a tym samym formaty w jakich organizowane są turnieje omawiałem w </w:t>
      </w:r>
      <w:r>
        <w:t>poprzednim odcinku</w:t>
      </w:r>
      <w:r w:rsidRPr="0057710F">
        <w:t xml:space="preserve">. Na początek przyjrzymy się rozgrywkom typu </w:t>
      </w:r>
      <w:proofErr w:type="spellStart"/>
      <w:r w:rsidRPr="0057710F">
        <w:t>constructed</w:t>
      </w:r>
      <w:proofErr w:type="spellEnd"/>
      <w:r w:rsidRPr="0057710F">
        <w:t xml:space="preserve">. Do dyspozycji mamy zatem </w:t>
      </w:r>
      <w:proofErr w:type="spellStart"/>
      <w:r w:rsidRPr="0057710F">
        <w:t>Vintage</w:t>
      </w:r>
      <w:proofErr w:type="spellEnd"/>
      <w:r w:rsidRPr="0057710F">
        <w:t xml:space="preserve">, </w:t>
      </w:r>
      <w:proofErr w:type="spellStart"/>
      <w:r w:rsidRPr="0057710F">
        <w:t>Legacy</w:t>
      </w:r>
      <w:proofErr w:type="spellEnd"/>
      <w:r w:rsidRPr="0057710F">
        <w:t>, Modern i Standard. Zakładam jednak, że trzy pierwsze raczej od razu odpadają, ze względu na cenę kart niezbędnych do stworzenia sensownej talii, a także na to, że są organizowane zdecydowanie rzadziej.</w:t>
      </w:r>
    </w:p>
    <w:p w:rsidR="0057710F" w:rsidRDefault="0057710F" w:rsidP="0057710F">
      <w:pPr>
        <w:pStyle w:val="Text"/>
      </w:pPr>
      <w:r w:rsidRPr="0057710F">
        <w:t xml:space="preserve">Mając już złożony deck do grania, składający się z minimum 60 kart talii podstawowej i maksimum 15 </w:t>
      </w:r>
      <w:proofErr w:type="spellStart"/>
      <w:r w:rsidRPr="0057710F">
        <w:t>sideboardu</w:t>
      </w:r>
      <w:proofErr w:type="spellEnd"/>
      <w:r w:rsidRPr="0057710F">
        <w:t xml:space="preserve"> polecam wszystko włożyć w koszulki lub </w:t>
      </w:r>
      <w:proofErr w:type="spellStart"/>
      <w:r w:rsidRPr="0057710F">
        <w:t>protektory</w:t>
      </w:r>
      <w:proofErr w:type="spellEnd"/>
      <w:r w:rsidRPr="0057710F">
        <w:t xml:space="preserve">. Karty do </w:t>
      </w:r>
      <w:proofErr w:type="spellStart"/>
      <w:r w:rsidRPr="0057710F">
        <w:t>Magica</w:t>
      </w:r>
      <w:proofErr w:type="spellEnd"/>
      <w:r w:rsidRPr="0057710F">
        <w:t xml:space="preserve">, podobnie z resztą jak do każdej innej </w:t>
      </w:r>
      <w:proofErr w:type="spellStart"/>
      <w:r w:rsidRPr="0057710F">
        <w:t>karcianki</w:t>
      </w:r>
      <w:proofErr w:type="spellEnd"/>
      <w:r w:rsidRPr="0057710F">
        <w:t xml:space="preserve"> czy planszówki, dość łatwo ulegają przetarciu czy stopniowemu niszczeniu podczas </w:t>
      </w:r>
      <w:r w:rsidRPr="0057710F">
        <w:lastRenderedPageBreak/>
        <w:t>grania. Może to nie tylko utrudnić nam w przyszłości odsprzedanie czy wymianę kart, ale również być zinterpretowane jako ich znaczenie, co jest zabronione.</w:t>
      </w:r>
    </w:p>
    <w:p w:rsidR="0057710F" w:rsidRDefault="0057710F" w:rsidP="0057710F">
      <w:pPr>
        <w:pStyle w:val="Image"/>
      </w:pPr>
      <w:r>
        <w:drawing>
          <wp:inline distT="0" distB="0" distL="0" distR="0">
            <wp:extent cx="5760000" cy="38518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tg006-2.jpg"/>
                    <pic:cNvPicPr/>
                  </pic:nvPicPr>
                  <pic:blipFill>
                    <a:blip r:embed="rId11">
                      <a:extLst>
                        <a:ext uri="{28A0092B-C50C-407E-A947-70E740481C1C}">
                          <a14:useLocalDpi xmlns:a14="http://schemas.microsoft.com/office/drawing/2010/main" val="0"/>
                        </a:ext>
                      </a:extLst>
                    </a:blip>
                    <a:stretch>
                      <a:fillRect/>
                    </a:stretch>
                  </pic:blipFill>
                  <pic:spPr>
                    <a:xfrm>
                      <a:off x="0" y="0"/>
                      <a:ext cx="5760000" cy="3851883"/>
                    </a:xfrm>
                    <a:prstGeom prst="rect">
                      <a:avLst/>
                    </a:prstGeom>
                  </pic:spPr>
                </pic:pic>
              </a:graphicData>
            </a:graphic>
          </wp:inline>
        </w:drawing>
      </w:r>
    </w:p>
    <w:p w:rsidR="0057710F" w:rsidRDefault="0057710F" w:rsidP="0057710F">
      <w:pPr>
        <w:pStyle w:val="Text"/>
      </w:pPr>
      <w:r w:rsidRPr="0057710F">
        <w:t xml:space="preserve">Oprócz talii do grania, niezbędne będzie coś do śledzenia punktów życia swojego i przeciwnika. Jedni używają w tym celu kostki dwudziestościennej, inni </w:t>
      </w:r>
      <w:proofErr w:type="spellStart"/>
      <w:r w:rsidRPr="0057710F">
        <w:t>smartfona</w:t>
      </w:r>
      <w:proofErr w:type="spellEnd"/>
      <w:r w:rsidRPr="0057710F">
        <w:t xml:space="preserve"> z dedykowaną </w:t>
      </w:r>
      <w:proofErr w:type="spellStart"/>
      <w:r w:rsidRPr="0057710F">
        <w:t>appką</w:t>
      </w:r>
      <w:proofErr w:type="spellEnd"/>
      <w:r w:rsidRPr="0057710F">
        <w:t xml:space="preserve">, a ja wolę tradycyjną kartkę i długopis. Przed wszystkim dlatego, że w razie wątpliwości można </w:t>
      </w:r>
      <w:proofErr w:type="gramStart"/>
      <w:r w:rsidRPr="0057710F">
        <w:t>prześledzić</w:t>
      </w:r>
      <w:proofErr w:type="gramEnd"/>
      <w:r w:rsidRPr="0057710F">
        <w:t xml:space="preserve"> jak zmieniał się poziom życia danego gracza. Do kompletu wyposażenia turniejowego (a i w grze towarzyskiej również się przydają) należy dopisać zwykłe kostki oraz znaczniki. Bardzo często będziemy musieli położyć </w:t>
      </w:r>
      <w:proofErr w:type="spellStart"/>
      <w:r w:rsidRPr="0057710F">
        <w:t>counter</w:t>
      </w:r>
      <w:proofErr w:type="spellEnd"/>
      <w:r w:rsidRPr="0057710F">
        <w:t xml:space="preserve"> na kontrolowanej kreaturze, aby oznaczyć jego dodatkowe punkty życia i ataku, albo też położyć na polu bitwy </w:t>
      </w:r>
      <w:proofErr w:type="spellStart"/>
      <w:r w:rsidRPr="0057710F">
        <w:t>token</w:t>
      </w:r>
      <w:proofErr w:type="spellEnd"/>
      <w:r w:rsidRPr="0057710F">
        <w:t xml:space="preserve"> symbolizujący stwora.</w:t>
      </w:r>
    </w:p>
    <w:p w:rsidR="0057710F" w:rsidRPr="0057710F" w:rsidRDefault="0057710F" w:rsidP="0057710F">
      <w:pPr>
        <w:pStyle w:val="Text"/>
      </w:pPr>
      <w:r w:rsidRPr="0057710F">
        <w:t xml:space="preserve">Na koniec wspomnę, że aby wystartować w turnieju sankcjonowanym przez </w:t>
      </w:r>
      <w:proofErr w:type="spellStart"/>
      <w:r w:rsidRPr="0057710F">
        <w:t>Wizards</w:t>
      </w:r>
      <w:proofErr w:type="spellEnd"/>
      <w:r w:rsidRPr="0057710F">
        <w:t xml:space="preserve"> of the </w:t>
      </w:r>
      <w:proofErr w:type="spellStart"/>
      <w:r w:rsidRPr="0057710F">
        <w:t>Coast</w:t>
      </w:r>
      <w:proofErr w:type="spellEnd"/>
      <w:r w:rsidRPr="0057710F">
        <w:t xml:space="preserve"> należy posiadać numer DCI. Coś w rodzaju identyfikatora, który zostaje wprowadzony do centralnej bazy danych i przypisany do naszego konta gracza. Mając tenże numerek będziemy mogli wystartować w dowolnym turnieju </w:t>
      </w:r>
      <w:proofErr w:type="spellStart"/>
      <w:r w:rsidRPr="0057710F">
        <w:t>medżika</w:t>
      </w:r>
      <w:proofErr w:type="spellEnd"/>
      <w:r w:rsidRPr="0057710F">
        <w:t xml:space="preserve"> w dowolnym miejscu na świecie. Można go wyrobić przed każdym turniejem, gdyż organizator zawsze ma jakąś pulę do przydzielenia nowym graczom. Rejestrację nowego DCI należy dokończyć po powrocie do domu, tworząc konto w serwisie </w:t>
      </w:r>
      <w:proofErr w:type="spellStart"/>
      <w:r w:rsidRPr="0057710F">
        <w:t>Wizardsów</w:t>
      </w:r>
      <w:proofErr w:type="spellEnd"/>
      <w:r w:rsidRPr="0057710F">
        <w:t xml:space="preserve"> i łącząc z nim otrzymany numer. To tyle na dziś, a w kolejnym odcinku przyjrzymy się turniejom </w:t>
      </w:r>
      <w:proofErr w:type="spellStart"/>
      <w:r w:rsidRPr="0057710F">
        <w:t>limited</w:t>
      </w:r>
      <w:proofErr w:type="spellEnd"/>
      <w:r w:rsidRPr="0057710F">
        <w:t>.</w:t>
      </w:r>
    </w:p>
    <w:sectPr w:rsidR="0057710F" w:rsidRPr="0057710F" w:rsidSect="009D3758">
      <w:footerReference w:type="default" r:id="rId12"/>
      <w:pgSz w:w="11907" w:h="16839" w:code="9"/>
      <w:pgMar w:top="1080" w:right="864" w:bottom="158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4BB" w:rsidRDefault="002824BB">
      <w:pPr>
        <w:spacing w:line="240" w:lineRule="auto"/>
      </w:pPr>
      <w:r>
        <w:separator/>
      </w:r>
    </w:p>
  </w:endnote>
  <w:endnote w:type="continuationSeparator" w:id="0">
    <w:p w:rsidR="002824BB" w:rsidRDefault="00282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rsidR="008D6335" w:rsidRDefault="000E0CD7" w:rsidP="005655DD">
        <w:pPr>
          <w:pStyle w:val="Footer"/>
        </w:pPr>
        <w:r>
          <w:rPr>
            <w:lang w:val="en-GB" w:bidi="en-GB"/>
          </w:rPr>
          <w:fldChar w:fldCharType="begin"/>
        </w:r>
        <w:r>
          <w:rPr>
            <w:lang w:val="en-GB" w:bidi="en-GB"/>
          </w:rPr>
          <w:instrText xml:space="preserve"> PAGE   \* MERGEFORMAT </w:instrText>
        </w:r>
        <w:r>
          <w:rPr>
            <w:lang w:val="en-GB" w:bidi="en-GB"/>
          </w:rPr>
          <w:fldChar w:fldCharType="separate"/>
        </w:r>
        <w:r w:rsidR="007B5688">
          <w:rPr>
            <w:noProof/>
            <w:lang w:val="en-GB" w:bidi="en-GB"/>
          </w:rPr>
          <w:t>1</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4BB" w:rsidRDefault="002824BB">
      <w:pPr>
        <w:spacing w:line="240" w:lineRule="auto"/>
      </w:pPr>
      <w:r>
        <w:separator/>
      </w:r>
    </w:p>
  </w:footnote>
  <w:footnote w:type="continuationSeparator" w:id="0">
    <w:p w:rsidR="002824BB" w:rsidRDefault="002824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107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10"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521FA"/>
    <w:multiLevelType w:val="hybridMultilevel"/>
    <w:tmpl w:val="61B82BCE"/>
    <w:lvl w:ilvl="0" w:tplc="50E6EB10">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10"/>
  </w:num>
  <w:num w:numId="4">
    <w:abstractNumId w:val="9"/>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9"/>
    <w:lvlOverride w:ilvl="0">
      <w:startOverride w:val="1"/>
    </w:lvlOverride>
  </w:num>
  <w:num w:numId="15">
    <w:abstractNumId w:val="9"/>
  </w:num>
  <w:num w:numId="16">
    <w:abstractNumId w:val="1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0F"/>
    <w:rsid w:val="00030DB3"/>
    <w:rsid w:val="000E0CD7"/>
    <w:rsid w:val="000F2487"/>
    <w:rsid w:val="00217D88"/>
    <w:rsid w:val="00251481"/>
    <w:rsid w:val="002824BB"/>
    <w:rsid w:val="002E38E0"/>
    <w:rsid w:val="002F5AD5"/>
    <w:rsid w:val="003363DA"/>
    <w:rsid w:val="003C686B"/>
    <w:rsid w:val="00413F48"/>
    <w:rsid w:val="0042248E"/>
    <w:rsid w:val="004A6047"/>
    <w:rsid w:val="005153BD"/>
    <w:rsid w:val="005655DD"/>
    <w:rsid w:val="0057710F"/>
    <w:rsid w:val="006D2E66"/>
    <w:rsid w:val="00744D61"/>
    <w:rsid w:val="00747938"/>
    <w:rsid w:val="007775F7"/>
    <w:rsid w:val="007B5688"/>
    <w:rsid w:val="00822BB8"/>
    <w:rsid w:val="008D6335"/>
    <w:rsid w:val="008F137B"/>
    <w:rsid w:val="00960014"/>
    <w:rsid w:val="009B560E"/>
    <w:rsid w:val="009C7A3B"/>
    <w:rsid w:val="009D3758"/>
    <w:rsid w:val="00C013A5"/>
    <w:rsid w:val="00C23C90"/>
    <w:rsid w:val="00EA3C6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1E610"/>
  <w15:chartTrackingRefBased/>
  <w15:docId w15:val="{9A9A72EC-016A-4749-AA8B-689804F6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38E0"/>
    <w:pPr>
      <w:spacing w:before="360" w:after="0"/>
      <w:jc w:val="both"/>
    </w:pPr>
    <w:rPr>
      <w:rFonts w:ascii="Verdana" w:hAnsi="Verdana"/>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5655DD"/>
    <w:pPr>
      <w:keepNext/>
      <w:keepLines/>
      <w:spacing w:before="40"/>
      <w:outlineLvl w:val="1"/>
    </w:pPr>
    <w:rPr>
      <w:rFonts w:eastAsiaTheme="majorEastAsia"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B5688"/>
    <w:pPr>
      <w:pBdr>
        <w:bottom w:val="single" w:sz="48" w:space="22" w:color="FF7A00" w:themeColor="accent1"/>
      </w:pBdr>
      <w:spacing w:after="400" w:line="240" w:lineRule="auto"/>
      <w:contextualSpacing/>
      <w:jc w:val="left"/>
    </w:pPr>
    <w:rPr>
      <w:rFonts w:eastAsiaTheme="majorEastAsia" w:cstheme="majorBidi"/>
      <w:b/>
      <w:color w:val="454541" w:themeColor="text2" w:themeTint="E6"/>
      <w:kern w:val="28"/>
      <w:sz w:val="60"/>
      <w:szCs w:val="56"/>
    </w:rPr>
  </w:style>
  <w:style w:type="character" w:customStyle="1" w:styleId="TitleChar">
    <w:name w:val="Title Char"/>
    <w:basedOn w:val="DefaultParagraphFont"/>
    <w:link w:val="Title"/>
    <w:uiPriority w:val="1"/>
    <w:rsid w:val="007B5688"/>
    <w:rPr>
      <w:rFonts w:ascii="Verdana" w:eastAsiaTheme="majorEastAsia" w:hAnsi="Verdana"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3363DA"/>
    <w:pPr>
      <w:spacing w:line="240" w:lineRule="auto"/>
      <w:jc w:val="right"/>
    </w:pPr>
  </w:style>
  <w:style w:type="character" w:customStyle="1" w:styleId="FooterChar">
    <w:name w:val="Footer Char"/>
    <w:basedOn w:val="DefaultParagraphFont"/>
    <w:link w:val="Footer"/>
    <w:uiPriority w:val="99"/>
    <w:rsid w:val="003363DA"/>
    <w:rPr>
      <w:rFonts w:ascii="Verdana" w:hAnsi="Verdana"/>
    </w:rPr>
  </w:style>
  <w:style w:type="character" w:customStyle="1" w:styleId="Heading2Char">
    <w:name w:val="Heading 2 Char"/>
    <w:basedOn w:val="DefaultParagraphFont"/>
    <w:link w:val="Heading2"/>
    <w:uiPriority w:val="9"/>
    <w:rsid w:val="005655DD"/>
    <w:rPr>
      <w:rFonts w:ascii="Verdana" w:eastAsiaTheme="majorEastAsia" w:hAnsi="Verdana" w:cstheme="majorBidi"/>
      <w:color w:val="BF5B00" w:themeColor="accent1" w:themeShade="BF"/>
      <w:sz w:val="26"/>
      <w:szCs w:val="26"/>
    </w:rPr>
  </w:style>
  <w:style w:type="paragraph" w:customStyle="1" w:styleId="Lead">
    <w:name w:val="Lead"/>
    <w:basedOn w:val="Normal"/>
    <w:qFormat/>
    <w:rsid w:val="005655DD"/>
    <w:rPr>
      <w:b/>
      <w:lang w:val="pl-PL"/>
    </w:rPr>
  </w:style>
  <w:style w:type="paragraph" w:styleId="NormalWeb">
    <w:name w:val="Normal (Web)"/>
    <w:basedOn w:val="Normal"/>
    <w:uiPriority w:val="99"/>
    <w:semiHidden/>
    <w:unhideWhenUsed/>
    <w:rsid w:val="00822BB8"/>
    <w:pPr>
      <w:spacing w:before="100" w:beforeAutospacing="1" w:after="100" w:afterAutospacing="1" w:line="240" w:lineRule="auto"/>
      <w:jc w:val="left"/>
    </w:pPr>
    <w:rPr>
      <w:rFonts w:ascii="Times New Roman" w:hAnsi="Times New Roman" w:cs="Times New Roman"/>
      <w:color w:val="auto"/>
      <w:lang w:val="en-GB" w:eastAsia="zh-CN"/>
    </w:rPr>
  </w:style>
  <w:style w:type="paragraph" w:customStyle="1" w:styleId="Image">
    <w:name w:val="Image"/>
    <w:basedOn w:val="Normal"/>
    <w:qFormat/>
    <w:rsid w:val="00C23C90"/>
    <w:pPr>
      <w:jc w:val="center"/>
    </w:pPr>
    <w:rPr>
      <w:noProof/>
      <w:lang w:val="en-GB" w:eastAsia="zh-CN"/>
    </w:rPr>
  </w:style>
  <w:style w:type="paragraph" w:customStyle="1" w:styleId="Text">
    <w:name w:val="Text"/>
    <w:basedOn w:val="Normal"/>
    <w:qFormat/>
    <w:rsid w:val="005655DD"/>
    <w:pPr>
      <w:ind w:firstLine="720"/>
    </w:pPr>
    <w:rPr>
      <w:lang w:val="pl-PL"/>
    </w:rPr>
  </w:style>
  <w:style w:type="paragraph" w:customStyle="1" w:styleId="Bullet">
    <w:name w:val="Bullet"/>
    <w:basedOn w:val="Normal"/>
    <w:qFormat/>
    <w:rsid w:val="002E38E0"/>
    <w:pPr>
      <w:numPr>
        <w:numId w:val="18"/>
      </w:numPr>
      <w:spacing w:before="0"/>
      <w:ind w:left="714" w:hanging="357"/>
    </w:pPr>
    <w:rPr>
      <w:lang w:val="pl-PL" w:eastAsia="zh-CN"/>
    </w:rPr>
  </w:style>
  <w:style w:type="character" w:styleId="Hyperlink">
    <w:name w:val="Hyperlink"/>
    <w:basedOn w:val="DefaultParagraphFont"/>
    <w:uiPriority w:val="99"/>
    <w:unhideWhenUsed/>
    <w:rsid w:val="0057710F"/>
    <w:rPr>
      <w:color w:val="34B6C3" w:themeColor="hyperlink"/>
      <w:u w:val="single"/>
    </w:rPr>
  </w:style>
  <w:style w:type="character" w:styleId="UnresolvedMention">
    <w:name w:val="Unresolved Mention"/>
    <w:basedOn w:val="DefaultParagraphFont"/>
    <w:uiPriority w:val="99"/>
    <w:rsid w:val="005771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38350">
      <w:bodyDiv w:val="1"/>
      <w:marLeft w:val="0"/>
      <w:marRight w:val="0"/>
      <w:marTop w:val="0"/>
      <w:marBottom w:val="0"/>
      <w:divBdr>
        <w:top w:val="none" w:sz="0" w:space="0" w:color="auto"/>
        <w:left w:val="none" w:sz="0" w:space="0" w:color="auto"/>
        <w:bottom w:val="none" w:sz="0" w:space="0" w:color="auto"/>
        <w:right w:val="none" w:sz="0" w:space="0" w:color="auto"/>
      </w:divBdr>
    </w:div>
    <w:div w:id="612203887">
      <w:bodyDiv w:val="1"/>
      <w:marLeft w:val="0"/>
      <w:marRight w:val="0"/>
      <w:marTop w:val="0"/>
      <w:marBottom w:val="0"/>
      <w:divBdr>
        <w:top w:val="none" w:sz="0" w:space="0" w:color="auto"/>
        <w:left w:val="none" w:sz="0" w:space="0" w:color="auto"/>
        <w:bottom w:val="none" w:sz="0" w:space="0" w:color="auto"/>
        <w:right w:val="none" w:sz="0" w:space="0" w:color="auto"/>
      </w:divBdr>
      <w:divsChild>
        <w:div w:id="1956398916">
          <w:marLeft w:val="0"/>
          <w:marRight w:val="0"/>
          <w:marTop w:val="0"/>
          <w:marBottom w:val="0"/>
          <w:divBdr>
            <w:top w:val="none" w:sz="0" w:space="0" w:color="auto"/>
            <w:left w:val="none" w:sz="0" w:space="0" w:color="auto"/>
            <w:bottom w:val="none" w:sz="0" w:space="0" w:color="auto"/>
            <w:right w:val="none" w:sz="0" w:space="0" w:color="auto"/>
          </w:divBdr>
          <w:divsChild>
            <w:div w:id="5194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155">
      <w:bodyDiv w:val="1"/>
      <w:marLeft w:val="0"/>
      <w:marRight w:val="0"/>
      <w:marTop w:val="0"/>
      <w:marBottom w:val="0"/>
      <w:divBdr>
        <w:top w:val="none" w:sz="0" w:space="0" w:color="auto"/>
        <w:left w:val="none" w:sz="0" w:space="0" w:color="auto"/>
        <w:bottom w:val="none" w:sz="0" w:space="0" w:color="auto"/>
        <w:right w:val="none" w:sz="0" w:space="0" w:color="auto"/>
      </w:divBdr>
    </w:div>
    <w:div w:id="2068525248">
      <w:bodyDiv w:val="1"/>
      <w:marLeft w:val="0"/>
      <w:marRight w:val="0"/>
      <w:marTop w:val="0"/>
      <w:marBottom w:val="0"/>
      <w:divBdr>
        <w:top w:val="none" w:sz="0" w:space="0" w:color="auto"/>
        <w:left w:val="none" w:sz="0" w:space="0" w:color="auto"/>
        <w:bottom w:val="none" w:sz="0" w:space="0" w:color="auto"/>
        <w:right w:val="none" w:sz="0" w:space="0" w:color="auto"/>
      </w:divBdr>
    </w:div>
    <w:div w:id="21000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tor.wizard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www.mtgnews.pl/foru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l/Documents/Pixel/pixelpost/assets/doc/article.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article.dotx</Template>
  <TotalTime>9</TotalTime>
  <Pages>3</Pages>
  <Words>495</Words>
  <Characters>2966</Characters>
  <Application>Microsoft Office Word</Application>
  <DocSecurity>0</DocSecurity>
  <Lines>53</Lines>
  <Paragraphs>10</Paragraphs>
  <ScaleCrop>false</ScaleCrop>
  <HeadingPairs>
    <vt:vector size="2" baseType="variant">
      <vt:variant>
        <vt:lpstr>Title</vt:lpstr>
      </vt:variant>
      <vt:variant>
        <vt:i4>1</vt:i4>
      </vt:variant>
    </vt:vector>
  </HeadingPairs>
  <TitlesOfParts>
    <vt:vector size="1" baseType="lpstr">
      <vt:lpstr>Magic the Gathering – pierwszy turniej</vt:lpstr>
    </vt:vector>
  </TitlesOfParts>
  <Manager/>
  <Company/>
  <LinksUpToDate>false</LinksUpToDate>
  <CharactersWithSpaces>3451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the Gathering – pierwszy turniej</dc:title>
  <dc:subject>Artykuł z pixelpost.pl</dc:subject>
  <dc:creator>Michal Klimek</dc:creator>
  <cp:keywords>Karcianki, Magic the Gathering, RPG, Wizards of the Coast</cp:keywords>
  <dc:description/>
  <cp:lastModifiedBy>Michal Klimek</cp:lastModifiedBy>
  <cp:revision>5</cp:revision>
  <cp:lastPrinted>2018-03-17T11:09:00Z</cp:lastPrinted>
  <dcterms:created xsi:type="dcterms:W3CDTF">2018-03-15T21:57:00Z</dcterms:created>
  <dcterms:modified xsi:type="dcterms:W3CDTF">2018-03-17T11:09:00Z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