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49" w:rsidRDefault="001F7A49" w:rsidP="001F7A49">
      <w:r>
        <w:t>Программный метод государственного управления основывается на целевом характере как на главном принципе. То есть в ходе разработки программы ставится несколько целей, который требуется достичь в определённые моменты времени. Цели отражают реально имеющуюся картину региональной экономики в целом и сферы малого предпринимательства в частности на момент разработки документации.</w:t>
      </w:r>
    </w:p>
    <w:p w:rsidR="001F7A49" w:rsidRDefault="001F7A49" w:rsidP="001F7A49">
      <w:pPr>
        <w:rPr>
          <w:lang w:val="en-US"/>
        </w:rPr>
      </w:pPr>
      <w:r>
        <w:t>В целевой программе согласно общей методологии разработки должны присутствовать параметры количества и качества. Но существующие региональные целевые программы отличают</w:t>
      </w:r>
      <w:r>
        <w:rPr>
          <w:lang w:val="en-US"/>
        </w:rPr>
        <w:t>:</w:t>
      </w:r>
    </w:p>
    <w:p w:rsidR="001F7A49" w:rsidRPr="001F7A49" w:rsidRDefault="001F7A49" w:rsidP="001F7A49">
      <w:pPr>
        <w:pStyle w:val="a3"/>
        <w:numPr>
          <w:ilvl w:val="0"/>
          <w:numId w:val="1"/>
        </w:numPr>
      </w:pPr>
      <w:r>
        <w:t>формализованная структура</w:t>
      </w:r>
      <w:r>
        <w:rPr>
          <w:lang w:val="en-US"/>
        </w:rPr>
        <w:t>;</w:t>
      </w:r>
    </w:p>
    <w:p w:rsidR="001F7A49" w:rsidRPr="001F7A49" w:rsidRDefault="001F7A49" w:rsidP="001F7A49">
      <w:pPr>
        <w:pStyle w:val="a3"/>
        <w:numPr>
          <w:ilvl w:val="0"/>
          <w:numId w:val="1"/>
        </w:numPr>
      </w:pPr>
      <w:r>
        <w:t>отсутствие количественных и качественных целевых параметров</w:t>
      </w:r>
      <w:r w:rsidRPr="001F7A49">
        <w:t>;</w:t>
      </w:r>
    </w:p>
    <w:p w:rsidR="001F7A49" w:rsidRDefault="001F7A49" w:rsidP="001F7A49">
      <w:pPr>
        <w:pStyle w:val="a3"/>
        <w:numPr>
          <w:ilvl w:val="0"/>
          <w:numId w:val="1"/>
        </w:numPr>
      </w:pPr>
      <w:r>
        <w:t xml:space="preserve">отсутствие анализа как такового существующей экономики, который бы отразил текущее положение дел и обозначил ориентиры. </w:t>
      </w:r>
    </w:p>
    <w:p w:rsidR="0082275E" w:rsidRDefault="0082275E" w:rsidP="0082275E">
      <w:r>
        <w:t>Исходя из этого, текущие целевые программы разрабатываются с нарушением методологии и не имеют чётко обозначенных точек старта и финиша программы виде конкретных цифр. Исполнителям не на что ориентироваться и легко отчитаться о проделанной работе.</w:t>
      </w:r>
    </w:p>
    <w:p w:rsidR="0082275E" w:rsidRDefault="0082275E" w:rsidP="0082275E">
      <w:pPr>
        <w:rPr>
          <w:lang w:val="en-US"/>
        </w:rPr>
      </w:pPr>
      <w:r>
        <w:t>Только непрерывное обеспечение ресурсами позволяет эффективно использовать программно-целевой метод как метод государственного управления малым предпринимательством или иной сферой. Функционирование современной экономической модели всего мира, а не только Российской Федерации, построено на обеспечении ресурсами. Ими выступают</w:t>
      </w:r>
      <w:r>
        <w:rPr>
          <w:lang w:val="en-US"/>
        </w:rPr>
        <w:t>:</w:t>
      </w:r>
    </w:p>
    <w:p w:rsidR="0082275E" w:rsidRPr="0082275E" w:rsidRDefault="0082275E" w:rsidP="0082275E">
      <w:pPr>
        <w:pStyle w:val="a3"/>
        <w:numPr>
          <w:ilvl w:val="0"/>
          <w:numId w:val="2"/>
        </w:numPr>
      </w:pPr>
      <w:r>
        <w:t>квалифицированные кадры</w:t>
      </w:r>
      <w:r>
        <w:rPr>
          <w:lang w:val="en-US"/>
        </w:rPr>
        <w:t>;</w:t>
      </w:r>
    </w:p>
    <w:p w:rsidR="0082275E" w:rsidRPr="0082275E" w:rsidRDefault="0082275E" w:rsidP="0082275E">
      <w:pPr>
        <w:pStyle w:val="a3"/>
        <w:numPr>
          <w:ilvl w:val="0"/>
          <w:numId w:val="2"/>
        </w:numPr>
      </w:pPr>
      <w:r>
        <w:t>финансирование</w:t>
      </w:r>
      <w:r>
        <w:rPr>
          <w:lang w:val="en-US"/>
        </w:rPr>
        <w:t>;</w:t>
      </w:r>
    </w:p>
    <w:p w:rsidR="0082275E" w:rsidRPr="0082275E" w:rsidRDefault="0082275E" w:rsidP="0082275E">
      <w:pPr>
        <w:pStyle w:val="a3"/>
        <w:numPr>
          <w:ilvl w:val="0"/>
          <w:numId w:val="2"/>
        </w:numPr>
      </w:pPr>
      <w:r>
        <w:t>информация</w:t>
      </w:r>
      <w:r>
        <w:rPr>
          <w:lang w:val="en-US"/>
        </w:rPr>
        <w:t>;</w:t>
      </w:r>
    </w:p>
    <w:p w:rsidR="0082275E" w:rsidRDefault="0082275E" w:rsidP="0082275E">
      <w:pPr>
        <w:pStyle w:val="a3"/>
        <w:numPr>
          <w:ilvl w:val="0"/>
          <w:numId w:val="2"/>
        </w:numPr>
      </w:pPr>
      <w:r>
        <w:t xml:space="preserve">остальные </w:t>
      </w:r>
      <w:r w:rsidR="00F91283">
        <w:t>ресурсы</w:t>
      </w:r>
      <w:r>
        <w:t>, которые служат инструментами производства товара или услуги.</w:t>
      </w:r>
    </w:p>
    <w:p w:rsidR="0082275E" w:rsidRDefault="0082275E" w:rsidP="0082275E">
      <w:r>
        <w:t xml:space="preserve">То есть в данном контексте речь идёт о ресурсах как инструментах выполнения, а не как сырье для переработки. Одна </w:t>
      </w:r>
      <w:r w:rsidR="00F91283">
        <w:t>из форм</w:t>
      </w:r>
      <w:bookmarkStart w:id="0" w:name="_GoBack"/>
      <w:bookmarkEnd w:id="0"/>
      <w:r w:rsidR="00F91283">
        <w:t xml:space="preserve"> </w:t>
      </w:r>
      <w:r>
        <w:t>поддержки малого предпринимательства заключается в восполнении ресурсной базы. Однако для этого требуется привлекать значительные средства в экономике государства, а их далеко не всегда хватает.</w:t>
      </w:r>
    </w:p>
    <w:p w:rsidR="0082275E" w:rsidRPr="0082275E" w:rsidRDefault="0082275E" w:rsidP="0082275E">
      <w:r>
        <w:t>Нехватка средств обусловлена следующими факторами</w:t>
      </w:r>
      <w:r w:rsidRPr="0082275E">
        <w:t>:</w:t>
      </w:r>
    </w:p>
    <w:p w:rsidR="0082275E" w:rsidRDefault="0082275E" w:rsidP="0082275E">
      <w:pPr>
        <w:pStyle w:val="a3"/>
        <w:numPr>
          <w:ilvl w:val="0"/>
          <w:numId w:val="3"/>
        </w:numPr>
      </w:pPr>
      <w:r>
        <w:t>Общая нехватка финансов в субъектах Федерации.</w:t>
      </w:r>
    </w:p>
    <w:p w:rsidR="0082275E" w:rsidRDefault="0082275E" w:rsidP="0082275E">
      <w:pPr>
        <w:pStyle w:val="a3"/>
        <w:numPr>
          <w:ilvl w:val="0"/>
          <w:numId w:val="3"/>
        </w:numPr>
      </w:pPr>
      <w:r>
        <w:t xml:space="preserve">Отсутствие устойчивых источников пополнения </w:t>
      </w:r>
      <w:r w:rsidR="005B26D5">
        <w:t>регионального бюджета по причине зависимости от изменений системы Федерального межбюджетного регулирования.</w:t>
      </w:r>
    </w:p>
    <w:p w:rsidR="005B26D5" w:rsidRDefault="005B26D5" w:rsidP="0082275E">
      <w:pPr>
        <w:pStyle w:val="a3"/>
        <w:numPr>
          <w:ilvl w:val="0"/>
          <w:numId w:val="3"/>
        </w:numPr>
      </w:pPr>
      <w:r>
        <w:t>Несовпадение временных рамок программ. Целевые программы рассчитаны на 2-3 года, а бюджет планируется на 1 год.</w:t>
      </w:r>
    </w:p>
    <w:p w:rsidR="005B26D5" w:rsidRDefault="005B26D5" w:rsidP="005B26D5">
      <w:r>
        <w:t>Последний фактор является основным при срыве выполнения целевых программ, поскольку спустя год возникают проблемы с финансированием проектов из-за изменений в бюджете.</w:t>
      </w:r>
    </w:p>
    <w:p w:rsidR="005B26D5" w:rsidRPr="005B26D5" w:rsidRDefault="005B26D5" w:rsidP="005B26D5">
      <w:r>
        <w:t>Современные условия развития экономики диктуют свои требования к обеспечению региональных программ поддержки малого предпринимательства</w:t>
      </w:r>
      <w:r w:rsidRPr="005B26D5">
        <w:t>:</w:t>
      </w:r>
    </w:p>
    <w:p w:rsidR="005B26D5" w:rsidRDefault="009E33DC" w:rsidP="005B26D5">
      <w:pPr>
        <w:pStyle w:val="a3"/>
        <w:numPr>
          <w:ilvl w:val="0"/>
          <w:numId w:val="4"/>
        </w:numPr>
      </w:pPr>
      <w:r>
        <w:t>Планирование бюджета сроком на 3 года.</w:t>
      </w:r>
    </w:p>
    <w:p w:rsidR="009E33DC" w:rsidRDefault="009E33DC" w:rsidP="005B26D5">
      <w:pPr>
        <w:pStyle w:val="a3"/>
        <w:numPr>
          <w:ilvl w:val="0"/>
          <w:numId w:val="4"/>
        </w:numPr>
      </w:pPr>
      <w:r>
        <w:t>Расширение государственно-частного партнёрства для замещения источников финансированию из бюджета.</w:t>
      </w:r>
    </w:p>
    <w:p w:rsidR="009E33DC" w:rsidRDefault="009E33DC" w:rsidP="005B26D5">
      <w:pPr>
        <w:pStyle w:val="a3"/>
        <w:numPr>
          <w:ilvl w:val="0"/>
          <w:numId w:val="4"/>
        </w:numPr>
      </w:pPr>
      <w:r>
        <w:t>Внедрение нефинансовых инструментов материального обеспечения за счёт имущественных отношений.</w:t>
      </w:r>
    </w:p>
    <w:p w:rsidR="009E33DC" w:rsidRDefault="009E33DC" w:rsidP="005B26D5">
      <w:pPr>
        <w:pStyle w:val="a3"/>
        <w:numPr>
          <w:ilvl w:val="0"/>
          <w:numId w:val="4"/>
        </w:numPr>
      </w:pPr>
      <w:r>
        <w:lastRenderedPageBreak/>
        <w:t>Разделение субъектов поддержки по группам в зависимости от требуемой финансовой помощи со стороны государства.</w:t>
      </w:r>
    </w:p>
    <w:p w:rsidR="009E33DC" w:rsidRDefault="009E33DC" w:rsidP="005B26D5">
      <w:pPr>
        <w:pStyle w:val="a3"/>
        <w:numPr>
          <w:ilvl w:val="0"/>
          <w:numId w:val="4"/>
        </w:numPr>
      </w:pPr>
      <w:r>
        <w:t>Поддержка малого предпринимательства в сфере государственных закупок.</w:t>
      </w:r>
    </w:p>
    <w:p w:rsidR="009E33DC" w:rsidRDefault="009E33DC" w:rsidP="005B26D5">
      <w:pPr>
        <w:pStyle w:val="a3"/>
        <w:numPr>
          <w:ilvl w:val="0"/>
          <w:numId w:val="4"/>
        </w:numPr>
      </w:pPr>
      <w:r>
        <w:t>Формирование бюджета, который будет ориентирован на достижение конкретного результата, определённого в числовом выражении и закреплённом в целевой программе.</w:t>
      </w:r>
    </w:p>
    <w:p w:rsidR="009E33DC" w:rsidRDefault="009E33DC" w:rsidP="009E33DC">
      <w:r>
        <w:t>За последние 10 лет в экономике страны произошли структурные изменения. Субъекты хозяйствования малого предпринимательства были вынуждены изменяться ориентируясь на разные форму поддержки государства. Поэтому целесообразен переход к малозатратным формам бюджетной поддержки малого бизнеса.</w:t>
      </w:r>
    </w:p>
    <w:p w:rsidR="00A87506" w:rsidRDefault="009E33DC" w:rsidP="001F7A49">
      <w:r>
        <w:t xml:space="preserve">Такая форма поддержки позволяет выводить итоговый количественный показатель не деньгами, а мерами оказанной помощи в виде практических нужд отдельным группам предпринимателей. Примером такого подхода может служить кооперации мелких организаций со средними и крупными в виде производственных объединений. Наиболее успешный регион в этом отношении г. Москва, где действует Межрегиональный центр промышленной </w:t>
      </w:r>
      <w:r w:rsidR="001F7A49">
        <w:t>с</w:t>
      </w:r>
      <w:r>
        <w:t>убконтрактации и партнёрства.</w:t>
      </w:r>
    </w:p>
    <w:sectPr w:rsidR="00A8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11E82"/>
    <w:multiLevelType w:val="hybridMultilevel"/>
    <w:tmpl w:val="EEF27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909C9"/>
    <w:multiLevelType w:val="hybridMultilevel"/>
    <w:tmpl w:val="0AC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F3FCE"/>
    <w:multiLevelType w:val="hybridMultilevel"/>
    <w:tmpl w:val="FC1A3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B64C0"/>
    <w:multiLevelType w:val="hybridMultilevel"/>
    <w:tmpl w:val="B63ED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49"/>
    <w:rsid w:val="001F7A49"/>
    <w:rsid w:val="005B26D5"/>
    <w:rsid w:val="0082275E"/>
    <w:rsid w:val="009E33DC"/>
    <w:rsid w:val="00A87506"/>
    <w:rsid w:val="00C87BC6"/>
    <w:rsid w:val="00F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EDAD7-E941-429A-9BD0-5B80B693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445</Words>
  <Characters>3305</Characters>
  <Application>Microsoft Office Word</Application>
  <DocSecurity>0</DocSecurity>
  <Lines>60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2017-05-28T06:16:00Z</dcterms:created>
  <dcterms:modified xsi:type="dcterms:W3CDTF">2017-05-28T06:59:00Z</dcterms:modified>
</cp:coreProperties>
</file>