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73" w:rsidRPr="00B13773" w:rsidRDefault="00B13773" w:rsidP="00B13773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3333CC"/>
          <w:sz w:val="24"/>
          <w:szCs w:val="24"/>
          <w:lang w:eastAsia="ru-RU"/>
        </w:rPr>
      </w:pPr>
      <w:r w:rsidRPr="00B13773">
        <w:rPr>
          <w:rFonts w:ascii="Arial" w:eastAsia="Times New Roman" w:hAnsi="Arial" w:cs="Arial"/>
          <w:color w:val="3333CC"/>
          <w:sz w:val="24"/>
          <w:szCs w:val="24"/>
          <w:lang w:eastAsia="ru-RU"/>
        </w:rPr>
        <w:t>Публичная кадастровая карта Тверской области: система фильтров, преимущества и особенности использования</w:t>
      </w:r>
    </w:p>
    <w:p w:rsidR="00B13773" w:rsidRPr="00B13773" w:rsidRDefault="00B13773" w:rsidP="00B13773">
      <w:pPr>
        <w:shd w:val="clear" w:color="auto" w:fill="FFFFFF"/>
        <w:spacing w:after="75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7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Работа с публичной информацией через кадастровую карту Тверской области. Преимущества ресурса для граждан и юридических лиц, особенности работы. Сведения ресурса и его наполнение.</w:t>
      </w:r>
    </w:p>
    <w:p w:rsidR="00B13773" w:rsidRPr="00B13773" w:rsidRDefault="00B13773" w:rsidP="00B13773">
      <w:pPr>
        <w:shd w:val="clear" w:color="auto" w:fill="FFFFFF"/>
        <w:spacing w:after="225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60"/>
          <w:szCs w:val="60"/>
          <w:lang w:eastAsia="ru-RU"/>
        </w:rPr>
      </w:pPr>
      <w:r w:rsidRPr="00B13773">
        <w:rPr>
          <w:rFonts w:ascii="Georgia" w:eastAsia="Times New Roman" w:hAnsi="Georgia" w:cs="Times New Roman"/>
          <w:color w:val="000000"/>
          <w:kern w:val="36"/>
          <w:sz w:val="60"/>
          <w:szCs w:val="60"/>
          <w:lang w:eastAsia="ru-RU"/>
        </w:rPr>
        <w:t>Общественная информация: кадастровая карта Тверской области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Тверская область большой и перспективный регион в плане экономического развития. Но, чтобы субъекту хозяйствования не ошибиться с выбором места ведения бизнеса, ему нужна информация о недвижимости. Её оперативно может предоставить публичная кадастровая карта Тверской области. Ресурс предоставляет систематизированные общедоступные данные заинтересованным лицам.</w:t>
      </w:r>
    </w:p>
    <w:p w:rsidR="00B13773" w:rsidRPr="00B13773" w:rsidRDefault="00B13773" w:rsidP="00B13773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B13773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Работа без обучения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Данные юридического и статистического характера на объекты недвижимости часто требуются юридическим и физическим лицам для принятия решений. Бизнесу нужно знать, какой объект арендовать или купить выгоднее и перспективнее для развития дела. Граждане желают узнать кто будет соседями по участку.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Всем заинтересованным интересна следующая информация: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Расположенные на участке строения.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Площадь участка земли.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Когда земля была зарегистрирована.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Кадастровый номер участка для дальнейшей работы с его информационным полем.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Расположение коммуникаций.</w:t>
      </w:r>
    </w:p>
    <w:p w:rsidR="00B13773" w:rsidRPr="00B13773" w:rsidRDefault="00B13773" w:rsidP="00B13773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Ограничения и обременения прав на недвижимое имущество.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Эти и другие данные пользователям предоставляет публичная кадастровая карта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Росреестра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 Тверской области. Она доступна онлайн для всех, даже из-за рубежа. Достаточно компьютера с актуальной версией браузера, и информация перед пользователем.</w:t>
      </w:r>
    </w:p>
    <w:p w:rsidR="00B13773" w:rsidRPr="00B13773" w:rsidRDefault="00B13773" w:rsidP="00B13773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13773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Продуманная система фильтров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Данных очень много отображается на карте. Чтобы начать ею пользоваться достаточно зайти на сайт. Перед пользователем будет обычная карта, наподобие Google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Maps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 или Яндекс Карты, но с наложением большого количества слоёв.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lastRenderedPageBreak/>
        <w:t>Каждый информационный слоя — это база данных. Одновременно могут отображаться один или несколько слоёв — зависит от выбора пользователя. Земли делятся на категории и согласно им можно отфильтровывать данные.</w:t>
      </w:r>
    </w:p>
    <w:p w:rsidR="00B13773" w:rsidRPr="00B13773" w:rsidRDefault="00B13773" w:rsidP="00B13773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</w:pPr>
      <w:r w:rsidRPr="00B13773">
        <w:rPr>
          <w:rFonts w:ascii="Georgia" w:eastAsia="Times New Roman" w:hAnsi="Georgia" w:cs="Times New Roman"/>
          <w:color w:val="000000"/>
          <w:sz w:val="45"/>
          <w:szCs w:val="45"/>
          <w:lang w:eastAsia="ru-RU"/>
        </w:rPr>
        <w:t>Преимущества и особенности пользования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Информация юридического и статистического характера о недвижимости доступна для заинтересованных лиц онлайн круглосуточно. Такая форма доступа работает с 2010 года. Ресурс позволяет не только найти информацию по любому земельному участку, но и посмотреть его особенности по спутниковым снимкам, а также на топографических картах.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Пользователи могут оценить географическое положение недвижимости не выходя из дома. Границы участка выделены ярким цветом, поэтому легко увидеть межевание в пределах посёлка даже при мелком масштабе. Важным преимуществом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Росреестра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 по Тверской области: публичная кадастровая карта предоставляет сведения о соседях. Это важно при покупке недвижимости. Покупателям не придётся расспрашивать местных жителей о собственниках соседствующей земли. Время и деньги тоже будут сэкономлены.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Ресурсом постоянно пользуются кадастровые инженеры и геодезисты. Это профессионалы, которые не только занимаются информационным наполнением карты, но и пользуются информацией в справочных целях. Юристы и оценщики получают данные о целевом назначении отдельных земель, их собственниках, сервитутах и ограничениях. Каждый пользователь найдёт для себя важные данные, которые упростят жизнь.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Преимущества информационного ресурса: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Предоставление достоверных и актуальных сведений.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Постоянное обновление данных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Росреестром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Информацию может получить каждый желающий.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Карта местности высокого качества.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Множество фильтруемых информационных слоёв.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Удобный интерфейс.</w:t>
      </w:r>
    </w:p>
    <w:p w:rsidR="00B13773" w:rsidRPr="00B13773" w:rsidRDefault="00B13773" w:rsidP="00B13773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Круглосуточный доступ к данным.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Прямая ссылка из информационной карточки объектам на осуществление регистрационных или иных действий на сайте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Росреестра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.</w:t>
      </w:r>
    </w:p>
    <w:p w:rsidR="00B13773" w:rsidRPr="00B13773" w:rsidRDefault="00B13773" w:rsidP="00B13773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</w:pPr>
      <w:r w:rsidRPr="00B13773">
        <w:rPr>
          <w:rFonts w:ascii="Georgia" w:eastAsia="Times New Roman" w:hAnsi="Georgia" w:cs="Times New Roman"/>
          <w:color w:val="000000"/>
          <w:sz w:val="30"/>
          <w:szCs w:val="30"/>
          <w:lang w:eastAsia="ru-RU"/>
        </w:rPr>
        <w:t>Актуальность полезных данных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Комплекс продуманных решений позволил ресурсу вобрать в себя массу разносторонних данных. Картографические, электронный и съёмочные данные — всё в одном месте. Сбор данных ведётся постоянно благодаря работе </w:t>
      </w: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Росреестра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, который занимается наполнением ЕГРН. Пользователи получают в своё распоряжение актуальный материал.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lastRenderedPageBreak/>
        <w:t>Обновление происходит в связи с осуществлением регистрационных действий на объекты недвижимого имущества. К таким действия относятся:</w:t>
      </w:r>
    </w:p>
    <w:p w:rsidR="00B13773" w:rsidRPr="00B13773" w:rsidRDefault="00B13773" w:rsidP="00B1377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Переход права собственности.</w:t>
      </w:r>
    </w:p>
    <w:p w:rsidR="00B13773" w:rsidRPr="00B13773" w:rsidRDefault="00B13773" w:rsidP="00B1377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Кадастровая переоценка.</w:t>
      </w:r>
    </w:p>
    <w:p w:rsidR="00B13773" w:rsidRPr="00B13773" w:rsidRDefault="00B13773" w:rsidP="00B1377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Изменение площади в связи с реконструкцией.</w:t>
      </w:r>
    </w:p>
    <w:p w:rsidR="00B13773" w:rsidRPr="00B13773" w:rsidRDefault="00B13773" w:rsidP="00B1377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proofErr w:type="spellStart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Вввод</w:t>
      </w:r>
      <w:proofErr w:type="spellEnd"/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 xml:space="preserve"> в эксплуатацию новых строений.</w:t>
      </w:r>
    </w:p>
    <w:p w:rsidR="00B13773" w:rsidRPr="00B13773" w:rsidRDefault="00B13773" w:rsidP="00B13773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Раздел и объединение земельных участков.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Документальное подтверждение вышеназванных действий происходит через Росреестр. Организация ведёт ЕГРН, который и служит источником формирования информационных полей карты.</w:t>
      </w:r>
    </w:p>
    <w:p w:rsidR="00B13773" w:rsidRPr="00B13773" w:rsidRDefault="00B13773" w:rsidP="00B13773">
      <w:p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</w:pPr>
      <w:r w:rsidRPr="00B13773">
        <w:rPr>
          <w:rFonts w:ascii="Helvetica" w:eastAsia="Times New Roman" w:hAnsi="Helvetica" w:cs="Times New Roman"/>
          <w:color w:val="555555"/>
          <w:sz w:val="24"/>
          <w:szCs w:val="24"/>
          <w:lang w:eastAsia="ru-RU"/>
        </w:rPr>
        <w:t>Сведения носят ознакомительный характер. То есть официально использовать их не получиться. Чтобы получить документ с информацией об объекте недвижимости, нужно оформить заявление на предоставление сведений через электронный документ. Прямая ссылка имеется в описании к каждому объекту. Для оформления заявления понадобится не более двух минут.</w:t>
      </w:r>
    </w:p>
    <w:p w:rsidR="003642C9" w:rsidRPr="00B13773" w:rsidRDefault="003642C9" w:rsidP="00B13773">
      <w:bookmarkStart w:id="0" w:name="_GoBack"/>
      <w:bookmarkEnd w:id="0"/>
    </w:p>
    <w:sectPr w:rsidR="003642C9" w:rsidRPr="00B1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0CF4"/>
    <w:multiLevelType w:val="multilevel"/>
    <w:tmpl w:val="393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21451F"/>
    <w:multiLevelType w:val="multilevel"/>
    <w:tmpl w:val="0464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823E2"/>
    <w:multiLevelType w:val="multilevel"/>
    <w:tmpl w:val="A64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C9"/>
    <w:rsid w:val="003312D8"/>
    <w:rsid w:val="003642C9"/>
    <w:rsid w:val="00B1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FF4FD-8ACD-42E3-8587-F6D62BFC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31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2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347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890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679</Words>
  <Characters>4187</Characters>
  <Application>Microsoft Office Word</Application>
  <DocSecurity>0</DocSecurity>
  <Lines>99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2018-03-16T19:12:00Z</dcterms:created>
  <dcterms:modified xsi:type="dcterms:W3CDTF">2018-03-16T21:25:00Z</dcterms:modified>
</cp:coreProperties>
</file>