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Draft</w:t>
      </w:r>
      <w:r>
        <w:rPr>
          <w:b/>
          <w:bCs/>
        </w:rPr>
        <w:t>_V2</w:t>
      </w:r>
      <w:r>
        <w:rPr>
          <w:b/>
          <w:bCs/>
        </w:rPr>
        <w:t>: Cognitive Mind Meets the Artificial: How AI Reshapes Survey Research Through the Lens of Response Process Theory</w:t>
      </w:r>
    </w:p>
    <w:p>
      <w:pPr>
        <w:pStyle w:val="Normal"/>
        <w:rPr/>
      </w:pPr>
      <w:r>
        <w:rPr/>
      </w:r>
    </w:p>
    <w:p>
      <w:pPr>
        <w:pStyle w:val="Normal"/>
        <w:rPr/>
      </w:pPr>
      <w:r>
        <w:rPr>
          <w:b/>
          <w:bCs/>
        </w:rPr>
        <w:t>Background and Significance:</w:t>
      </w:r>
      <w:r>
        <w:rPr/>
        <w:t xml:space="preserve"> The integration of generative artificial intelligence (AI) into survey research represents an opportunity to expand on methodological frameworks that have guided the field for decades. Recent studies have documented generative AI's utility in questionnaire design (Padgett et al., 2024), </w:t>
      </w:r>
      <w:bookmarkStart w:id="0" w:name="_Hlk203990912"/>
      <w:r>
        <w:rPr/>
        <w:t xml:space="preserve">conversational interviewing and probing </w:t>
      </w:r>
      <w:bookmarkEnd w:id="0"/>
      <w:r>
        <w:rPr/>
        <w:t xml:space="preserve">(Jacobsen et al., 2025; Wong et al., 2025), and open text coding or analysis (Mellon et al., 2024; Tai et al., 2024). Moreover, the American Association for Public Opinion Research (AAPOR) has acknowledged this transformation and has issued best practices for using generative AI that emphasize human oversight, transparency, and validation (AAPOR, 2024). </w:t>
      </w:r>
    </w:p>
    <w:p>
      <w:pPr>
        <w:pStyle w:val="Normal"/>
        <w:rPr/>
      </w:pPr>
      <w:r>
        <w:rPr/>
        <w:t xml:space="preserve">The current literature reveals a striking disconnect between rapid technological adoption and theoretical understanding. Practitioners have eagerly implemented </w:t>
      </w:r>
      <w:bookmarkStart w:id="1" w:name="_Hlk203990854"/>
      <w:r>
        <w:rPr/>
        <w:t xml:space="preserve">AI for coding open-ended responses (Wang et al., 2024; Xiao et al., 2023), improving questionnaire design (NORC, 2024), and generating LLM synthetic responses representing public opinion </w:t>
      </w:r>
      <w:bookmarkEnd w:id="1"/>
      <w:r>
        <w:rPr/>
        <w:t xml:space="preserve">(Jansen et al., 2024), yet these applications proceed without a coherent framework for understanding how AI fundamentally alters the cognitive processes underlying survey response. The urgency of this theoretical reckoning becomes apparent when considering recent evidence of respondents using generative AI to complete surveys. Few studies have documented evidence on the emergence of participants employing large language models (LLMs) to answer open-ended questions, suggesting the potential for masking social variation and homogenizing responses (Meem et al., 2024, Zhang et al., 2025). This phenomenon extends beyond mere methodological concern—it fundamentally questions what we measure when respondents delegate cognitive tasks to AI. </w:t>
      </w:r>
    </w:p>
    <w:p>
      <w:pPr>
        <w:pStyle w:val="Normal"/>
        <w:rPr/>
      </w:pPr>
      <w:r>
        <w:rPr/>
        <w:t>This commentary argues that the integration of AI into survey research necessitates a reconceptualization of Tourangeau's (1984, 2000) four-stage cognitive response model, which has served as the theoretical backbone for understanding survey response. Drawing on recent empirical findings about AI's role in survey design, administration, and response generation, we demonstrate here the need for new theoretical frameworks that account for distributed cognition. Without such frameworks, we are likely to risk building an empirically rich but theoretically impoverished understanding of how AI is reshaping the fundamental act of asking and answering questions. We focus primarily on surveys where respondents might feasibly use AI assistance in online self-administered questionnaires. Similarly, while this commentary emphasizes challenges, it acknowledges that AI offers legitimate benefits for questionnaire translation (Metheney &amp; Yehle, 2025) and coding efficiency (Mellon et al., 2024; Wang et al., 2024). The goal is not to discourage AI adoption but to ensure theoretical frameworks keep pace with technological change.</w:t>
      </w:r>
    </w:p>
    <w:p>
      <w:pPr>
        <w:pStyle w:val="Normal"/>
        <w:rPr>
          <w:b/>
          <w:bCs/>
        </w:rPr>
      </w:pPr>
      <w:r>
        <w:rPr>
          <w:b/>
          <w:bCs/>
        </w:rPr>
        <w:t>AI's Contribution to and Disruption of the Four-Stage Model in Health Surveys</w:t>
      </w:r>
    </w:p>
    <w:p>
      <w:pPr>
        <w:pStyle w:val="Normal"/>
        <w:rPr/>
      </w:pPr>
      <w:bookmarkStart w:id="2" w:name="_Hlk203994903"/>
      <w:r>
        <w:rPr/>
        <w:t xml:space="preserve">Tourangeau's cognitive response model has served as the theoretical backbone for understanding how patients process and respond to health survey questions. Each stage assumes human cognitive processing with characteristic capabilities and limitations. </w:t>
      </w:r>
      <w:bookmarkEnd w:id="2"/>
      <w:r>
        <w:rPr/>
        <w:t>We now explore how AI simultaneously enhances and disrupts each stage, creating both opportunities and challenges for health measurement.</w:t>
      </w:r>
    </w:p>
    <w:p>
      <w:pPr>
        <w:pStyle w:val="Normal"/>
        <w:rPr/>
      </w:pPr>
      <w:r>
        <w:rPr/>
        <w:t>AI's Dual Impact on the Four-Stage Response Process in Health Surveys</w:t>
      </w:r>
    </w:p>
    <w:p>
      <w:pPr>
        <w:pStyle w:val="Normal"/>
        <w:rPr/>
      </w:pPr>
      <w:r>
        <w:rPr/>
        <w:t>Stage 1: Comprehension</w:t>
      </w:r>
    </w:p>
    <w:tbl>
      <w:tblPr>
        <w:tblW w:w="9450"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5043"/>
        <w:gridCol w:w="4406"/>
      </w:tblGrid>
      <w:tr>
        <w:trPr>
          <w:tblHeader w:val="true"/>
        </w:trPr>
        <w:tc>
          <w:tcPr>
            <w:tcW w:w="5043" w:type="dxa"/>
            <w:tcBorders/>
            <w:vAlign w:val="center"/>
          </w:tcPr>
          <w:p>
            <w:pPr>
              <w:pStyle w:val="Normal"/>
              <w:widowControl/>
              <w:suppressAutoHyphens w:val="true"/>
              <w:bidi w:val="0"/>
              <w:spacing w:lineRule="auto" w:line="278" w:before="0" w:after="160"/>
              <w:jc w:val="left"/>
              <w:rPr/>
            </w:pPr>
            <w:r>
              <w:rPr/>
              <w:t>How AI Disrupts</w:t>
            </w:r>
          </w:p>
        </w:tc>
        <w:tc>
          <w:tcPr>
            <w:tcW w:w="4406" w:type="dxa"/>
            <w:tcBorders/>
            <w:vAlign w:val="center"/>
          </w:tcPr>
          <w:p>
            <w:pPr>
              <w:pStyle w:val="Normal"/>
              <w:widowControl/>
              <w:suppressAutoHyphens w:val="true"/>
              <w:bidi w:val="0"/>
              <w:spacing w:lineRule="auto" w:line="278" w:before="0" w:after="160"/>
              <w:jc w:val="left"/>
              <w:rPr/>
            </w:pPr>
            <w:r>
              <w:rPr/>
              <w:t>How AI Enhances</w:t>
            </w:r>
          </w:p>
        </w:tc>
      </w:tr>
      <w:tr>
        <w:trPr/>
        <w:tc>
          <w:tcPr>
            <w:tcW w:w="5043" w:type="dxa"/>
            <w:tcBorders/>
            <w:vAlign w:val="center"/>
          </w:tcPr>
          <w:p>
            <w:pPr>
              <w:pStyle w:val="Normal"/>
              <w:widowControl/>
              <w:suppressAutoHyphens w:val="true"/>
              <w:bidi w:val="0"/>
              <w:spacing w:lineRule="auto" w:line="278" w:before="0" w:after="160"/>
              <w:jc w:val="left"/>
              <w:rPr/>
            </w:pPr>
            <w:r>
              <w:rPr/>
              <w:t>Medical terminology confusion: AI interprets clinical terms through training data rather than patient understanding (Wong et al., 2025)</w:t>
            </w:r>
          </w:p>
        </w:tc>
        <w:tc>
          <w:tcPr>
            <w:tcW w:w="4406" w:type="dxa"/>
            <w:tcBorders/>
            <w:vAlign w:val="center"/>
          </w:tcPr>
          <w:p>
            <w:pPr>
              <w:pStyle w:val="Normal"/>
              <w:widowControl/>
              <w:suppressAutoHyphens w:val="true"/>
              <w:bidi w:val="0"/>
              <w:spacing w:lineRule="auto" w:line="278" w:before="0" w:after="160"/>
              <w:jc w:val="left"/>
              <w:rPr/>
            </w:pPr>
            <w:r>
              <w:rPr/>
              <w:t>Health literacy support: Real-time explanations adapt medical terminology to patient education levels</w:t>
            </w:r>
          </w:p>
        </w:tc>
      </w:tr>
      <w:tr>
        <w:trPr/>
        <w:tc>
          <w:tcPr>
            <w:tcW w:w="5043" w:type="dxa"/>
            <w:tcBorders/>
            <w:vAlign w:val="center"/>
          </w:tcPr>
          <w:p>
            <w:pPr>
              <w:pStyle w:val="Normal"/>
              <w:widowControl/>
              <w:suppressAutoHyphens w:val="true"/>
              <w:bidi w:val="0"/>
              <w:spacing w:lineRule="auto" w:line="278" w:before="0" w:after="160"/>
              <w:jc w:val="left"/>
              <w:rPr/>
            </w:pPr>
            <w:r>
              <w:rPr/>
              <w:t>Distributed comprehension: Understanding fragments across patient, AI, and clinician agents</w:t>
            </w:r>
          </w:p>
        </w:tc>
        <w:tc>
          <w:tcPr>
            <w:tcW w:w="4406" w:type="dxa"/>
            <w:tcBorders/>
            <w:vAlign w:val="center"/>
          </w:tcPr>
          <w:p>
            <w:pPr>
              <w:pStyle w:val="Normal"/>
              <w:widowControl/>
              <w:suppressAutoHyphens w:val="true"/>
              <w:bidi w:val="0"/>
              <w:spacing w:lineRule="auto" w:line="278" w:before="0" w:after="160"/>
              <w:jc w:val="left"/>
              <w:rPr/>
            </w:pPr>
            <w:r>
              <w:rPr/>
              <w:t>Multilingual healthcare access: Culturally-adapted translations for diverse patient populations (Metheney &amp; Yehle, 2024)</w:t>
            </w:r>
          </w:p>
        </w:tc>
      </w:tr>
      <w:tr>
        <w:trPr/>
        <w:tc>
          <w:tcPr>
            <w:tcW w:w="5043" w:type="dxa"/>
            <w:tcBorders/>
            <w:vAlign w:val="center"/>
          </w:tcPr>
          <w:p>
            <w:pPr>
              <w:pStyle w:val="Normal"/>
              <w:widowControl/>
              <w:suppressAutoHyphens w:val="true"/>
              <w:bidi w:val="0"/>
              <w:spacing w:lineRule="auto" w:line="278" w:before="0" w:after="160"/>
              <w:jc w:val="left"/>
              <w:rPr/>
            </w:pPr>
            <w:r>
              <w:rPr/>
              <w:t>Loss of illness context: AI lacks embodied experience of symptoms and treatment effects</w:t>
            </w:r>
          </w:p>
        </w:tc>
        <w:tc>
          <w:tcPr>
            <w:tcW w:w="4406" w:type="dxa"/>
            <w:tcBorders/>
            <w:vAlign w:val="center"/>
          </w:tcPr>
          <w:p>
            <w:pPr>
              <w:pStyle w:val="Normal"/>
              <w:widowControl/>
              <w:suppressAutoHyphens w:val="true"/>
              <w:bidi w:val="0"/>
              <w:spacing w:lineRule="auto" w:line="278" w:before="0" w:after="160"/>
              <w:jc w:val="left"/>
              <w:rPr/>
            </w:pPr>
            <w:r>
              <w:rPr/>
              <w:t>Visual health aids: Generates anatomical diagrams and symptom illustrations on demand</w:t>
            </w:r>
          </w:p>
        </w:tc>
      </w:tr>
    </w:tbl>
    <w:p>
      <w:pPr>
        <w:pStyle w:val="Normal"/>
        <w:rPr/>
      </w:pPr>
      <w:bookmarkStart w:id="3" w:name="_Hlk203994988"/>
      <w:r>
        <w:rPr/>
        <w:t xml:space="preserve">Traditional comprehension assumes patients interpret health questions through Gricean cooperative principles, using pragmatic inference to understand what clinicians need to know. However, when AI mediates this process, comprehension becomes distributed across multiple agents. </w:t>
      </w:r>
      <w:bookmarkEnd w:id="3"/>
      <w:r>
        <w:rPr/>
        <w:t>Wong et al.'s (2025) finding that AI interviewers were inconsistent and overly technical reveals how AI's clinical training data can impose medical interpretations that diverge from patients' embodied understanding of their conditions. The core problem: whose understanding drives the response—the patient's lived experience or the AI's medicalized interpretation?</w:t>
      </w:r>
    </w:p>
    <w:p>
      <w:pPr>
        <w:pStyle w:val="Normal"/>
        <w:rPr/>
      </w:pPr>
      <w:r>
        <w:rPr/>
        <w:t>Stage 2: Retrieval</w:t>
      </w:r>
    </w:p>
    <w:tbl>
      <w:tblPr>
        <w:tblW w:w="9450"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5216"/>
        <w:gridCol w:w="4233"/>
      </w:tblGrid>
      <w:tr>
        <w:trPr>
          <w:tblHeader w:val="true"/>
        </w:trPr>
        <w:tc>
          <w:tcPr>
            <w:tcW w:w="5216" w:type="dxa"/>
            <w:tcBorders/>
            <w:vAlign w:val="center"/>
          </w:tcPr>
          <w:p>
            <w:pPr>
              <w:pStyle w:val="Normal"/>
              <w:widowControl/>
              <w:suppressAutoHyphens w:val="true"/>
              <w:bidi w:val="0"/>
              <w:spacing w:lineRule="auto" w:line="278" w:before="0" w:after="160"/>
              <w:jc w:val="left"/>
              <w:rPr/>
            </w:pPr>
            <w:r>
              <w:rPr/>
              <w:t>How AI Disrupts</w:t>
            </w:r>
          </w:p>
        </w:tc>
        <w:tc>
          <w:tcPr>
            <w:tcW w:w="4233" w:type="dxa"/>
            <w:tcBorders/>
            <w:vAlign w:val="center"/>
          </w:tcPr>
          <w:p>
            <w:pPr>
              <w:pStyle w:val="Normal"/>
              <w:widowControl/>
              <w:suppressAutoHyphens w:val="true"/>
              <w:bidi w:val="0"/>
              <w:spacing w:lineRule="auto" w:line="278" w:before="0" w:after="160"/>
              <w:jc w:val="left"/>
              <w:rPr/>
            </w:pPr>
            <w:r>
              <w:rPr/>
              <w:t>How AI Enhances</w:t>
            </w:r>
          </w:p>
        </w:tc>
      </w:tr>
      <w:tr>
        <w:trPr/>
        <w:tc>
          <w:tcPr>
            <w:tcW w:w="5216" w:type="dxa"/>
            <w:tcBorders/>
            <w:vAlign w:val="center"/>
          </w:tcPr>
          <w:p>
            <w:pPr>
              <w:pStyle w:val="Normal"/>
              <w:widowControl/>
              <w:suppressAutoHyphens w:val="true"/>
              <w:bidi w:val="0"/>
              <w:spacing w:lineRule="auto" w:line="278" w:before="0" w:after="160"/>
              <w:jc w:val="left"/>
              <w:rPr/>
            </w:pPr>
            <w:r>
              <w:rPr/>
              <w:t>Pseudo-retrieval of symptoms: AI suggests symptoms from medical literature rather than patient memory (Tai et al., 2024)</w:t>
            </w:r>
          </w:p>
        </w:tc>
        <w:tc>
          <w:tcPr>
            <w:tcW w:w="4233" w:type="dxa"/>
            <w:tcBorders/>
            <w:vAlign w:val="center"/>
          </w:tcPr>
          <w:p>
            <w:pPr>
              <w:pStyle w:val="Normal"/>
              <w:widowControl/>
              <w:suppressAutoHyphens w:val="true"/>
              <w:bidi w:val="0"/>
              <w:spacing w:lineRule="auto" w:line="278" w:before="0" w:after="160"/>
              <w:jc w:val="left"/>
              <w:rPr/>
            </w:pPr>
            <w:r>
              <w:rPr/>
              <w:t>Treatment timeline support: Helps reconstruct medication histories and appointment sequences</w:t>
            </w:r>
          </w:p>
        </w:tc>
      </w:tr>
      <w:tr>
        <w:trPr/>
        <w:tc>
          <w:tcPr>
            <w:tcW w:w="5216" w:type="dxa"/>
            <w:tcBorders/>
            <w:vAlign w:val="center"/>
          </w:tcPr>
          <w:p>
            <w:pPr>
              <w:pStyle w:val="Normal"/>
              <w:widowControl/>
              <w:suppressAutoHyphens w:val="true"/>
              <w:bidi w:val="0"/>
              <w:spacing w:lineRule="auto" w:line="278" w:before="0" w:after="160"/>
              <w:jc w:val="left"/>
              <w:rPr/>
            </w:pPr>
            <w:r>
              <w:rPr/>
              <w:t>WebMD syndrome: Patients incorporate AI-suggested conditions into their health narratives</w:t>
            </w:r>
          </w:p>
        </w:tc>
        <w:tc>
          <w:tcPr>
            <w:tcW w:w="4233" w:type="dxa"/>
            <w:tcBorders/>
            <w:vAlign w:val="center"/>
          </w:tcPr>
          <w:p>
            <w:pPr>
              <w:pStyle w:val="Normal"/>
              <w:widowControl/>
              <w:suppressAutoHyphens w:val="true"/>
              <w:bidi w:val="0"/>
              <w:spacing w:lineRule="auto" w:line="278" w:before="0" w:after="160"/>
              <w:jc w:val="left"/>
              <w:rPr/>
            </w:pPr>
            <w:r>
              <w:rPr/>
              <w:t>Symptom diary integration: Connects digital health records for accurate event recall</w:t>
            </w:r>
          </w:p>
        </w:tc>
      </w:tr>
      <w:tr>
        <w:trPr/>
        <w:tc>
          <w:tcPr>
            <w:tcW w:w="5216" w:type="dxa"/>
            <w:tcBorders/>
            <w:vAlign w:val="center"/>
          </w:tcPr>
          <w:p>
            <w:pPr>
              <w:pStyle w:val="Normal"/>
              <w:widowControl/>
              <w:suppressAutoHyphens w:val="true"/>
              <w:bidi w:val="0"/>
              <w:spacing w:lineRule="auto" w:line="278" w:before="0" w:after="160"/>
              <w:jc w:val="left"/>
              <w:rPr/>
            </w:pPr>
            <w:r>
              <w:rPr/>
              <w:t>Memory contamination: Generic symptom descriptions replace specific illness experiences</w:t>
            </w:r>
          </w:p>
        </w:tc>
        <w:tc>
          <w:tcPr>
            <w:tcW w:w="4233" w:type="dxa"/>
            <w:tcBorders/>
            <w:vAlign w:val="center"/>
          </w:tcPr>
          <w:p>
            <w:pPr>
              <w:pStyle w:val="Normal"/>
              <w:widowControl/>
              <w:suppressAutoHyphens w:val="true"/>
              <w:bidi w:val="0"/>
              <w:spacing w:lineRule="auto" w:line="278" w:before="0" w:after="160"/>
              <w:jc w:val="left"/>
              <w:rPr/>
            </w:pPr>
            <w:r>
              <w:rPr/>
              <w:t>Temporal anchoring: Provides health milestones ("since your surgery") to aid retrieval</w:t>
            </w:r>
          </w:p>
        </w:tc>
      </w:tr>
    </w:tbl>
    <w:p>
      <w:pPr>
        <w:pStyle w:val="Normal"/>
        <w:rPr/>
      </w:pPr>
      <w:r>
        <w:rPr/>
        <w:t xml:space="preserve">The retrieval stage traditionally </w:t>
      </w:r>
      <w:bookmarkStart w:id="4" w:name="_Hlk203995049"/>
      <w:r>
        <w:rPr/>
        <w:t xml:space="preserve">involves patients accessing episodic memories of symptoms, treatments, and health events. </w:t>
      </w:r>
      <w:bookmarkEnd w:id="4"/>
      <w:r>
        <w:rPr/>
        <w:t>AI fundamentally disrupts this by enabling pseudo-retrieval from vast medical corpora. When patients consult AI about their symptoms, they access textbook descriptions that may never match their actual experience. Tai et al.'s (2024) proposal for "LLM-quotient reliability" fundamentally misunderstands this issue—AI retrieval creates an illusion of health memory that threatens the validity of patient-reported outcomes, treatment adherence measures, and symptom inventories.</w:t>
      </w:r>
    </w:p>
    <w:p>
      <w:pPr>
        <w:pStyle w:val="Normal"/>
        <w:rPr/>
      </w:pPr>
      <w:r>
        <w:rPr/>
        <w:t>Stage 3: Judgment</w:t>
      </w:r>
    </w:p>
    <w:tbl>
      <w:tblPr>
        <w:tblW w:w="9450"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5074"/>
        <w:gridCol w:w="4375"/>
      </w:tblGrid>
      <w:tr>
        <w:trPr>
          <w:tblHeader w:val="true"/>
        </w:trPr>
        <w:tc>
          <w:tcPr>
            <w:tcW w:w="5074" w:type="dxa"/>
            <w:tcBorders/>
            <w:vAlign w:val="center"/>
          </w:tcPr>
          <w:p>
            <w:pPr>
              <w:pStyle w:val="Normal"/>
              <w:widowControl/>
              <w:suppressAutoHyphens w:val="true"/>
              <w:bidi w:val="0"/>
              <w:spacing w:lineRule="auto" w:line="278" w:before="0" w:after="160"/>
              <w:jc w:val="left"/>
              <w:rPr/>
            </w:pPr>
            <w:r>
              <w:rPr/>
              <w:t>How AI Disrupts</w:t>
            </w:r>
          </w:p>
        </w:tc>
        <w:tc>
          <w:tcPr>
            <w:tcW w:w="4375" w:type="dxa"/>
            <w:tcBorders/>
            <w:vAlign w:val="center"/>
          </w:tcPr>
          <w:p>
            <w:pPr>
              <w:pStyle w:val="Normal"/>
              <w:widowControl/>
              <w:suppressAutoHyphens w:val="true"/>
              <w:bidi w:val="0"/>
              <w:spacing w:lineRule="auto" w:line="278" w:before="0" w:after="160"/>
              <w:jc w:val="left"/>
              <w:rPr/>
            </w:pPr>
            <w:r>
              <w:rPr/>
              <w:t>How AI Enhances</w:t>
            </w:r>
          </w:p>
        </w:tc>
      </w:tr>
      <w:tr>
        <w:trPr/>
        <w:tc>
          <w:tcPr>
            <w:tcW w:w="5074" w:type="dxa"/>
            <w:tcBorders/>
            <w:vAlign w:val="center"/>
          </w:tcPr>
          <w:p>
            <w:pPr>
              <w:pStyle w:val="Normal"/>
              <w:widowControl/>
              <w:suppressAutoHyphens w:val="true"/>
              <w:bidi w:val="0"/>
              <w:spacing w:lineRule="auto" w:line="278" w:before="0" w:after="160"/>
              <w:jc w:val="left"/>
              <w:rPr/>
            </w:pPr>
            <w:r>
              <w:rPr/>
              <w:t>Symptom normalization: Individual illness experiences smoothed to typical presentations (Zhang et al., 2025)</w:t>
            </w:r>
          </w:p>
        </w:tc>
        <w:tc>
          <w:tcPr>
            <w:tcW w:w="4375" w:type="dxa"/>
            <w:tcBorders/>
            <w:vAlign w:val="center"/>
          </w:tcPr>
          <w:p>
            <w:pPr>
              <w:pStyle w:val="Normal"/>
              <w:widowControl/>
              <w:suppressAutoHyphens w:val="true"/>
              <w:bidi w:val="0"/>
              <w:spacing w:lineRule="auto" w:line="278" w:before="0" w:after="160"/>
              <w:jc w:val="left"/>
              <w:rPr/>
            </w:pPr>
            <w:r>
              <w:rPr/>
              <w:t>Pain scale calibration: Helps patients understand and consistently use rating scales</w:t>
            </w:r>
          </w:p>
        </w:tc>
      </w:tr>
      <w:tr>
        <w:trPr/>
        <w:tc>
          <w:tcPr>
            <w:tcW w:w="5074" w:type="dxa"/>
            <w:tcBorders/>
            <w:vAlign w:val="center"/>
          </w:tcPr>
          <w:p>
            <w:pPr>
              <w:pStyle w:val="Normal"/>
              <w:widowControl/>
              <w:suppressAutoHyphens w:val="true"/>
              <w:bidi w:val="0"/>
              <w:spacing w:lineRule="auto" w:line="278" w:before="0" w:after="160"/>
              <w:jc w:val="left"/>
              <w:rPr/>
            </w:pPr>
            <w:r>
              <w:rPr/>
              <w:t>Clinical pattern imposition: AI judgments reflect medical literature rather than patient reality (Mellon et al., 2024)</w:t>
            </w:r>
          </w:p>
        </w:tc>
        <w:tc>
          <w:tcPr>
            <w:tcW w:w="4375" w:type="dxa"/>
            <w:tcBorders/>
            <w:vAlign w:val="center"/>
          </w:tcPr>
          <w:p>
            <w:pPr>
              <w:pStyle w:val="Normal"/>
              <w:widowControl/>
              <w:suppressAutoHyphens w:val="true"/>
              <w:bidi w:val="0"/>
              <w:spacing w:lineRule="auto" w:line="278" w:before="0" w:after="160"/>
              <w:jc w:val="left"/>
              <w:rPr/>
            </w:pPr>
            <w:r>
              <w:rPr/>
              <w:t>Systematic symptom assessment: Guides comprehensive evaluation of multiple symptoms</w:t>
            </w:r>
          </w:p>
        </w:tc>
      </w:tr>
      <w:tr>
        <w:trPr/>
        <w:tc>
          <w:tcPr>
            <w:tcW w:w="5074" w:type="dxa"/>
            <w:tcBorders/>
            <w:vAlign w:val="center"/>
          </w:tcPr>
          <w:p>
            <w:pPr>
              <w:pStyle w:val="Normal"/>
              <w:widowControl/>
              <w:suppressAutoHyphens w:val="true"/>
              <w:bidi w:val="0"/>
              <w:spacing w:lineRule="auto" w:line="278" w:before="0" w:after="160"/>
              <w:jc w:val="left"/>
              <w:rPr/>
            </w:pPr>
            <w:r>
              <w:rPr/>
              <w:t>Loss of illness heterogeneity: Unique disease manifestations masked by statistical regularities</w:t>
            </w:r>
          </w:p>
        </w:tc>
        <w:tc>
          <w:tcPr>
            <w:tcW w:w="4375" w:type="dxa"/>
            <w:tcBorders/>
            <w:vAlign w:val="center"/>
          </w:tcPr>
          <w:p>
            <w:pPr>
              <w:pStyle w:val="Normal"/>
              <w:widowControl/>
              <w:suppressAutoHyphens w:val="true"/>
              <w:bidi w:val="0"/>
              <w:spacing w:lineRule="auto" w:line="278" w:before="0" w:after="160"/>
              <w:jc w:val="left"/>
              <w:rPr/>
            </w:pPr>
            <w:r>
              <w:rPr/>
              <w:t>Treatment comparison tools: Assists longitudinal evaluation of intervention effectiveness</w:t>
            </w:r>
          </w:p>
        </w:tc>
      </w:tr>
    </w:tbl>
    <w:p>
      <w:pPr>
        <w:pStyle w:val="Normal"/>
        <w:rPr/>
      </w:pPr>
      <w:r>
        <w:rPr/>
        <w:t>In the judgment stage, patients traditionally integrate retrieved health information to evaluate their current status. AI transforms this into collaborative construction between human experience and algorithmic pattern recognition. Mellon et al.'s (2024) demonstration of AI's superior pattern recognition becomes problematic in health contexts—while AI excels at categorizing responses, it homogenizes the diverse ways patients experience and evaluate illness. Zhang et al.'s (2025) findings suggest this smoothing effect eliminates precisely the individual variations crucial for personalized medicine and rare disease identification.</w:t>
      </w:r>
    </w:p>
    <w:p>
      <w:pPr>
        <w:pStyle w:val="Normal"/>
        <w:rPr/>
      </w:pPr>
      <w:r>
        <w:rPr/>
        <w:t>Stage 4: Response</w:t>
      </w:r>
    </w:p>
    <w:tbl>
      <w:tblPr>
        <w:tblW w:w="9450"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5237"/>
        <w:gridCol w:w="4212"/>
      </w:tblGrid>
      <w:tr>
        <w:trPr>
          <w:tblHeader w:val="true"/>
        </w:trPr>
        <w:tc>
          <w:tcPr>
            <w:tcW w:w="5237" w:type="dxa"/>
            <w:tcBorders/>
            <w:vAlign w:val="center"/>
          </w:tcPr>
          <w:p>
            <w:pPr>
              <w:pStyle w:val="Normal"/>
              <w:widowControl/>
              <w:suppressAutoHyphens w:val="true"/>
              <w:bidi w:val="0"/>
              <w:spacing w:lineRule="auto" w:line="278" w:before="0" w:after="160"/>
              <w:jc w:val="left"/>
              <w:rPr/>
            </w:pPr>
            <w:r>
              <w:rPr/>
              <w:t>How AI Disrupts</w:t>
            </w:r>
          </w:p>
        </w:tc>
        <w:tc>
          <w:tcPr>
            <w:tcW w:w="4212" w:type="dxa"/>
            <w:tcBorders/>
            <w:vAlign w:val="center"/>
          </w:tcPr>
          <w:p>
            <w:pPr>
              <w:pStyle w:val="Normal"/>
              <w:widowControl/>
              <w:suppressAutoHyphens w:val="true"/>
              <w:bidi w:val="0"/>
              <w:spacing w:lineRule="auto" w:line="278" w:before="0" w:after="160"/>
              <w:jc w:val="left"/>
              <w:rPr/>
            </w:pPr>
            <w:r>
              <w:rPr/>
              <w:t>How AI Enhances</w:t>
            </w:r>
          </w:p>
        </w:tc>
      </w:tr>
      <w:tr>
        <w:trPr/>
        <w:tc>
          <w:tcPr>
            <w:tcW w:w="5237" w:type="dxa"/>
            <w:tcBorders/>
            <w:vAlign w:val="center"/>
          </w:tcPr>
          <w:p>
            <w:pPr>
              <w:pStyle w:val="Normal"/>
              <w:widowControl/>
              <w:suppressAutoHyphens w:val="true"/>
              <w:bidi w:val="0"/>
              <w:spacing w:lineRule="auto" w:line="278" w:before="0" w:after="160"/>
              <w:jc w:val="left"/>
              <w:rPr/>
            </w:pPr>
            <w:r>
              <w:rPr/>
              <w:t>Sanitized health narratives: AI generates "clinically appropriate" responses that minimize suffering (AAPOR, 2024)</w:t>
            </w:r>
          </w:p>
        </w:tc>
        <w:tc>
          <w:tcPr>
            <w:tcW w:w="4212" w:type="dxa"/>
            <w:tcBorders/>
            <w:vAlign w:val="center"/>
          </w:tcPr>
          <w:p>
            <w:pPr>
              <w:pStyle w:val="Normal"/>
              <w:widowControl/>
              <w:suppressAutoHyphens w:val="true"/>
              <w:bidi w:val="0"/>
              <w:spacing w:lineRule="auto" w:line="278" w:before="0" w:after="160"/>
              <w:jc w:val="left"/>
              <w:rPr/>
            </w:pPr>
            <w:r>
              <w:rPr/>
              <w:t>Stigma reduction: Removes shame barriers for mental health and sensitive conditions</w:t>
            </w:r>
          </w:p>
        </w:tc>
      </w:tr>
      <w:tr>
        <w:trPr/>
        <w:tc>
          <w:tcPr>
            <w:tcW w:w="5237" w:type="dxa"/>
            <w:tcBorders/>
            <w:vAlign w:val="center"/>
          </w:tcPr>
          <w:p>
            <w:pPr>
              <w:pStyle w:val="Normal"/>
              <w:widowControl/>
              <w:suppressAutoHyphens w:val="true"/>
              <w:bidi w:val="0"/>
              <w:spacing w:lineRule="auto" w:line="278" w:before="0" w:after="160"/>
              <w:jc w:val="left"/>
              <w:rPr/>
            </w:pPr>
            <w:r>
              <w:rPr/>
              <w:t>Embedded clinical biases: AI perpetuates medical profession's definition of "good patients"</w:t>
            </w:r>
          </w:p>
        </w:tc>
        <w:tc>
          <w:tcPr>
            <w:tcW w:w="4212" w:type="dxa"/>
            <w:tcBorders/>
            <w:vAlign w:val="center"/>
          </w:tcPr>
          <w:p>
            <w:pPr>
              <w:pStyle w:val="Normal"/>
              <w:widowControl/>
              <w:suppressAutoHyphens w:val="true"/>
              <w:bidi w:val="0"/>
              <w:spacing w:lineRule="auto" w:line="278" w:before="0" w:after="160"/>
              <w:jc w:val="left"/>
              <w:rPr/>
            </w:pPr>
            <w:r>
              <w:rPr/>
              <w:t>Accessibility features: Voice input, large text, and multimodal response options</w:t>
            </w:r>
          </w:p>
        </w:tc>
      </w:tr>
      <w:tr>
        <w:trPr/>
        <w:tc>
          <w:tcPr>
            <w:tcW w:w="5237" w:type="dxa"/>
            <w:tcBorders/>
            <w:vAlign w:val="center"/>
          </w:tcPr>
          <w:p>
            <w:pPr>
              <w:pStyle w:val="Normal"/>
              <w:widowControl/>
              <w:suppressAutoHyphens w:val="true"/>
              <w:bidi w:val="0"/>
              <w:spacing w:lineRule="auto" w:line="278" w:before="0" w:after="160"/>
              <w:jc w:val="left"/>
              <w:rPr/>
            </w:pPr>
            <w:r>
              <w:rPr/>
              <w:t>Emotional flattening: Patient distress filtered through AI optimization</w:t>
            </w:r>
          </w:p>
        </w:tc>
        <w:tc>
          <w:tcPr>
            <w:tcW w:w="4212" w:type="dxa"/>
            <w:tcBorders/>
            <w:vAlign w:val="center"/>
          </w:tcPr>
          <w:p>
            <w:pPr>
              <w:pStyle w:val="Normal"/>
              <w:widowControl/>
              <w:suppressAutoHyphens w:val="true"/>
              <w:bidi w:val="0"/>
              <w:spacing w:lineRule="auto" w:line="278" w:before="0" w:after="160"/>
              <w:jc w:val="left"/>
              <w:rPr/>
            </w:pPr>
            <w:r>
              <w:rPr/>
              <w:t>Anonymous disclosure: Increases reporting of substance use and sexual health issues</w:t>
            </w:r>
          </w:p>
        </w:tc>
      </w:tr>
    </w:tbl>
    <w:p>
      <w:pPr>
        <w:pStyle w:val="Normal"/>
        <w:rPr/>
      </w:pPr>
      <w:r>
        <w:rPr/>
        <w:t>The response stage, where patients map internal health states to survey formats, faces unique challenges from AI assistance. Traditional social desirability concerns—patients over-reporting medication adherence or under-reporting stigmatized conditions—assume human editing processes. When AI generates or assists responses, it embeds systematic biases from medical training data about "appropriate" patient behavior. AAPOR's (2024) guidance to validate AI-generated content assumes we can distinguish authentic patient voices from synthetic responses, yet this distinction becomes meaningless when patient and AI contributions intertwine in health reporting.</w:t>
      </w:r>
    </w:p>
    <w:p>
      <w:pPr>
        <w:pStyle w:val="Normal"/>
        <w:rPr/>
      </w:pPr>
      <w:r>
        <w:rPr/>
        <w:t>III. Cascading Effects in Health Measurement</w:t>
      </w:r>
    </w:p>
    <w:p>
      <w:pPr>
        <w:pStyle w:val="Normal"/>
        <w:rPr/>
      </w:pPr>
      <w:r>
        <w:rPr/>
        <w:t>These stage-specific disruptions create interaction effects that cascade through health survey systems. AI's perfect memory creates new consistency pressures—patients may feel compelled to maintain symptom reports across visits even when their experience varies, amplifying artificial consistency beyond natural symptom fluctuation. Unlike human respondents who show fatigue effects in lengthy health assessments, AI maintains constant performance, potentially masking important indicators of patient burden or cognitive symptoms that manifest as survey fatigue.</w:t>
      </w:r>
    </w:p>
    <w:p>
      <w:pPr>
        <w:pStyle w:val="Normal"/>
        <w:rPr/>
      </w:pPr>
      <w:r>
        <w:rPr/>
        <w:t>More fundamentally, these cascading effects violate core assumptions of health measurement. Tourangeau's model assumes a unitary respondent whose cognitive processes we can model and whose responses reflect individual health states. When cognition distributes between human patient and AI system—when symptom retrieval mixes personal experience with medical databases, when health judgments blend patient evaluation with algorithmic optimization—traditional psychometric approaches to reliability and validity collapse. We can no longer assume health survey responses reflect a single patient's authentic experience of illness, demanding complete reconceptualization of measurement error in patient-reported outcomes.</w:t>
      </w:r>
    </w:p>
    <w:p>
      <w:pPr>
        <w:pStyle w:val="Normal"/>
        <w:rPr/>
      </w:pPr>
      <w:r>
        <w:rPr/>
        <w:t>IV. Conclusion and Future Directions</w:t>
      </w:r>
    </w:p>
    <w:p>
      <w:pPr>
        <w:pStyle w:val="Normal"/>
        <w:rPr/>
      </w:pPr>
      <w:r>
        <w:rPr/>
        <w:t>This analysis reveals that AI doesn't simply assist patients in completing health surveys but fundamentally transforms what health measurement means. Each stage of Tourangeau's model assumes human cognition with its characteristic patterns, limitations, and variations that provide clinically meaningful information. AI violates these assumptions not through superior performance but through categorically different processes that reshape how patients understand, recall, evaluate, and report their health experiences.</w:t>
      </w:r>
    </w:p>
    <w:p>
      <w:pPr>
        <w:pStyle w:val="Normal"/>
        <w:rPr/>
      </w:pPr>
      <w:r>
        <w:rPr/>
        <w:t>Immediate Research Priorities:</w:t>
      </w:r>
    </w:p>
    <w:p>
      <w:pPr>
        <w:pStyle w:val="Normal"/>
        <w:rPr/>
      </w:pPr>
      <w:r>
        <w:rPr/>
        <w:t>First, we need comprehension studies examining how patients interpret AI-mediated health questions versus traditional formats, particularly for complex symptom descriptions and treatment instructions. Second, retrieval experiments must investigate how AI consultation affects the accuracy of health event recall and whether patients can distinguish their actual experiences from AI-suggested symptoms. Third, judgment analysis should explore how AI assistance influences patient evaluations of symptom severity, quality of life, and treatment effectiveness.</w:t>
      </w:r>
    </w:p>
    <w:p>
      <w:pPr>
        <w:pStyle w:val="Normal"/>
        <w:rPr/>
      </w:pPr>
      <w:r>
        <w:rPr/>
        <w:t>Theoretical Development Needs:</w:t>
      </w:r>
    </w:p>
    <w:p>
      <w:pPr>
        <w:pStyle w:val="Normal"/>
        <w:rPr/>
      </w:pPr>
      <w:r>
        <w:rPr/>
        <w:t>The path forward requires developing hybrid response process models that account for distributed cognition between patients and AI systems, specifying how human illness experience and AI medical knowledge interact at each cognitive stage. We need new measurement theories that handle responses emerging from patient-AI collaboration while preserving the clinical validity of patient-reported outcomes. Additionally, we must understand algorithmic context effects—how AI's training on medical literature creates new forms of response bias in health surveys.</w:t>
      </w:r>
    </w:p>
    <w:p>
      <w:pPr>
        <w:pStyle w:val="Normal"/>
        <w:rPr/>
      </w:pPr>
      <w:r>
        <w:rPr/>
        <w:t>The Path Forward:</w:t>
      </w:r>
    </w:p>
    <w:p>
      <w:pPr>
        <w:pStyle w:val="Normal"/>
        <w:rPr/>
      </w:pPr>
      <w:r>
        <w:rPr/>
        <w:t>Health survey methodology stands at a critical juncture with particularly high stakes. Patient-reported outcomes increasingly drive clinical decisions, drug approvals, and health policy. The existential challenge is clear: if we cannot distinguish authentic patient experiences from AI-influenced responses, the foundations of patient-centered measurement collapse. Yet the opportunity lies in developing frameworks that leverage AI's capabilities—improving health literacy, reducing stigma, enhancing accessibility—while maintaining the authenticity of patient voices.</w:t>
      </w:r>
    </w:p>
    <w:p>
      <w:pPr>
        <w:pStyle w:val="Normal"/>
        <w:rPr/>
      </w:pPr>
      <w:r>
        <w:rPr/>
        <w:t>This reconstruction demands collaboration between survey methodologists, clinical researchers, health informaticians, bioethicists, and AI developers. Only through such interdisciplinary effort can we ensure that as we embrace AI's transformative potential, we preserve what matters most: the genuine voice of patients describing their lived experience of health and illness. The future of health measurement depends on our ability to develop theoretical frameworks adequate to a reality where human and artificial cognition intertwine in the fundamental act of understanding and reporting health.</w:t>
      </w:r>
    </w:p>
    <w:p>
      <w:pPr>
        <w:pStyle w:val="Normal"/>
        <w:rPr>
          <w:b/>
          <w:bCs/>
        </w:rPr>
      </w:pPr>
      <w:r>
        <w:rPr>
          <w:b/>
          <w:bCs/>
        </w:rPr>
      </w:r>
    </w:p>
    <w:p>
      <w:pPr>
        <w:pStyle w:val="Normal"/>
        <w:rPr>
          <w:b/>
          <w:bCs/>
        </w:rPr>
      </w:pPr>
      <w:r>
        <w:rPr>
          <w:b/>
          <w:bCs/>
        </w:rPr>
      </w:r>
      <w:r>
        <w:br w:type="page"/>
      </w:r>
    </w:p>
    <w:p>
      <w:pPr>
        <w:pStyle w:val="Normal"/>
        <w:spacing w:before="0" w:after="160"/>
        <w:rPr>
          <w:b/>
          <w:bCs/>
        </w:rPr>
      </w:pPr>
      <w:r>
        <w:rPr>
          <w:b/>
          <w:bCs/>
        </w:rPr>
        <w:t>References</w:t>
      </w:r>
    </w:p>
    <w:p>
      <w:pPr>
        <w:pStyle w:val="Normal"/>
        <w:rPr/>
      </w:pPr>
      <w:r>
        <w:rPr/>
        <w:t>American Association for Public Opinion Research (AAPOR). (2024). Best practices for using generative AI for survey research. https://aapor.org/best-practices-for-using-generative-ai-for-survey-research/</w:t>
      </w:r>
    </w:p>
    <w:p>
      <w:pPr>
        <w:pStyle w:val="Normal"/>
        <w:rPr/>
      </w:pPr>
      <w:r>
        <w:rPr/>
        <w:t>Dam, S. K., Hong, C. S., Qiao, Y., &amp; Zhang, C. (2024). A complete survey on LLM-based AI chatbots. arXiv preprint arXiv:2406.16937.</w:t>
      </w:r>
    </w:p>
    <w:p>
      <w:pPr>
        <w:pStyle w:val="Normal"/>
        <w:rPr/>
      </w:pPr>
      <w:r>
        <w:rPr/>
        <w:t>Grice, H. P. (1975). Logic and conversation. In P. Cole &amp; J. L. Morgan (Eds.), Syntax and semantics: Speech acts (Vol. 3, pp. 41-58). Academic Press.</w:t>
      </w:r>
    </w:p>
    <w:p>
      <w:pPr>
        <w:pStyle w:val="Normal"/>
        <w:rPr/>
      </w:pPr>
      <w:r>
        <w:rPr/>
        <w:t>Jacobsen, R. M., Cox, S. R., Griggio, C. F., &amp; Van Berkel, N. (2025). Chatbots for data collection in surveys: A comparison of four theory-based interview probes. In Proceedings of the 2025 CHI Conference on Human Factors in Computing Systems (pp. 1-21).</w:t>
      </w:r>
    </w:p>
    <w:p>
      <w:pPr>
        <w:pStyle w:val="Normal"/>
        <w:rPr/>
      </w:pPr>
      <w:r>
        <w:rPr/>
        <w:t>Jansen, B. J., Jung, S. G., &amp; Salminen, J. (2023). Employing large language models in survey research. Natural Language Processing Journal, 4, 100020.</w:t>
      </w:r>
    </w:p>
    <w:p>
      <w:pPr>
        <w:pStyle w:val="Normal"/>
        <w:rPr/>
      </w:pPr>
      <w:r>
        <w:rPr/>
        <w:t xml:space="preserve">Meem, F. N., Smith, J., &amp; Johnson, B. (2024, September). Challenges and Opportunities for Survey Research in the Age of Generative AI: An Experience Report. In </w:t>
      </w:r>
      <w:r>
        <w:rPr>
          <w:i/>
          <w:iCs/>
        </w:rPr>
        <w:t>2024 IEEE Symposium on Visual Languages and Human-Centric Computing (VL/HCC)</w:t>
      </w:r>
      <w:r>
        <w:rPr/>
        <w:t xml:space="preserve"> (pp. 423-428). IEEE.</w:t>
      </w:r>
    </w:p>
    <w:p>
      <w:pPr>
        <w:pStyle w:val="Normal"/>
        <w:rPr/>
      </w:pPr>
      <w:r>
        <w:rPr/>
        <w:t>Mellon, J., Bailey, J., Scott, R., Breckwoldt, J., Miori, M., &amp; Schmedeman, P. (2024). Do AIs know what the most important issue is? Using language models to code open-text social survey responses at scale. Sociological Methods &amp; Research, 53(1), 123-156.</w:t>
      </w:r>
    </w:p>
    <w:p>
      <w:pPr>
        <w:pStyle w:val="Normal"/>
        <w:rPr/>
      </w:pPr>
      <w:r>
        <w:rPr/>
        <w:t xml:space="preserve">Metheney, E. A., &amp; Yehle, L. (2024). Exploring the Potential Role of Generative AI in the TRAPD Procedure for Survey Translation. </w:t>
      </w:r>
      <w:r>
        <w:rPr>
          <w:i/>
          <w:iCs/>
        </w:rPr>
        <w:t>arXiv preprint arXiv:2411.14472</w:t>
      </w:r>
      <w:r>
        <w:rPr/>
        <w:t>.</w:t>
      </w:r>
    </w:p>
    <w:p>
      <w:pPr>
        <w:pStyle w:val="Normal"/>
        <w:rPr/>
      </w:pPr>
      <w:r>
        <w:rPr/>
        <w:t>NORC at the University of Chicago. (2024). The promise &amp; pitfalls of AI-augmented survey research. NORC Research Report.</w:t>
      </w:r>
    </w:p>
    <w:p>
      <w:pPr>
        <w:pStyle w:val="Normal"/>
        <w:rPr/>
      </w:pPr>
      <w:r>
        <w:rPr/>
        <w:t>Padgett, Z., Maiorino, A., &amp; Gutierrez, S. (2024). Evaluating the quality of questionnaires created with SurveyMonkey's Build with AI. Paper presented at AAPOR Conference, Atlanta, GA.</w:t>
      </w:r>
    </w:p>
    <w:p>
      <w:pPr>
        <w:pStyle w:val="Normal"/>
        <w:rPr/>
      </w:pPr>
      <w:r>
        <w:rPr/>
        <w:t>Schwarz, N. (1996). Cognition and communication: Judgmental biases, research methods, and the logic of conversation. Erlbaum.</w:t>
      </w:r>
    </w:p>
    <w:p>
      <w:pPr>
        <w:pStyle w:val="Normal"/>
        <w:rPr/>
      </w:pPr>
      <w:r>
        <w:rPr/>
        <w:t>Tai, R. H., Bentley, L. R., Xia, X., Sitt, J. M., Fankhauser, S. C., Chicas-Mosier, A. M., &amp; Monteith, B. G. (2024). An examination of the use of large language models to aid analysis of textual data. International Journal of Qualitative Methods, 23, Article 16094069241231168.</w:t>
      </w:r>
    </w:p>
    <w:p>
      <w:pPr>
        <w:pStyle w:val="Normal"/>
        <w:rPr/>
      </w:pPr>
      <w:r>
        <w:rPr/>
        <w:t>Tourangeau, R. (1984). Cognitive science and survey methods. In T. Jabine, M. Straf, J. Tanur, &amp; R. Tourangeau (Eds.), Cognitive aspects of survey methodology: Building a bridge between disciplines (pp. 73-100). National Academy Press.</w:t>
      </w:r>
    </w:p>
    <w:p>
      <w:pPr>
        <w:pStyle w:val="Normal"/>
        <w:rPr/>
      </w:pPr>
      <w:r>
        <w:rPr/>
        <w:t>Tourangeau, R. (1992). Attitudes as memory structures: Belief sampling and context effects. In N. Schwarz &amp; S. Sudman (Eds.), Context effects in social and psychological research (pp. 35-47). Springer-Verlag.</w:t>
      </w:r>
    </w:p>
    <w:p>
      <w:pPr>
        <w:pStyle w:val="Normal"/>
        <w:rPr/>
      </w:pPr>
      <w:r>
        <w:rPr/>
        <w:t>Tourangeau, R., Rips, L. J., &amp; Rasinski, K. (2000). The psychology of survey response. Cambridge University Press.</w:t>
      </w:r>
    </w:p>
    <w:p>
      <w:pPr>
        <w:pStyle w:val="Normal"/>
        <w:rPr/>
      </w:pPr>
      <w:r>
        <w:rPr/>
        <w:t>Tourangeau, R., &amp; Rasinski, K. A. (1988). Cognitive processes underlying context effects in attitude measurement. Psychological Bulletin, 103, 299-314.</w:t>
      </w:r>
    </w:p>
    <w:p>
      <w:pPr>
        <w:pStyle w:val="Normal"/>
        <w:rPr/>
      </w:pPr>
      <w:r>
        <w:rPr/>
        <w:t>Tourangeau, R., &amp; Yan, T. (2007). Sensitive questions in surveys. Psychological Bulletin, 133(5), 859-883.</w:t>
      </w:r>
    </w:p>
    <w:p>
      <w:pPr>
        <w:pStyle w:val="Normal"/>
        <w:rPr/>
      </w:pPr>
      <w:r>
        <w:rPr/>
        <w:t>Wang, D., Zhang, X., &amp; Liu, S. (2024). A practical guide to LLM-based categorical analysis of open-ended survey responses. Journal of Survey Statistics and Methodology, 12(3), 456-478.</w:t>
      </w:r>
    </w:p>
    <w:p>
      <w:pPr>
        <w:pStyle w:val="Normal"/>
        <w:rPr/>
      </w:pPr>
      <w:r>
        <w:rPr/>
        <w:t>Wong, L. Z., Juraimi, S. A., Tan, Y. Z., Loh, S. B., Chong, M. F., Bhattacharya, P., &amp; Pink, A. E. (2025). The AI interviewer: Exploring the use of conversational AI-enabled chatbots in qualitative data collection. Available at SSRN 5194078.</w:t>
      </w:r>
    </w:p>
    <w:p>
      <w:pPr>
        <w:pStyle w:val="Normal"/>
        <w:rPr/>
      </w:pPr>
      <w:r>
        <w:rPr/>
        <w:t>Wuttke, A., Aßenmacher, M., Klamm, C., Lang, M. M., Würschinger, Q., &amp; Kreuter, F. (2024). AI conversational interviewing: Transforming surveys with LLMs as adaptive interviewers. arXiv preprint arXiv:2410.01824.</w:t>
      </w:r>
    </w:p>
    <w:p>
      <w:pPr>
        <w:pStyle w:val="Normal"/>
        <w:rPr/>
      </w:pPr>
      <w:r>
        <w:rPr/>
        <w:t>Xiao, Z., Yuan, X., Liao, V. Q., Abdelghani, R., &amp; Oudeyer, P. Y. (2023). Supporting qualitative analysis with large language models: Combining codebook with GPT-3 for deductive coding. In Proceedings of the 28th International Conference on Intelligent User Interfaces (pp. 75-78). ACM.</w:t>
      </w:r>
    </w:p>
    <w:p>
      <w:pPr>
        <w:pStyle w:val="Normal"/>
        <w:rPr/>
      </w:pPr>
      <w:r>
        <w:rPr/>
        <w:t>Zhang, S., Xu, J., &amp; Alvero, A. J. (2025). Generative AI meets open-ended survey responses: Research participant use of AI and homogenization. Sociological Methods &amp; Research, Article 00491241251327130.</w:t>
      </w:r>
    </w:p>
    <w:p>
      <w:pPr>
        <w:pStyle w:val="Normal"/>
        <w:rPr>
          <w:b/>
          <w:bCs/>
        </w:rPr>
      </w:pPr>
      <w:r>
        <w:rPr>
          <w:b/>
          <w:bCs/>
        </w:rPr>
      </w:r>
    </w:p>
    <w:p>
      <w:pPr>
        <w:pStyle w:val="Normal"/>
        <w:rPr>
          <w:b/>
          <w:bCs/>
        </w:rPr>
      </w:pPr>
      <w:r>
        <w:rPr>
          <w:b/>
          <w:bCs/>
        </w:rPr>
      </w:r>
      <w:r>
        <w:br w:type="page"/>
      </w:r>
    </w:p>
    <w:p>
      <w:pPr>
        <w:pStyle w:val="Normal"/>
        <w:spacing w:before="0" w:after="160"/>
        <w:rPr>
          <w:b/>
          <w:bCs/>
        </w:rPr>
      </w:pPr>
      <w:r>
        <w:rPr>
          <w:b/>
          <w:bCs/>
        </w:rPr>
        <w:t>Lit Review for “How LLMs are being applied to questionnaire-based research (development) and design”</w:t>
      </w:r>
    </w:p>
    <w:p>
      <w:pPr>
        <w:pStyle w:val="Normal"/>
        <w:rPr/>
      </w:pPr>
      <w:r>
        <w:rPr/>
      </w:r>
    </w:p>
    <w:p>
      <w:pPr>
        <w:pStyle w:val="ListBullet"/>
        <w:numPr>
          <w:ilvl w:val="0"/>
          <w:numId w:val="0"/>
        </w:numPr>
        <w:ind w:hanging="0" w:left="0"/>
        <w:rPr>
          <w:b/>
          <w:bCs/>
        </w:rPr>
      </w:pPr>
      <w:r>
        <w:rPr>
          <w:b/>
          <w:bCs/>
        </w:rPr>
        <w:t>AI shaping survey interviewing (design)</w:t>
      </w:r>
    </w:p>
    <w:p>
      <w:pPr>
        <w:pStyle w:val="ListBullet"/>
        <w:numPr>
          <w:ilvl w:val="0"/>
          <w:numId w:val="0"/>
        </w:numPr>
        <w:ind w:hanging="0" w:left="0"/>
        <w:rPr/>
      </w:pPr>
      <w:r>
        <w:rPr/>
      </w:r>
    </w:p>
    <w:p>
      <w:pPr>
        <w:pStyle w:val="ListBullet"/>
        <w:numPr>
          <w:ilvl w:val="0"/>
          <w:numId w:val="0"/>
        </w:numPr>
        <w:ind w:hanging="0" w:left="0"/>
        <w:rPr/>
      </w:pPr>
      <w:r>
        <w:rPr/>
        <w:t>Emily Geisen, Zayd Hammoudeh, &amp; Carol Haney, Qualtrics. AI-Mazing Responses: Elevating Open-Ended Survey Insights with Generative AI Follow-up Questions. file:///C:/Users/keval/Downloads/Geisen_AAPOR20225_AI-mazingResponses.pdf</w:t>
      </w:r>
    </w:p>
    <w:p>
      <w:pPr>
        <w:pStyle w:val="ListBullet"/>
        <w:numPr>
          <w:ilvl w:val="0"/>
          <w:numId w:val="0"/>
        </w:numPr>
        <w:ind w:hanging="0" w:left="0"/>
        <w:rPr/>
      </w:pPr>
      <w:r>
        <w:rPr/>
      </w:r>
    </w:p>
    <w:p>
      <w:pPr>
        <w:pStyle w:val="ListBullet"/>
        <w:numPr>
          <w:ilvl w:val="0"/>
          <w:numId w:val="0"/>
        </w:numPr>
        <w:ind w:hanging="360" w:left="360"/>
        <w:rPr/>
      </w:pPr>
      <w:r>
        <w:rPr>
          <w:b/>
          <w:bCs/>
        </w:rPr>
        <w:t>Dam, S. K., Hong, C. S., Qiao, Y., &amp; Zhang, C.</w:t>
      </w:r>
      <w:r>
        <w:rPr/>
        <w:t xml:space="preserve"> (2024). A complete survey on llm-based ai chatbots. </w:t>
      </w:r>
      <w:r>
        <w:rPr>
          <w:i/>
          <w:iCs/>
        </w:rPr>
        <w:t>arXiv preprint arXiv:2406.16937</w:t>
      </w:r>
      <w:r>
        <w:rPr/>
        <w:t xml:space="preserve">.  </w:t>
      </w:r>
      <w:hyperlink r:id="rId2">
        <w:r>
          <w:rPr>
            <w:rStyle w:val="Hyperlink"/>
          </w:rPr>
          <w:t>https://arxiv.org/pdf/2406.16937</w:t>
        </w:r>
      </w:hyperlink>
      <w:r>
        <w:rPr/>
        <w:t xml:space="preserve"> </w:t>
      </w:r>
    </w:p>
    <w:p>
      <w:pPr>
        <w:pStyle w:val="ListBullet"/>
        <w:numPr>
          <w:ilvl w:val="0"/>
          <w:numId w:val="1"/>
        </w:numPr>
        <w:rPr>
          <w:sz w:val="22"/>
          <w:szCs w:val="22"/>
        </w:rPr>
      </w:pPr>
      <w:r>
        <w:rPr>
          <w:sz w:val="22"/>
          <w:szCs w:val="22"/>
        </w:rPr>
        <w:t>Literature review on LLM based chatbots. The authors identify significant challenges from technical perspectives, ethical, and misuse potential. The authors discuss technical improvements needed for model optimization and multimodal capabilities, while emphasizing the critical importance of establishing ethical guidelines for responsible usage, particularly in sensitive domains like healthcare and education</w:t>
      </w:r>
    </w:p>
    <w:p>
      <w:pPr>
        <w:pStyle w:val="Normal"/>
        <w:rPr/>
      </w:pPr>
      <w:r>
        <w:rPr>
          <w:b/>
          <w:bCs/>
        </w:rPr>
        <w:t>Jacobsen, R. M., Cox, S. R., Griggio, C. F., &amp; Van Berkel, N.</w:t>
      </w:r>
      <w:r>
        <w:rPr/>
        <w:t xml:space="preserve"> (2025, April). Chatbots for    Data Collection in Surveys: A Comparison of Four Theory-Based Interview Probes. In </w:t>
      </w:r>
      <w:r>
        <w:rPr>
          <w:i/>
          <w:iCs/>
        </w:rPr>
        <w:t>Proceedings of the 2025 CHI Conference on Human Factors in Computing Systems</w:t>
      </w:r>
      <w:r>
        <w:rPr/>
        <w:t xml:space="preserve"> (pp. 1-21). </w:t>
      </w:r>
      <w:hyperlink r:id="rId3">
        <w:r>
          <w:rPr>
            <w:rStyle w:val="Hyperlink"/>
          </w:rPr>
          <w:t>https://dl.acm.org/doi/full/10.1145/3706598.3714128</w:t>
        </w:r>
      </w:hyperlink>
      <w:r>
        <w:rPr/>
        <w:t xml:space="preserve"> </w:t>
      </w:r>
    </w:p>
    <w:p>
      <w:pPr>
        <w:pStyle w:val="ListBullet"/>
        <w:numPr>
          <w:ilvl w:val="0"/>
          <w:numId w:val="1"/>
        </w:numPr>
        <w:rPr>
          <w:sz w:val="22"/>
          <w:szCs w:val="22"/>
        </w:rPr>
      </w:pPr>
      <w:r>
        <w:rPr>
          <w:sz w:val="22"/>
          <w:szCs w:val="22"/>
        </w:rPr>
        <w:t>Interview probes in AI chatbots can improve qualitative data collection, and this research examined four interview probes (i.e., Descriptive, Idiographic, Clarifying, and Explanatory). They measured response quality using Gricean Maxims, and showed idiographic probe performed the best. The study highlights opportunities and challenges for integrating chatbots into survey-based qualitative research.</w:t>
      </w:r>
    </w:p>
    <w:p>
      <w:pPr>
        <w:pStyle w:val="ListBullet"/>
        <w:numPr>
          <w:ilvl w:val="0"/>
          <w:numId w:val="0"/>
        </w:numPr>
        <w:ind w:hanging="0" w:left="0"/>
        <w:rPr/>
      </w:pPr>
      <w:r>
        <w:rPr/>
      </w:r>
    </w:p>
    <w:p>
      <w:pPr>
        <w:pStyle w:val="ListBullet"/>
        <w:numPr>
          <w:ilvl w:val="0"/>
          <w:numId w:val="0"/>
        </w:numPr>
        <w:ind w:hanging="360" w:left="360"/>
        <w:rPr/>
      </w:pPr>
      <w:r>
        <w:rPr>
          <w:b/>
          <w:bCs/>
        </w:rPr>
        <w:t>Wong, L. Z., Juraimi, S. A., Tan, Y. Z., Loh, S. B., Chong, M. F., Bhattacharya, P., &amp; Pink, A. E.</w:t>
      </w:r>
      <w:r>
        <w:rPr/>
        <w:t xml:space="preserve"> (2025). The AI Interviewer: Exploring the Use of Conversational AI-Enabled Chatbots in Qualitative Data Collection. </w:t>
      </w:r>
      <w:r>
        <w:rPr>
          <w:i/>
          <w:iCs/>
        </w:rPr>
        <w:t>Available at SSRN 5194078</w:t>
      </w:r>
      <w:r>
        <w:rPr/>
        <w:t xml:space="preserve">. </w:t>
      </w:r>
      <w:hyperlink r:id="rId4">
        <w:r>
          <w:rPr>
            <w:rStyle w:val="Hyperlink"/>
          </w:rPr>
          <w:t>https://papers.ssrn.com/sol3/papers.cfm?abstract_id=5194078</w:t>
        </w:r>
      </w:hyperlink>
      <w:r>
        <w:rPr/>
        <w:t xml:space="preserve"> </w:t>
      </w:r>
    </w:p>
    <w:p>
      <w:pPr>
        <w:pStyle w:val="ListBullet"/>
        <w:numPr>
          <w:ilvl w:val="0"/>
          <w:numId w:val="1"/>
        </w:numPr>
        <w:rPr>
          <w:sz w:val="22"/>
          <w:szCs w:val="22"/>
        </w:rPr>
      </w:pPr>
      <w:r>
        <w:rPr>
          <w:sz w:val="22"/>
          <w:szCs w:val="22"/>
        </w:rPr>
        <w:t xml:space="preserve">The authors trained an AI interviewer for conducting qualitative interviews on the use of alternative proteins. AI interviews were inconsistent in covering topics, too technical, and tended to be verbose. They conclude with more advance LLMs will likely perform better with more sophisticated prompting strategies. </w:t>
      </w:r>
    </w:p>
    <w:p>
      <w:pPr>
        <w:pStyle w:val="ListBullet"/>
        <w:numPr>
          <w:ilvl w:val="0"/>
          <w:numId w:val="0"/>
        </w:numPr>
        <w:ind w:hanging="0" w:left="360"/>
        <w:rPr>
          <w:sz w:val="22"/>
          <w:szCs w:val="22"/>
        </w:rPr>
      </w:pPr>
      <w:r>
        <w:rPr>
          <w:sz w:val="22"/>
          <w:szCs w:val="22"/>
        </w:rPr>
      </w:r>
    </w:p>
    <w:p>
      <w:pPr>
        <w:pStyle w:val="ListBullet"/>
        <w:numPr>
          <w:ilvl w:val="0"/>
          <w:numId w:val="0"/>
        </w:numPr>
        <w:ind w:hanging="360" w:left="360"/>
        <w:rPr/>
      </w:pPr>
      <w:r>
        <w:rPr>
          <w:b/>
          <w:bCs/>
        </w:rPr>
        <w:t>Wuttke, A., Aßenmacher, M., Klamm, C., Lang, M. M., Würschinger, Q., &amp; Kreuter, F.</w:t>
      </w:r>
      <w:r>
        <w:rPr/>
        <w:t xml:space="preserve"> (2024). AI Conversational Interviewing: Transforming Surveys with LLMs as Adaptive Interviewers. </w:t>
      </w:r>
      <w:r>
        <w:rPr>
          <w:i/>
          <w:iCs/>
        </w:rPr>
        <w:t>arXiv preprint arXiv:2410.01824</w:t>
      </w:r>
      <w:r>
        <w:rPr/>
        <w:t xml:space="preserve">. </w:t>
      </w:r>
      <w:hyperlink r:id="rId5">
        <w:r>
          <w:rPr>
            <w:rStyle w:val="Hyperlink"/>
          </w:rPr>
          <w:t>https://arxiv.org/abs/2410.01824</w:t>
        </w:r>
      </w:hyperlink>
      <w:r>
        <w:rPr/>
        <w:t xml:space="preserve"> </w:t>
      </w:r>
    </w:p>
    <w:p>
      <w:pPr>
        <w:pStyle w:val="ListBullet"/>
        <w:numPr>
          <w:ilvl w:val="0"/>
          <w:numId w:val="1"/>
        </w:numPr>
        <w:rPr/>
      </w:pPr>
      <w:r>
        <w:rPr/>
        <w:t>Structured surveys, while efficient for large-scale data collection, are limited by their rigid format, which can cause respondent fatigue and restrict the depth of responses. Conversational interviewing offers a more flexible alternative, allowing for richer, open-ended responses, but is costly and difficult to scale due to the need for skilled human interviewers. LLMs present a potential solution to this trade-off, enabling scalable, in-depth AI conversational interviews that could match the quality of human-led interviews at a lower cost.</w:t>
      </w:r>
    </w:p>
    <w:p>
      <w:pPr>
        <w:pStyle w:val="ListBullet"/>
        <w:numPr>
          <w:ilvl w:val="0"/>
          <w:numId w:val="0"/>
        </w:numPr>
        <w:ind w:hanging="0" w:left="360"/>
        <w:rPr/>
      </w:pPr>
      <w:r>
        <w:rPr/>
      </w:r>
    </w:p>
    <w:p>
      <w:pPr>
        <w:pStyle w:val="ListBullet"/>
        <w:numPr>
          <w:ilvl w:val="0"/>
          <w:numId w:val="0"/>
        </w:numPr>
        <w:ind w:hanging="0" w:left="0"/>
        <w:rPr/>
      </w:pPr>
      <w:r>
        <w:rPr>
          <w:b/>
          <w:bCs/>
        </w:rPr>
        <w:t>Zhang, S., Xu, J., &amp; Alvero, A. J.</w:t>
      </w:r>
      <w:r>
        <w:rPr/>
        <w:t xml:space="preserve"> (2025). Generative ai meets open-ended survey </w:t>
      </w:r>
    </w:p>
    <w:p>
      <w:pPr>
        <w:pStyle w:val="ListBullet"/>
        <w:numPr>
          <w:ilvl w:val="0"/>
          <w:numId w:val="0"/>
        </w:numPr>
        <w:ind w:hanging="0" w:left="360"/>
        <w:rPr/>
      </w:pPr>
      <w:r>
        <w:rPr/>
        <w:t xml:space="preserve">responses: Research participant use of ai and homogenization. </w:t>
      </w:r>
      <w:r>
        <w:rPr>
          <w:i/>
          <w:iCs/>
        </w:rPr>
        <w:t>Sociological Methods &amp; Research</w:t>
      </w:r>
      <w:r>
        <w:rPr/>
        <w:t xml:space="preserve">, 00491241251327130.  </w:t>
      </w:r>
      <w:hyperlink r:id="rId6">
        <w:r>
          <w:rPr>
            <w:rStyle w:val="Hyperlink"/>
          </w:rPr>
          <w:t>https://journals.sagepub.com/doi/pdf/10.1177/00491241251327130</w:t>
        </w:r>
      </w:hyperlink>
      <w:r>
        <w:rPr/>
        <w:t xml:space="preserve"> </w:t>
      </w:r>
    </w:p>
    <w:p>
      <w:pPr>
        <w:pStyle w:val="ListBullet"/>
        <w:numPr>
          <w:ilvl w:val="0"/>
          <w:numId w:val="1"/>
        </w:numPr>
        <w:rPr>
          <w:sz w:val="22"/>
          <w:szCs w:val="22"/>
        </w:rPr>
      </w:pPr>
      <w:r>
        <w:rPr>
          <w:sz w:val="22"/>
          <w:szCs w:val="22"/>
        </w:rPr>
        <w:t>This study shows the emergence of research participants using LLMs to answer open-ended questions in online survey and experiments. The study raises important concerns about how AI use could bias survey research by masking social variation and steering responses toward more sanitized, and homogenous perspectives.</w:t>
      </w:r>
    </w:p>
    <w:p>
      <w:pPr>
        <w:pStyle w:val="Normal"/>
        <w:rPr/>
      </w:pPr>
      <w:r>
        <w:rPr/>
      </w:r>
    </w:p>
    <w:p>
      <w:pPr>
        <w:pStyle w:val="Normal"/>
        <w:rPr/>
      </w:pPr>
      <w:r>
        <w:rPr/>
      </w:r>
    </w:p>
    <w:p>
      <w:pPr>
        <w:pStyle w:val="Normal"/>
        <w:rPr>
          <w:b/>
          <w:bCs/>
        </w:rPr>
      </w:pPr>
      <w:r>
        <w:rPr>
          <w:b/>
          <w:bCs/>
        </w:rPr>
        <w:t>AI in Open-text responses</w:t>
      </w:r>
    </w:p>
    <w:p>
      <w:pPr>
        <w:pStyle w:val="ListBullet"/>
        <w:numPr>
          <w:ilvl w:val="0"/>
          <w:numId w:val="0"/>
        </w:numPr>
        <w:ind w:hanging="360" w:left="360"/>
        <w:rPr/>
      </w:pPr>
      <w:r>
        <w:rPr>
          <w:b/>
          <w:bCs/>
        </w:rPr>
        <w:t>Mellon, J., Bailey, J., Scott, R., Breckwoldt, J., Miori, M., &amp; Schmedeman, P.</w:t>
      </w:r>
      <w:r>
        <w:rPr/>
        <w:t xml:space="preserve"> (2024). Do AIs know what the most important issue is? Using language models to code open-text social survey responses at scale. </w:t>
      </w:r>
      <w:r>
        <w:rPr>
          <w:i/>
          <w:iCs/>
        </w:rPr>
        <w:t>Sociological Methods &amp; Research</w:t>
      </w:r>
      <w:r>
        <w:rPr/>
        <w:t xml:space="preserve">, 53(1), 123-156. </w:t>
      </w:r>
      <w:hyperlink r:id="rId7">
        <w:r>
          <w:rPr>
            <w:rStyle w:val="Hyperlink"/>
          </w:rPr>
          <w:t>https://doi.org/10.1177/20531680241231468</w:t>
        </w:r>
      </w:hyperlink>
    </w:p>
    <w:p>
      <w:pPr>
        <w:pStyle w:val="ListBullet"/>
        <w:numPr>
          <w:ilvl w:val="0"/>
          <w:numId w:val="1"/>
        </w:numPr>
        <w:rPr>
          <w:sz w:val="22"/>
          <w:szCs w:val="22"/>
        </w:rPr>
      </w:pPr>
      <w:r>
        <w:rPr>
          <w:sz w:val="22"/>
          <w:szCs w:val="22"/>
        </w:rPr>
        <w:t>The study analyzed over 657,000 responses from the British Election Study and showed that LLMs can categorize open-ended survey answers using simple few-shot prompting without requiring extensive training data. These findings suggest LLMs could transform questionnaire research by enabling broader use of open-text questions, allowing researchers to capture richer, less constrained participant responses while maintaining analytical rigor through automated coding processes.</w:t>
      </w:r>
    </w:p>
    <w:p>
      <w:pPr>
        <w:pStyle w:val="ListBullet"/>
        <w:numPr>
          <w:ilvl w:val="0"/>
          <w:numId w:val="0"/>
        </w:numPr>
        <w:ind w:hanging="360" w:left="360"/>
        <w:rPr>
          <w:b/>
          <w:bCs/>
        </w:rPr>
      </w:pPr>
      <w:r>
        <w:rPr>
          <w:b/>
          <w:bCs/>
        </w:rPr>
      </w:r>
    </w:p>
    <w:p>
      <w:pPr>
        <w:pStyle w:val="ListBullet"/>
        <w:numPr>
          <w:ilvl w:val="0"/>
          <w:numId w:val="0"/>
        </w:numPr>
        <w:ind w:hanging="360" w:left="360"/>
        <w:rPr/>
      </w:pPr>
      <w:r>
        <w:rPr>
          <w:b/>
          <w:bCs/>
        </w:rPr>
        <w:t>Tai, R. H., Bentley, L. R., Xia, X., Sitt, J. M., Fankhauser, S. C., Chicas-Mosier, A. M., &amp; Monteith, B. G.</w:t>
      </w:r>
      <w:r>
        <w:rPr/>
        <w:t xml:space="preserve"> (2024). An examination of the use of large language models to aid analysis of textual data. </w:t>
      </w:r>
      <w:r>
        <w:rPr>
          <w:i/>
          <w:iCs/>
        </w:rPr>
        <w:t>International Journal of Qualitative Methods</w:t>
      </w:r>
      <w:r>
        <w:rPr/>
        <w:t xml:space="preserve">, 23, Article 16094069241231168. </w:t>
      </w:r>
      <w:hyperlink r:id="rId8">
        <w:r>
          <w:rPr>
            <w:rStyle w:val="Hyperlink"/>
          </w:rPr>
          <w:t>https://doi.org/10.1177/16094069241231168</w:t>
        </w:r>
      </w:hyperlink>
    </w:p>
    <w:p>
      <w:pPr>
        <w:pStyle w:val="ListBullet"/>
        <w:numPr>
          <w:ilvl w:val="0"/>
          <w:numId w:val="1"/>
        </w:numPr>
        <w:rPr>
          <w:sz w:val="22"/>
          <w:szCs w:val="22"/>
        </w:rPr>
      </w:pPr>
      <w:r>
        <w:rPr>
          <w:sz w:val="22"/>
          <w:szCs w:val="22"/>
        </w:rPr>
        <w:t>The "Large Language Model Quotient" (LLMq) - a reliability measure calculated by analyzing the same text multiple times through separate LLM sessions, is introduced as a new methodology for deductive coding. The methodology offers practical advantages including unlimited "raters" for reliability testing, cost-effective analysis of large qualitative datasets, bias detection capabilities, and support for solo researchers who lack access to multiple human coders, while still requiring human oversight for interpretation and validation of results.</w:t>
      </w:r>
    </w:p>
    <w:p>
      <w:pPr>
        <w:pStyle w:val="ListBullet"/>
        <w:numPr>
          <w:ilvl w:val="0"/>
          <w:numId w:val="0"/>
        </w:numPr>
        <w:ind w:hanging="360" w:left="360"/>
        <w:rPr/>
      </w:pPr>
      <w:r>
        <w:rPr>
          <w:b/>
          <w:bCs/>
        </w:rPr>
        <w:t>Wang, D., Zhang, X., &amp; Liu, S.</w:t>
      </w:r>
      <w:r>
        <w:rPr/>
        <w:t xml:space="preserve"> (2024). </w:t>
      </w:r>
      <w:hyperlink r:id="rId9">
        <w:r>
          <w:rPr>
            <w:rStyle w:val="Hyperlink"/>
          </w:rPr>
          <w:t>A practical guide to LLM-based categorical analysis of open-ended survey responses</w:t>
        </w:r>
      </w:hyperlink>
      <w:r>
        <w:rPr/>
        <w:t xml:space="preserve">. </w:t>
      </w:r>
      <w:r>
        <w:rPr>
          <w:i/>
          <w:iCs/>
        </w:rPr>
        <w:t>Journal of Survey Statistics and Methodology</w:t>
      </w:r>
      <w:r>
        <w:rPr/>
        <w:t>, 12(3), 456-478.</w:t>
        <w:tab/>
        <w:tab/>
      </w:r>
    </w:p>
    <w:p>
      <w:pPr>
        <w:pStyle w:val="ListBullet"/>
        <w:numPr>
          <w:ilvl w:val="0"/>
          <w:numId w:val="1"/>
        </w:numPr>
        <w:rPr>
          <w:sz w:val="22"/>
          <w:szCs w:val="22"/>
        </w:rPr>
      </w:pPr>
      <w:r>
        <w:rPr>
          <w:sz w:val="22"/>
          <w:szCs w:val="22"/>
        </w:rPr>
        <w:t>This is a comprehensive practical guide for implementing LLM-based categorical analysis of open-ended survey responses. The approach emphasizes the advantages of LLMs including automated text understanding, scalability, and consistent categorization while highlighting that LLMs can process raw human language without extensive preprocessing. The guide claims that LLMs are powerful augmentation tools rather than replacements for human expertise.</w:t>
      </w:r>
    </w:p>
    <w:p>
      <w:pPr>
        <w:pStyle w:val="ListBullet"/>
        <w:numPr>
          <w:ilvl w:val="0"/>
          <w:numId w:val="0"/>
        </w:numPr>
        <w:ind w:hanging="360" w:left="360"/>
        <w:rPr/>
      </w:pPr>
      <w:r>
        <w:rPr>
          <w:b/>
          <w:bCs/>
        </w:rPr>
        <w:t>Xiao, Z., Yuan, X., Liao, V. Q., Abdelghani, R., &amp; Oudeyer, P. Y.</w:t>
      </w:r>
      <w:r>
        <w:rPr/>
        <w:t xml:space="preserve"> (2023). Supporting qualitative analysis with large language models: Combining codebook with GPT-3 for deductive coding. In </w:t>
      </w:r>
      <w:r>
        <w:rPr>
          <w:i/>
          <w:iCs/>
        </w:rPr>
        <w:t>Proceedings of the 28th International Conference on Intelligent User Interfaces</w:t>
      </w:r>
      <w:r>
        <w:rPr/>
        <w:t xml:space="preserve"> (pp. 75-78). ACM. </w:t>
      </w:r>
      <w:hyperlink r:id="rId10">
        <w:r>
          <w:rPr>
            <w:rStyle w:val="Hyperlink"/>
          </w:rPr>
          <w:t>https://doi.org/10.1145/3581754.3584136</w:t>
        </w:r>
      </w:hyperlink>
    </w:p>
    <w:p>
      <w:pPr>
        <w:pStyle w:val="ListBullet"/>
        <w:numPr>
          <w:ilvl w:val="0"/>
          <w:numId w:val="1"/>
        </w:numPr>
        <w:rPr>
          <w:sz w:val="22"/>
          <w:szCs w:val="22"/>
        </w:rPr>
      </w:pPr>
      <w:r>
        <w:rPr>
          <w:sz w:val="22"/>
          <w:szCs w:val="22"/>
        </w:rPr>
        <w:t>LLMs can facilitate deductive coding in qualitative analysis by examining children's curiosity-driven questions (e.g., textural context) across two dimensions: question complexity and syntactic structure. The study demonstrates the feasibility of using LLMs for deductive coding tasks, particularly for large datasets, while identifying key challenges including the need for better error analysis, designing appropriate user reliance mechanisms, optimizing codebooks for LLMs, and extending the approach to support inductive coding processes that require more exploratory human-AI collaboration.</w:t>
        <w:tab/>
      </w:r>
    </w:p>
    <w:p>
      <w:pPr>
        <w:pStyle w:val="ListBullet"/>
        <w:numPr>
          <w:ilvl w:val="0"/>
          <w:numId w:val="0"/>
        </w:numPr>
        <w:ind w:hanging="360" w:left="360"/>
        <w:rPr/>
      </w:pPr>
      <w:r>
        <w:rPr/>
      </w:r>
    </w:p>
    <w:p>
      <w:pPr>
        <w:pStyle w:val="ListBullet"/>
        <w:numPr>
          <w:ilvl w:val="0"/>
          <w:numId w:val="0"/>
        </w:numPr>
        <w:ind w:hanging="0" w:left="0"/>
        <w:rPr/>
      </w:pPr>
      <w:r>
        <w:rPr/>
      </w:r>
    </w:p>
    <w:p>
      <w:pPr>
        <w:pStyle w:val="ListBullet"/>
        <w:numPr>
          <w:ilvl w:val="0"/>
          <w:numId w:val="0"/>
        </w:numPr>
        <w:ind w:hanging="360" w:left="360"/>
        <w:rPr/>
      </w:pPr>
      <w:r>
        <w:rPr/>
      </w:r>
    </w:p>
    <w:p>
      <w:pPr>
        <w:pStyle w:val="ListBullet"/>
        <w:numPr>
          <w:ilvl w:val="0"/>
          <w:numId w:val="0"/>
        </w:numPr>
        <w:ind w:hanging="360" w:left="360"/>
        <w:rPr/>
      </w:pPr>
      <w:r>
        <w:rPr/>
      </w:r>
    </w:p>
    <w:p>
      <w:pPr>
        <w:pStyle w:val="ListBullet"/>
        <w:numPr>
          <w:ilvl w:val="0"/>
          <w:numId w:val="0"/>
        </w:numPr>
        <w:ind w:hanging="360" w:left="360"/>
        <w:rPr>
          <w:b/>
          <w:bCs/>
        </w:rPr>
      </w:pPr>
      <w:r>
        <w:rPr>
          <w:b/>
          <w:bCs/>
        </w:rPr>
        <w:t>Limitations/Critiques of AI in questionnaire research</w:t>
      </w:r>
    </w:p>
    <w:p>
      <w:pPr>
        <w:pStyle w:val="ListBullet"/>
        <w:numPr>
          <w:ilvl w:val="0"/>
          <w:numId w:val="0"/>
        </w:numPr>
        <w:ind w:hanging="360" w:left="360"/>
        <w:rPr/>
      </w:pPr>
      <w:r>
        <w:rPr/>
      </w:r>
    </w:p>
    <w:p>
      <w:pPr>
        <w:pStyle w:val="ListBullet"/>
        <w:numPr>
          <w:ilvl w:val="0"/>
          <w:numId w:val="0"/>
        </w:numPr>
        <w:ind w:hanging="360" w:left="360"/>
        <w:rPr/>
      </w:pPr>
      <w:r>
        <w:rPr>
          <w:b/>
          <w:bCs/>
        </w:rPr>
        <w:t xml:space="preserve">Jansen, B. J., Jung, S. G., &amp; Salminen, J. </w:t>
      </w:r>
      <w:r>
        <w:rPr/>
        <w:t>(2023). Employing large language models in survey research. Natural Language Processing Journal, 4, 100020.</w:t>
      </w:r>
    </w:p>
    <w:p>
      <w:pPr>
        <w:pStyle w:val="ListBullet"/>
        <w:numPr>
          <w:ilvl w:val="0"/>
          <w:numId w:val="0"/>
        </w:numPr>
        <w:ind w:hanging="360" w:left="360"/>
        <w:rPr/>
      </w:pPr>
      <w:hyperlink r:id="rId11">
        <w:r>
          <w:rPr>
            <w:rStyle w:val="Hyperlink"/>
          </w:rPr>
          <w:t>https://www.sciencedirect.com/science/article/pii/S2949719123000171</w:t>
        </w:r>
      </w:hyperlink>
      <w:r>
        <w:rPr/>
        <w:tab/>
      </w:r>
    </w:p>
    <w:p>
      <w:pPr>
        <w:pStyle w:val="ListBullet"/>
        <w:numPr>
          <w:ilvl w:val="0"/>
          <w:numId w:val="1"/>
        </w:numPr>
        <w:rPr>
          <w:sz w:val="22"/>
          <w:szCs w:val="22"/>
        </w:rPr>
      </w:pPr>
      <w:r>
        <w:rPr>
          <w:sz w:val="22"/>
          <w:szCs w:val="22"/>
        </w:rPr>
        <w:t xml:space="preserve">This commentary examines the potential applications, benefits, and challenges of using LLMs in survey research across the entire research process. The authors explore how LLMs could assist in survey design (developing questions and response options), sampling (suggesting appropriate recruitment techniques), data cleaning and management (detecting inconsistencies and errors), data analysis (automating statistical analysis), and reporting (generating summaries and visualizations). </w:t>
      </w:r>
    </w:p>
    <w:p>
      <w:pPr>
        <w:pStyle w:val="ListBullet"/>
        <w:numPr>
          <w:ilvl w:val="0"/>
          <w:numId w:val="1"/>
        </w:numPr>
        <w:rPr>
          <w:sz w:val="22"/>
          <w:szCs w:val="22"/>
        </w:rPr>
      </w:pPr>
      <w:r>
        <w:rPr>
          <w:sz w:val="22"/>
          <w:szCs w:val="22"/>
        </w:rPr>
        <w:t>The paper identifies significant advantages including scalability, consistency, cost-effectiveness, multilingual capabilities, and conclude with a provocative question about whether synthetic LLM-generated responses could accurately represent average public opinion, suggesting this possibility deserves serious investigation rather than categorical rejection. They emphasize that while LLMs will inevitably become part of survey research processes, careful consideration of ethical standards, appropriate use guidelines, and integration with traditional methods is essential to minimizing risks to research validity and integrity.</w:t>
        <w:tab/>
      </w:r>
    </w:p>
    <w:p>
      <w:pPr>
        <w:pStyle w:val="ListBullet"/>
        <w:numPr>
          <w:ilvl w:val="0"/>
          <w:numId w:val="0"/>
        </w:numPr>
        <w:ind w:hanging="0" w:left="360"/>
        <w:rPr/>
      </w:pPr>
      <w:r>
        <w:rPr/>
      </w:r>
    </w:p>
    <w:p>
      <w:pPr>
        <w:pStyle w:val="ListBullet"/>
        <w:numPr>
          <w:ilvl w:val="0"/>
          <w:numId w:val="0"/>
        </w:numPr>
        <w:ind w:hanging="360" w:left="360"/>
        <w:rPr>
          <w:b/>
          <w:bCs/>
        </w:rPr>
      </w:pPr>
      <w:r>
        <w:rPr>
          <w:b/>
          <w:bCs/>
        </w:rPr>
        <w:t>AI generating survey questions</w:t>
      </w:r>
    </w:p>
    <w:p>
      <w:pPr>
        <w:pStyle w:val="ListBullet"/>
        <w:numPr>
          <w:ilvl w:val="0"/>
          <w:numId w:val="0"/>
        </w:numPr>
        <w:ind w:hanging="0" w:left="0"/>
        <w:rPr/>
      </w:pPr>
      <w:r>
        <w:rPr/>
      </w:r>
    </w:p>
    <w:p>
      <w:pPr>
        <w:pStyle w:val="ListBullet"/>
        <w:numPr>
          <w:ilvl w:val="0"/>
          <w:numId w:val="0"/>
        </w:numPr>
        <w:ind w:hanging="360" w:left="360"/>
        <w:rPr/>
      </w:pPr>
      <w:r>
        <w:rPr>
          <w:b/>
          <w:bCs/>
        </w:rPr>
        <w:t>NORC at the University of Chicago</w:t>
      </w:r>
      <w:r>
        <w:rPr/>
        <w:t xml:space="preserve"> (2024). </w:t>
      </w:r>
      <w:r>
        <w:rPr>
          <w:i/>
          <w:iCs/>
        </w:rPr>
        <w:t>The promise &amp; pitfalls of AI-augmented survey research</w:t>
      </w:r>
      <w:r>
        <w:rPr/>
        <w:t xml:space="preserve">. NORC Research Report. </w:t>
      </w:r>
      <w:hyperlink r:id="rId12">
        <w:r>
          <w:rPr>
            <w:rStyle w:val="Hyperlink"/>
          </w:rPr>
          <w:t>https://www.norc.org/research/library/promise-pitfalls-ai-augmented-survey-research.html</w:t>
        </w:r>
      </w:hyperlink>
    </w:p>
    <w:p>
      <w:pPr>
        <w:pStyle w:val="ListBullet"/>
        <w:numPr>
          <w:ilvl w:val="0"/>
          <w:numId w:val="1"/>
        </w:numPr>
        <w:rPr>
          <w:sz w:val="22"/>
          <w:szCs w:val="22"/>
        </w:rPr>
      </w:pPr>
      <w:r>
        <w:rPr>
          <w:sz w:val="22"/>
          <w:szCs w:val="22"/>
        </w:rPr>
        <w:t xml:space="preserve">This opinion piece from NORC provides a balanced assessment of LLMs' applications and limitations in survey research based on practical experience. They identify five key applications where LLMs show promise: automating coding of open-ended responses (reducing labor intensity while maintaining quality comparable to human coders), </w:t>
      </w:r>
      <w:r>
        <w:rPr>
          <w:b/>
          <w:bCs/>
          <w:sz w:val="22"/>
          <w:szCs w:val="22"/>
        </w:rPr>
        <w:t>enhancing questionnaire design</w:t>
      </w:r>
      <w:r>
        <w:rPr>
          <w:sz w:val="22"/>
          <w:szCs w:val="22"/>
        </w:rPr>
        <w:t xml:space="preserve"> (helping draft effective questions and suggesting bias-reducing variations), imputing missing public opinion data (filling gaps in historical trends and exploring underrepresented populations), implementing AI-assisted chatbots for survey delivery (improving response quality and completion rates through interactive guidance), and detecting fraud and ensuring data quality (identifying patterns inconsistent with genuine human behavior). LLMs are powerful augmentation tools rather than replacements for trained survey methodologists, emphasizing the need for rigorous testing, transparency, version control, and validation to understand biases while leveraging AI's efficiency and scalability to unlock new insights in survey research.</w:t>
      </w:r>
    </w:p>
    <w:p>
      <w:pPr>
        <w:pStyle w:val="ListBullet"/>
        <w:numPr>
          <w:ilvl w:val="0"/>
          <w:numId w:val="0"/>
        </w:numPr>
        <w:ind w:hanging="360" w:left="360"/>
        <w:rPr/>
      </w:pPr>
      <w:r>
        <w:rPr/>
      </w:r>
    </w:p>
    <w:p>
      <w:pPr>
        <w:pStyle w:val="ListBullet"/>
        <w:numPr>
          <w:ilvl w:val="0"/>
          <w:numId w:val="0"/>
        </w:numPr>
        <w:ind w:hanging="360" w:left="360"/>
        <w:rPr/>
      </w:pPr>
      <w:r>
        <w:rPr>
          <w:b/>
          <w:bCs/>
        </w:rPr>
        <w:t>Padgett, Z., Maiorino, A., &amp; Gutierrez, S.</w:t>
      </w:r>
      <w:r>
        <w:rPr/>
        <w:t xml:space="preserve"> (2024). Evaluating the quality of questionnaires created with SurveyMonkey's Build with AI. Paper presented at AAPOR Conference, Atlanta, GA.</w:t>
      </w:r>
    </w:p>
    <w:p>
      <w:pPr>
        <w:pStyle w:val="ListBullet"/>
        <w:numPr>
          <w:ilvl w:val="0"/>
          <w:numId w:val="0"/>
        </w:numPr>
        <w:ind w:hanging="360" w:left="360"/>
        <w:rPr/>
      </w:pPr>
      <w:hyperlink r:id="rId13">
        <w:r>
          <w:rPr>
            <w:rStyle w:val="Hyperlink"/>
          </w:rPr>
          <w:t>https://aapor.confex.com/aapor/2024/meetingapp.cgi/Paper/3198</w:t>
        </w:r>
      </w:hyperlink>
      <w:r>
        <w:rPr/>
        <w:t xml:space="preserve"> </w:t>
      </w:r>
    </w:p>
    <w:p>
      <w:pPr>
        <w:pStyle w:val="ListBullet"/>
        <w:numPr>
          <w:ilvl w:val="0"/>
          <w:numId w:val="1"/>
        </w:numPr>
        <w:rPr>
          <w:sz w:val="22"/>
          <w:szCs w:val="22"/>
        </w:rPr>
      </w:pPr>
      <w:r>
        <w:rPr>
          <w:sz w:val="22"/>
          <w:szCs w:val="22"/>
        </w:rPr>
        <w:t xml:space="preserve">This AAPOR presentation from SurveyMonkey researchers evaluates the quality of AI-generated questionnaires on their platform leveraging LLMs to streamline survey creation through natural language prompts. The evaluation methodology combines automated metrics-based assessments with comprehensive human measuring aspects like question text quality, clarity, pre-assumptions, sensitivity/bias, response options, question order, and relevance to prompts. The study identified that LLMs excel at producing highly relevant questions with simple, clear language and helpful response options for select-all questions, but struggle with including too many open-ended and yes/no questions, and question ordering. </w:t>
      </w:r>
    </w:p>
    <w:p>
      <w:pPr>
        <w:pStyle w:val="ListBullet"/>
        <w:numPr>
          <w:ilvl w:val="0"/>
          <w:numId w:val="0"/>
        </w:numPr>
        <w:ind w:hanging="0" w:left="0"/>
        <w:rPr/>
      </w:pPr>
      <w:r>
        <w:rPr/>
      </w:r>
    </w:p>
    <w:p>
      <w:pPr>
        <w:pStyle w:val="ListBullet"/>
        <w:numPr>
          <w:ilvl w:val="0"/>
          <w:numId w:val="0"/>
        </w:numPr>
        <w:ind w:hanging="0" w:left="0"/>
        <w:rPr/>
      </w:pPr>
      <w:r>
        <w:rPr/>
      </w:r>
    </w:p>
    <w:p>
      <w:pPr>
        <w:pStyle w:val="ListBullet"/>
        <w:numPr>
          <w:ilvl w:val="0"/>
          <w:numId w:val="0"/>
        </w:numPr>
        <w:ind w:hanging="360" w:left="360"/>
        <w:rPr>
          <w:b/>
          <w:bCs/>
        </w:rPr>
      </w:pPr>
      <w:r>
        <w:rPr>
          <w:b/>
          <w:bCs/>
        </w:rPr>
      </w:r>
    </w:p>
    <w:p>
      <w:pPr>
        <w:pStyle w:val="Normal"/>
        <w:rPr>
          <w:b/>
          <w:bCs/>
        </w:rPr>
      </w:pPr>
      <w:r>
        <w:rPr>
          <w:b/>
          <w:bCs/>
        </w:rPr>
        <w:t>Synthetic Responses</w:t>
      </w:r>
    </w:p>
    <w:p>
      <w:pPr>
        <w:pStyle w:val="Normal"/>
        <w:rPr/>
      </w:pPr>
      <w:r>
        <w:rPr/>
        <w:t xml:space="preserve">Meem, F. N., Smith, J., &amp; Johnson, B. (2024, September). Challenges and opportunities for survey research in the age of generative ai: An experience report. In </w:t>
      </w:r>
      <w:r>
        <w:rPr>
          <w:i/>
        </w:rPr>
        <w:t>2024 IEEE Symposium on Visual Languages and Human-Centric Computing (VL/HCC)</w:t>
      </w:r>
      <w:r>
        <w:rPr/>
        <w:t xml:space="preserve"> (pp. 423-428). IEEE. </w:t>
      </w:r>
      <w:hyperlink r:id="rId14">
        <w:r>
          <w:rPr>
            <w:rStyle w:val="Hyperlink"/>
          </w:rPr>
          <w:t>https://ieeexplore.ieee.org/document/10714567</w:t>
        </w:r>
      </w:hyperlink>
      <w:r>
        <w:rPr/>
        <w:t xml:space="preserve"> </w:t>
      </w:r>
    </w:p>
    <w:p>
      <w:pPr>
        <w:pStyle w:val="BodyText"/>
        <w:numPr>
          <w:ilvl w:val="0"/>
          <w:numId w:val="2"/>
        </w:numPr>
        <w:rPr/>
      </w:pPr>
      <w:r>
        <w:rPr/>
        <w:t>This paper presents an experience report on conducting survey research about automated program repair (APR) tools among software practitioners in the age of generative AI. The researchers collected 800 survey responses but lost over half due to data integrity concerns, with a major unexpected challenge being the identification of AI-generated responses in open-ended questions. They found that several respondents likely used AI assistants like ChatGPT to complete survey responses, which showed distinctive formatting patterns such as "Keyword: Definition" structures. The paper discusses both anticipated challenges (survey distribution, data integrity, collecting sensitive data) and unanticipated ones (AI-generated responses, handling sensitive demographic data), along with mitigation strategies including attention questions, response time thresholds, and manual review processes. The authors emphasize the growing importance of detecting AI-generated content in survey research and recommend explicitly discouraging AI use in survey design, while also highlighting the value of collecting demographic data to understand sample representation and identify gaps for future targeted research.</w:t>
      </w:r>
    </w:p>
    <w:p>
      <w:pPr>
        <w:pStyle w:val="Normal"/>
        <w:rPr/>
      </w:pPr>
      <w:r>
        <w:rPr/>
      </w:r>
    </w:p>
    <w:p>
      <w:pPr>
        <w:pStyle w:val="Normal"/>
        <w:rPr/>
      </w:pPr>
      <w:r>
        <w:rPr/>
        <w:t xml:space="preserve">Metheney, E. A., &amp; Yehle, L. (2024). Exploring the Potential Role of Generative AI in the TRAPD Procedure for Survey Translation. </w:t>
      </w:r>
      <w:r>
        <w:rPr>
          <w:i/>
          <w:iCs/>
        </w:rPr>
        <w:t xml:space="preserve">arXiv preprint </w:t>
      </w:r>
      <w:hyperlink r:id="rId15">
        <w:r>
          <w:rPr>
            <w:rStyle w:val="Hyperlink"/>
            <w:i/>
            <w:iCs/>
          </w:rPr>
          <w:t>arXiv:2411.14472</w:t>
        </w:r>
      </w:hyperlink>
      <w:r>
        <w:rPr/>
        <w:t xml:space="preserve">. </w:t>
      </w:r>
    </w:p>
    <w:p>
      <w:pPr>
        <w:pStyle w:val="BodyText"/>
        <w:numPr>
          <w:ilvl w:val="0"/>
          <w:numId w:val="3"/>
        </w:numPr>
        <w:rPr/>
      </w:pPr>
      <w:r>
        <w:rPr/>
        <w:t>This research study investigated the potential of ChatGPT to support survey translation best practices, specifically within the established TRAPD (Translation, Review, Adjudication, Pretesting, and Documentation) method. The researchers conducted a zero-shot prompt experiment to evaluate how well ChatGPT models (GPT-3.5 and GPT-4) could identify translation issues across different contexts, finding that AI showed significant promise in providing cost-effective and time-efficient feedback on various survey translation problems. The study revealed that prompt construction, model choice, and target language audience specification significantly impacted the AI's output quality, with some unexpected findings regarding when models were more likely to flag different types of issues. While the results suggest generative AI could meaningfully enhance existing translation practices by reducing cognitive burden and allowing experts to focus on problem-solving rather than problem identification, the researchers emphasize that critical questions about accuracy and optimal integration methods must be addressed before AI can be fully incorporated into survey translation workflows.</w:t>
      </w:r>
    </w:p>
    <w:p>
      <w:pPr>
        <w:pStyle w:val="Normal"/>
        <w:ind w:left="720"/>
        <w:rPr/>
      </w:pPr>
      <w:r>
        <w:rPr/>
      </w:r>
    </w:p>
    <w:p>
      <w:pPr>
        <w:pStyle w:val="Normal"/>
        <w:rPr/>
      </w:pPr>
      <w:r>
        <w:rPr/>
        <w:t>Health surveys</w:t>
      </w:r>
    </w:p>
    <w:p>
      <w:pPr>
        <w:pStyle w:val="ListBullet"/>
        <w:numPr>
          <w:ilvl w:val="0"/>
          <w:numId w:val="0"/>
        </w:numPr>
        <w:ind w:hanging="0" w:left="360"/>
        <w:rPr/>
      </w:pPr>
      <w:r>
        <w:rPr/>
        <w:t xml:space="preserve">Terheyden, J.H., Pielka, M., Schneider, T. </w:t>
      </w:r>
      <w:r>
        <w:rPr>
          <w:i/>
          <w:iCs/>
        </w:rPr>
        <w:t>et al.</w:t>
      </w:r>
      <w:r>
        <w:rPr/>
        <w:t xml:space="preserve"> A new generation of patient-reported outcome measures with large language models. </w:t>
      </w:r>
      <w:r>
        <w:rPr>
          <w:i/>
          <w:iCs/>
        </w:rPr>
        <w:t>J Patient Rep Outcomes</w:t>
      </w:r>
      <w:r>
        <w:rPr/>
        <w:t xml:space="preserve"> </w:t>
      </w:r>
      <w:r>
        <w:rPr>
          <w:b/>
          <w:bCs/>
        </w:rPr>
        <w:t>9</w:t>
      </w:r>
      <w:r>
        <w:rPr/>
        <w:t xml:space="preserve">, 34 (2025). </w:t>
      </w:r>
      <w:hyperlink r:id="rId16">
        <w:r>
          <w:rPr>
            <w:rStyle w:val="Hyperlink"/>
          </w:rPr>
          <w:t>https://doi.org/10.1186/s41687-025-00867-4</w:t>
        </w:r>
      </w:hyperlink>
      <w:r>
        <w:rPr/>
        <w:t xml:space="preserve"> </w:t>
      </w:r>
    </w:p>
    <w:p>
      <w:pPr>
        <w:pStyle w:val="ListParagraph"/>
        <w:numPr>
          <w:ilvl w:val="0"/>
          <w:numId w:val="4"/>
        </w:numPr>
        <w:suppressAutoHyphens w:val="false"/>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Terheyden et al. (2025) propose "LLM-PROMs," a new generation of patient-reported outcome measures that use large language models to generate personalized, open-ended questions and interpret free-text patient responses in real-time through machine learning algorithms. Unlike traditional PROMs with rigid, structured questionnaires that limit patient expression and burden respondents, LLM-PROMs promise to capture patient-relevant health dimensions through natural language interactions while maintaining psychometric rigor. The authors emphasize that these AI-powered tools must undergo rigorous validation against established PROMs and require multi-stakeholder development, but could revolutionize patient-centered care by enabling more personalized, accessible, and comprehensive health assessments in digital clinical applications.</w:t>
      </w:r>
    </w:p>
    <w:p>
      <w:pPr>
        <w:pStyle w:val="ListBullet"/>
        <w:numPr>
          <w:ilvl w:val="0"/>
          <w:numId w:val="0"/>
        </w:numPr>
        <w:ind w:hanging="360" w:left="360"/>
        <w:rPr/>
      </w:pPr>
      <w:r>
        <w:rPr/>
      </w:r>
    </w:p>
    <w:p>
      <w:pPr>
        <w:pStyle w:val="ListBullet"/>
        <w:numPr>
          <w:ilvl w:val="0"/>
          <w:numId w:val="0"/>
        </w:numPr>
        <w:ind w:hanging="0" w:left="360"/>
        <w:rPr/>
      </w:pPr>
      <w:r>
        <w:rPr/>
        <w:t xml:space="preserve">Cruz Rivera, S., Liu, X., Hughes, S. E., Dunster, H., Manna, E., Denniston, A. K., &amp; Calvert, M. J. (2023). Embedding patient-reported outcomes at the heart of artificial intelligence health-care technologies. </w:t>
      </w:r>
      <w:r>
        <w:rPr>
          <w:i/>
          <w:iCs/>
        </w:rPr>
        <w:t>The Lancet. Digital health</w:t>
      </w:r>
      <w:r>
        <w:rPr/>
        <w:t xml:space="preserve">, </w:t>
      </w:r>
      <w:r>
        <w:rPr>
          <w:i/>
          <w:iCs/>
        </w:rPr>
        <w:t>5</w:t>
      </w:r>
      <w:r>
        <w:rPr/>
        <w:t xml:space="preserve">(3), e168–e173. </w:t>
      </w:r>
      <w:hyperlink r:id="rId17">
        <w:r>
          <w:rPr>
            <w:rStyle w:val="Hyperlink"/>
          </w:rPr>
          <w:t>https://doi.org/10.1016/S2589-7500(22)00252-7</w:t>
        </w:r>
      </w:hyperlink>
      <w:r>
        <w:rPr/>
        <w:t xml:space="preserve"> </w:t>
      </w:r>
    </w:p>
    <w:p>
      <w:pPr>
        <w:pStyle w:val="ListBullet"/>
        <w:numPr>
          <w:ilvl w:val="0"/>
          <w:numId w:val="4"/>
        </w:numPr>
        <w:rPr/>
      </w:pPr>
      <w:r>
        <w:rPr/>
      </w:r>
    </w:p>
    <w:p>
      <w:pPr>
        <w:pStyle w:val="ListBullet"/>
        <w:numPr>
          <w:ilvl w:val="0"/>
          <w:numId w:val="0"/>
        </w:numPr>
        <w:ind w:hanging="360" w:left="360"/>
        <w:rPr/>
      </w:pPr>
      <w:r>
        <w:rPr/>
      </w:r>
    </w:p>
    <w:p>
      <w:pPr>
        <w:pStyle w:val="ListBullet"/>
        <w:numPr>
          <w:ilvl w:val="0"/>
          <w:numId w:val="0"/>
        </w:numPr>
        <w:ind w:hanging="360" w:left="360"/>
        <w:rPr/>
      </w:pPr>
      <w:r>
        <w:rPr/>
      </w:r>
    </w:p>
    <w:p>
      <w:pPr>
        <w:pStyle w:val="ListBullet"/>
        <w:numPr>
          <w:ilvl w:val="0"/>
          <w:numId w:val="0"/>
        </w:numPr>
        <w:ind w:hanging="360" w:left="360"/>
        <w:rPr/>
      </w:pPr>
      <w:r>
        <w:rPr/>
      </w:r>
    </w:p>
    <w:p>
      <w:pPr>
        <w:pStyle w:val="ListBullet"/>
        <w:numPr>
          <w:ilvl w:val="0"/>
          <w:numId w:val="0"/>
        </w:numPr>
        <w:ind w:hanging="0" w:left="0"/>
        <w:rPr/>
      </w:pPr>
      <w:r>
        <w:rPr/>
        <w:drawing>
          <wp:inline distT="0" distB="0" distL="0" distR="0">
            <wp:extent cx="5610860" cy="4496435"/>
            <wp:effectExtent l="0" t="0" r="0" b="0"/>
            <wp:docPr id="1" name="Picture 1" descr="A diagram of a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response&#10;&#10;AI-generated content may be incorrect."/>
                    <pic:cNvPicPr>
                      <a:picLocks noChangeAspect="1" noChangeArrowheads="1"/>
                    </pic:cNvPicPr>
                  </pic:nvPicPr>
                  <pic:blipFill>
                    <a:blip r:embed="rId18"/>
                    <a:stretch>
                      <a:fillRect/>
                    </a:stretch>
                  </pic:blipFill>
                  <pic:spPr bwMode="auto">
                    <a:xfrm>
                      <a:off x="0" y="0"/>
                      <a:ext cx="5610860" cy="4496435"/>
                    </a:xfrm>
                    <a:prstGeom prst="rect">
                      <a:avLst/>
                    </a:prstGeom>
                    <a:noFill/>
                  </pic:spPr>
                </pic:pic>
              </a:graphicData>
            </a:graphic>
          </wp:inline>
        </w:drawing>
      </w:r>
    </w:p>
    <w:p>
      <w:pPr>
        <w:pStyle w:val="Normal"/>
        <w:rPr/>
      </w:pPr>
      <w:r>
        <w:rPr/>
      </w:r>
    </w:p>
    <w:p>
      <w:pPr>
        <w:pStyle w:val="Normal"/>
        <w:widowControl/>
        <w:suppressAutoHyphens w:val="true"/>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76529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6529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6529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6529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6529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6529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6529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6529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6529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6529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6529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6529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6529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6529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6529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6529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6529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6529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6529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6529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65294"/>
    <w:rPr>
      <w:i/>
      <w:iCs/>
      <w:color w:themeColor="text1" w:themeTint="bf" w:val="404040"/>
    </w:rPr>
  </w:style>
  <w:style w:type="character" w:styleId="IntenseEmphasis">
    <w:name w:val="Intense Emphasis"/>
    <w:basedOn w:val="DefaultParagraphFont"/>
    <w:uiPriority w:val="21"/>
    <w:qFormat/>
    <w:rsid w:val="00765294"/>
    <w:rPr>
      <w:i/>
      <w:iCs/>
      <w:color w:themeColor="accent1" w:themeShade="bf" w:val="0F4761"/>
    </w:rPr>
  </w:style>
  <w:style w:type="character" w:styleId="IntenseQuoteChar" w:customStyle="1">
    <w:name w:val="Intense Quote Char"/>
    <w:basedOn w:val="DefaultParagraphFont"/>
    <w:link w:val="IntenseQuote"/>
    <w:uiPriority w:val="30"/>
    <w:qFormat/>
    <w:rsid w:val="00765294"/>
    <w:rPr>
      <w:i/>
      <w:iCs/>
      <w:color w:themeColor="accent1" w:themeShade="bf" w:val="0F4761"/>
    </w:rPr>
  </w:style>
  <w:style w:type="character" w:styleId="IntenseReference">
    <w:name w:val="Intense Reference"/>
    <w:basedOn w:val="DefaultParagraphFont"/>
    <w:uiPriority w:val="32"/>
    <w:qFormat/>
    <w:rsid w:val="00765294"/>
    <w:rPr>
      <w:b/>
      <w:bCs/>
      <w:smallCaps/>
      <w:color w:themeColor="accent1" w:themeShade="bf" w:val="0F4761"/>
      <w:spacing w:val="5"/>
    </w:rPr>
  </w:style>
  <w:style w:type="character" w:styleId="Hyperlink">
    <w:name w:val="Hyperlink"/>
    <w:basedOn w:val="DefaultParagraphFont"/>
    <w:uiPriority w:val="99"/>
    <w:unhideWhenUsed/>
    <w:rsid w:val="00ea461e"/>
    <w:rPr>
      <w:color w:themeColor="hyperlink" w:val="467886"/>
      <w:u w:val="single"/>
    </w:rPr>
  </w:style>
  <w:style w:type="character" w:styleId="UnresolvedMention">
    <w:name w:val="Unresolved Mention"/>
    <w:basedOn w:val="DefaultParagraphFont"/>
    <w:uiPriority w:val="99"/>
    <w:semiHidden/>
    <w:unhideWhenUsed/>
    <w:qFormat/>
    <w:rsid w:val="00ea461e"/>
    <w:rPr>
      <w:color w:val="605E5C"/>
      <w:shd w:fill="E1DFDD" w:val="clear"/>
    </w:rPr>
  </w:style>
  <w:style w:type="character" w:styleId="FollowedHyperlink">
    <w:name w:val="FollowedHyperlink"/>
    <w:basedOn w:val="DefaultParagraphFont"/>
    <w:uiPriority w:val="99"/>
    <w:semiHidden/>
    <w:unhideWhenUsed/>
    <w:rsid w:val="00ea461e"/>
    <w:rPr>
      <w:color w:themeColor="followedHyperlink" w:val="96607D"/>
      <w:u w:val="single"/>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Title">
    <w:name w:val="Title"/>
    <w:basedOn w:val="Normal"/>
    <w:next w:val="Normal"/>
    <w:link w:val="TitleChar"/>
    <w:uiPriority w:val="10"/>
    <w:qFormat/>
    <w:rsid w:val="00765294"/>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76529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65294"/>
    <w:pPr>
      <w:spacing w:before="160" w:after="160"/>
      <w:jc w:val="center"/>
    </w:pPr>
    <w:rPr>
      <w:i/>
      <w:iCs/>
      <w:color w:themeColor="text1" w:themeTint="bf" w:val="404040"/>
    </w:rPr>
  </w:style>
  <w:style w:type="paragraph" w:styleId="ListParagraph">
    <w:name w:val="List Paragraph"/>
    <w:basedOn w:val="Normal"/>
    <w:uiPriority w:val="34"/>
    <w:qFormat/>
    <w:rsid w:val="00765294"/>
    <w:pPr>
      <w:spacing w:before="0" w:after="160"/>
      <w:ind w:left="720"/>
      <w:contextualSpacing/>
    </w:pPr>
    <w:rPr/>
  </w:style>
  <w:style w:type="paragraph" w:styleId="IntenseQuote">
    <w:name w:val="Intense Quote"/>
    <w:basedOn w:val="Normal"/>
    <w:next w:val="Normal"/>
    <w:link w:val="IntenseQuoteChar"/>
    <w:uiPriority w:val="30"/>
    <w:qFormat/>
    <w:rsid w:val="0076529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ListBullet">
    <w:name w:val="List Bullet"/>
    <w:basedOn w:val="Normal"/>
    <w:uiPriority w:val="99"/>
    <w:unhideWhenUsed/>
    <w:rsid w:val="00ea461e"/>
    <w:pPr>
      <w:numPr>
        <w:ilvl w:val="0"/>
        <w:numId w:val="1"/>
      </w:numPr>
      <w:spacing w:before="0" w:after="160"/>
      <w:contextualSpacing/>
    </w:pPr>
    <w:rPr/>
  </w:style>
  <w:style w:type="paragraph" w:styleId="whitespace-normal" w:customStyle="1">
    <w:name w:val="whitespace-normal"/>
    <w:basedOn w:val="Normal"/>
    <w:qFormat/>
    <w:rsid w:val="00b57780"/>
    <w:pPr>
      <w:spacing w:lineRule="auto" w:line="240" w:beforeAutospacing="1" w:afterAutospacing="1"/>
    </w:pPr>
    <w:rPr>
      <w:rFonts w:ascii="Times New Roman" w:hAnsi="Times New Roman" w:eastAsia="Times New Roman" w:cs="Times New Roman"/>
      <w:kern w:val="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pdf/2406.16937" TargetMode="External"/><Relationship Id="rId3" Type="http://schemas.openxmlformats.org/officeDocument/2006/relationships/hyperlink" Target="https://dl.acm.org/doi/full/10.1145/3706598.3714128" TargetMode="External"/><Relationship Id="rId4" Type="http://schemas.openxmlformats.org/officeDocument/2006/relationships/hyperlink" Target="https://papers.ssrn.com/sol3/papers.cfm?abstract_id=5194078" TargetMode="External"/><Relationship Id="rId5" Type="http://schemas.openxmlformats.org/officeDocument/2006/relationships/hyperlink" Target="https://arxiv.org/abs/2410.01824" TargetMode="External"/><Relationship Id="rId6" Type="http://schemas.openxmlformats.org/officeDocument/2006/relationships/hyperlink" Target="https://journals.sagepub.com/doi/pdf/10.1177/00491241251327130" TargetMode="External"/><Relationship Id="rId7" Type="http://schemas.openxmlformats.org/officeDocument/2006/relationships/hyperlink" Target="https://doi.org/10.1177/20531680241231468" TargetMode="External"/><Relationship Id="rId8" Type="http://schemas.openxmlformats.org/officeDocument/2006/relationships/hyperlink" Target="https://doi.org/10.1177/16094069241231168" TargetMode="External"/><Relationship Id="rId9" Type="http://schemas.openxmlformats.org/officeDocument/2006/relationships/hyperlink" Target="https://www.linkedin.com/pulse/practical-guide-llm-based-categorical-analysis-open-ended-ding-wang-nmd0c" TargetMode="External"/><Relationship Id="rId10" Type="http://schemas.openxmlformats.org/officeDocument/2006/relationships/hyperlink" Target="https://doi.org/10.1145/3581754.3584136" TargetMode="External"/><Relationship Id="rId11" Type="http://schemas.openxmlformats.org/officeDocument/2006/relationships/hyperlink" Target="https://www.sciencedirect.com/science/article/pii/S2949719123000171" TargetMode="External"/><Relationship Id="rId12" Type="http://schemas.openxmlformats.org/officeDocument/2006/relationships/hyperlink" Target="https://www.norc.org/research/library/promise-pitfalls-ai-augmented-survey-research.html" TargetMode="External"/><Relationship Id="rId13" Type="http://schemas.openxmlformats.org/officeDocument/2006/relationships/hyperlink" Target="https://aapor.confex.com/aapor/2024/meetingapp.cgi/Paper/3198" TargetMode="External"/><Relationship Id="rId14" Type="http://schemas.openxmlformats.org/officeDocument/2006/relationships/hyperlink" Target="https://ieeexplore.ieee.org/document/10714567" TargetMode="External"/><Relationship Id="rId15" Type="http://schemas.openxmlformats.org/officeDocument/2006/relationships/hyperlink" Target="https://arxiv.org/pdf/2411.14472" TargetMode="External"/><Relationship Id="rId16" Type="http://schemas.openxmlformats.org/officeDocument/2006/relationships/hyperlink" Target="https://doi.org/10.1186/s41687-025-00867-4" TargetMode="External"/><Relationship Id="rId17" Type="http://schemas.openxmlformats.org/officeDocument/2006/relationships/hyperlink" Target="https://doi.org/10.1016/S2589-7500(22)00252-7" TargetMode="External"/><Relationship Id="rId18" Type="http://schemas.openxmlformats.org/officeDocument/2006/relationships/image" Target="media/image1.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0121B-8704-4C6B-995D-F5FF54A86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3957</TotalTime>
  <Application>LibreOffice/25.2.7.2$Windows_X86_64 LibreOffice_project/5cbfd1ab6520636bb5f7b99185aa69bd7456825d</Application>
  <AppVersion>15.0000</AppVersion>
  <Pages>13</Pages>
  <Words>4184</Words>
  <Characters>27777</Characters>
  <CharactersWithSpaces>31832</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2025-06-10T12:43:00Z</dcterms:created>
  <dc:creator>Linares, Kevin</dc:creator>
  <dc:description/>
  <dc:language>en-US</dc:language>
  <cp:lastModifiedBy/>
  <dcterms:modified xsi:type="dcterms:W3CDTF">2026-01-19T13:01:40Z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