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659F" w14:textId="77777777" w:rsidR="004A49C6" w:rsidRDefault="00000000">
      <w:pPr>
        <w:spacing w:before="120" w:after="360"/>
        <w:jc w:val="center"/>
      </w:pPr>
      <w:r>
        <w:rPr>
          <w:b/>
          <w:sz w:val="26"/>
        </w:rPr>
        <w:t>A PROJECT REPORT ON</w:t>
      </w:r>
    </w:p>
    <w:p w14:paraId="2FE550D1" w14:textId="77777777" w:rsidR="004A49C6" w:rsidRDefault="00000000">
      <w:pPr>
        <w:spacing w:after="80"/>
        <w:jc w:val="center"/>
      </w:pPr>
      <w:r>
        <w:rPr>
          <w:b/>
          <w:color w:val="1F3864"/>
          <w:sz w:val="34"/>
        </w:rPr>
        <w:t>COMPARATIVE HR AUDIT OF TWO COMPANIES FROM DIFFERENT INDUSTRY SECTORS:</w:t>
      </w:r>
    </w:p>
    <w:p w14:paraId="0B5A236B" w14:textId="77777777" w:rsidR="004A49C6" w:rsidRDefault="00000000">
      <w:pPr>
        <w:spacing w:after="320"/>
        <w:jc w:val="center"/>
      </w:pPr>
      <w:r>
        <w:rPr>
          <w:b/>
          <w:color w:val="1F3864"/>
          <w:sz w:val="34"/>
        </w:rPr>
        <w:t>AN ANALYSIS OF STRATEGIC HUMAN RESOURCE PRACTICES</w:t>
      </w:r>
    </w:p>
    <w:p w14:paraId="1C0D69E9" w14:textId="77777777" w:rsidR="004A49C6" w:rsidRDefault="00000000">
      <w:pPr>
        <w:spacing w:after="520"/>
        <w:jc w:val="center"/>
      </w:pPr>
      <w:r>
        <w:rPr>
          <w:i/>
          <w:sz w:val="26"/>
        </w:rPr>
        <w:t>A Comparative Study of Hyundai Motor India Limited (Automobile Sector) and Omega Healthcare Management Services (Healthcare Services Sector)</w:t>
      </w:r>
    </w:p>
    <w:p w14:paraId="49A4BF4C" w14:textId="77777777" w:rsidR="004A49C6" w:rsidRDefault="00000000">
      <w:pPr>
        <w:spacing w:after="80"/>
        <w:jc w:val="center"/>
      </w:pPr>
      <w:r>
        <w:t>Submitted in partial fulfilment of the requirements for the award of the degree of</w:t>
      </w:r>
    </w:p>
    <w:p w14:paraId="504BB487" w14:textId="77777777" w:rsidR="004A49C6" w:rsidRDefault="00000000">
      <w:pPr>
        <w:spacing w:after="520"/>
        <w:jc w:val="center"/>
      </w:pPr>
      <w:r>
        <w:rPr>
          <w:b/>
          <w:sz w:val="26"/>
        </w:rPr>
        <w:t>Master of Business Administration (MBA) – Human Resource Management</w:t>
      </w:r>
    </w:p>
    <w:p w14:paraId="03598ACB" w14:textId="77777777" w:rsidR="004A49C6" w:rsidRDefault="00000000">
      <w:pPr>
        <w:spacing w:after="600"/>
        <w:jc w:val="center"/>
      </w:pPr>
      <w:r>
        <w:rPr>
          <w:b/>
        </w:rPr>
        <w:t>Research / Reporting Period: January – June 2026</w:t>
      </w:r>
    </w:p>
    <w:p w14:paraId="1D2E48DE" w14:textId="77777777" w:rsidR="004A49C6" w:rsidRDefault="00000000">
      <w:pPr>
        <w:spacing w:after="40"/>
        <w:jc w:val="center"/>
      </w:pPr>
      <w:r>
        <w:t>Submitted by</w:t>
      </w:r>
    </w:p>
    <w:p w14:paraId="13AE2C31" w14:textId="5CD2D233" w:rsidR="004A49C6" w:rsidRDefault="00F12BC5">
      <w:pPr>
        <w:spacing w:after="40"/>
        <w:jc w:val="center"/>
      </w:pPr>
      <w:r>
        <w:rPr>
          <w:b/>
          <w:sz w:val="26"/>
        </w:rPr>
        <w:t>Deva N</w:t>
      </w:r>
    </w:p>
    <w:p w14:paraId="1BE2087A" w14:textId="0996CB90" w:rsidR="004A49C6" w:rsidRDefault="00F12BC5">
      <w:pPr>
        <w:spacing w:after="400"/>
        <w:jc w:val="center"/>
      </w:pPr>
      <w:r>
        <w:t>OSI2509077</w:t>
      </w:r>
    </w:p>
    <w:p w14:paraId="496BFE65" w14:textId="77777777" w:rsidR="004A49C6" w:rsidRDefault="00000000">
      <w:pPr>
        <w:spacing w:after="40"/>
        <w:jc w:val="center"/>
      </w:pPr>
      <w:r>
        <w:t>Under the guidance of</w:t>
      </w:r>
    </w:p>
    <w:p w14:paraId="4F0B4CDF" w14:textId="77777777" w:rsidR="004A49C6" w:rsidRDefault="00000000">
      <w:pPr>
        <w:spacing w:after="520"/>
        <w:jc w:val="center"/>
      </w:pPr>
      <w:r>
        <w:rPr>
          <w:b/>
          <w:sz w:val="26"/>
        </w:rPr>
        <w:t>[Faculty Guide Name], [Designation]</w:t>
      </w:r>
    </w:p>
    <w:p w14:paraId="7F90DB3A" w14:textId="2F38A9B3" w:rsidR="004A49C6" w:rsidRDefault="00F12BC5">
      <w:pPr>
        <w:spacing w:after="40"/>
        <w:jc w:val="center"/>
      </w:pPr>
      <w:r>
        <w:rPr>
          <w:b/>
          <w:sz w:val="26"/>
        </w:rPr>
        <w:t>ISSM Business School</w:t>
      </w:r>
    </w:p>
    <w:p w14:paraId="73374690" w14:textId="2AF9D6EC" w:rsidR="004A49C6" w:rsidRDefault="00F12BC5">
      <w:pPr>
        <w:spacing w:after="40"/>
        <w:jc w:val="center"/>
      </w:pPr>
      <w:r>
        <w:t>Malaysian university of science and technology</w:t>
      </w:r>
    </w:p>
    <w:p w14:paraId="2A9B0451" w14:textId="77777777" w:rsidR="004A49C6" w:rsidRDefault="00000000">
      <w:pPr>
        <w:jc w:val="center"/>
      </w:pPr>
      <w:r>
        <w:t>Academic Year 2025 – 2026</w:t>
      </w:r>
    </w:p>
    <w:p w14:paraId="18015099" w14:textId="77777777" w:rsidR="004A49C6" w:rsidRDefault="00000000">
      <w:r>
        <w:br w:type="page"/>
      </w:r>
    </w:p>
    <w:p w14:paraId="057DC7C4" w14:textId="77777777" w:rsidR="004A49C6" w:rsidRDefault="004A49C6">
      <w:pPr>
        <w:spacing w:after="0"/>
      </w:pPr>
    </w:p>
    <w:p w14:paraId="456556EF" w14:textId="77777777" w:rsidR="004A49C6" w:rsidRDefault="00000000">
      <w:pPr>
        <w:keepNext/>
        <w:pBdr>
          <w:bottom w:val="single" w:sz="6" w:space="2" w:color="1F3864"/>
        </w:pBdr>
        <w:spacing w:before="120" w:after="200"/>
      </w:pPr>
      <w:r>
        <w:rPr>
          <w:b/>
          <w:color w:val="1F3864"/>
          <w:sz w:val="32"/>
        </w:rPr>
        <w:t>Declaration</w:t>
      </w:r>
    </w:p>
    <w:p w14:paraId="5BC4F985" w14:textId="77777777" w:rsidR="004A49C6" w:rsidRDefault="00000000">
      <w:pPr>
        <w:jc w:val="both"/>
      </w:pPr>
      <w:r>
        <w:t>I hereby declare that this project report titled “Comparative HR Audit of Two Companies from Different Industry Sectors: An Analysis of Strategic Human Resource Practices” is the result of my own work carried out during the period from January to June 2026. The study is based entirely on secondary data drawn from publicly available sources such as company annual reports, sustainability and business responsibility disclosures, corporate career portals, employer-branding platforms, and reputed business and human-resource publications.</w:t>
      </w:r>
    </w:p>
    <w:p w14:paraId="2EA55655" w14:textId="77777777" w:rsidR="004A49C6" w:rsidRDefault="00000000">
      <w:pPr>
        <w:jc w:val="both"/>
      </w:pPr>
      <w:r>
        <w:t>The work has not been submitted earlier, either in part or in full, for the award of any degree, diploma, or similar title of this or any other university. Wherever the work of others has been referred to, it has been duly acknowledged in the text and listed in the references.</w:t>
      </w:r>
    </w:p>
    <w:p w14:paraId="17EDCDC1" w14:textId="77777777" w:rsidR="004A49C6" w:rsidRDefault="004A49C6">
      <w:pPr>
        <w:jc w:val="both"/>
      </w:pPr>
    </w:p>
    <w:p w14:paraId="7E991557" w14:textId="77777777" w:rsidR="00F12BC5" w:rsidRDefault="00F12BC5">
      <w:pPr>
        <w:spacing w:after="0"/>
        <w:jc w:val="right"/>
      </w:pPr>
    </w:p>
    <w:p w14:paraId="5CF10056" w14:textId="4DB6F31A" w:rsidR="004A49C6" w:rsidRDefault="00000000">
      <w:pPr>
        <w:spacing w:after="0"/>
        <w:jc w:val="right"/>
      </w:pPr>
      <w:r>
        <w:rPr>
          <w:b/>
        </w:rPr>
        <w:t>[Student Name]</w:t>
      </w:r>
    </w:p>
    <w:p w14:paraId="24A6C3AD" w14:textId="77777777" w:rsidR="004A49C6" w:rsidRDefault="00000000">
      <w:pPr>
        <w:jc w:val="right"/>
      </w:pPr>
      <w:r>
        <w:rPr>
          <w:i/>
        </w:rPr>
        <w:t>(Signature)</w:t>
      </w:r>
    </w:p>
    <w:p w14:paraId="2CAD94EC" w14:textId="77777777" w:rsidR="004A49C6" w:rsidRDefault="00000000">
      <w:r>
        <w:br w:type="page"/>
      </w:r>
    </w:p>
    <w:p w14:paraId="1A36E9BE" w14:textId="77777777" w:rsidR="004A49C6" w:rsidRDefault="004A49C6">
      <w:pPr>
        <w:spacing w:after="0"/>
      </w:pPr>
    </w:p>
    <w:p w14:paraId="47B1E6DB" w14:textId="77777777" w:rsidR="004A49C6" w:rsidRDefault="00000000">
      <w:pPr>
        <w:keepNext/>
        <w:pBdr>
          <w:bottom w:val="single" w:sz="6" w:space="2" w:color="1F3864"/>
        </w:pBdr>
        <w:spacing w:before="120" w:after="200"/>
      </w:pPr>
      <w:r>
        <w:rPr>
          <w:b/>
          <w:color w:val="1F3864"/>
          <w:sz w:val="32"/>
        </w:rPr>
        <w:t>Acknowledgement</w:t>
      </w:r>
    </w:p>
    <w:p w14:paraId="0EF22851" w14:textId="77777777" w:rsidR="004A49C6" w:rsidRDefault="00000000">
      <w:pPr>
        <w:jc w:val="both"/>
      </w:pPr>
      <w:r>
        <w:t>The completion of this project has been a genuinely enriching experience, and it would not have been possible without the support and encouragement of several people whom I wish to thank sincerely.</w:t>
      </w:r>
    </w:p>
    <w:p w14:paraId="7B016D36" w14:textId="77777777" w:rsidR="004A49C6" w:rsidRDefault="00000000">
      <w:pPr>
        <w:jc w:val="both"/>
      </w:pPr>
      <w:r>
        <w:t>I am deeply grateful to my faculty guide, [Faculty Guide Name], for the patient guidance, constructive feedback, and steady encouragement offered at every stage of this study. The many discussions we had helped me sharpen the focus of the audit and look beyond surface-level description toward genuine analysis.</w:t>
      </w:r>
    </w:p>
    <w:p w14:paraId="00C79CE5" w14:textId="77777777" w:rsidR="004A49C6" w:rsidRDefault="00000000">
      <w:pPr>
        <w:jc w:val="both"/>
      </w:pPr>
      <w:r>
        <w:t>I also thank the Head of the Department and the faculty members of the Department of Management Studies at [Name of the College / Institute] for creating an academic environment that encourages independent enquiry. My appreciation extends to the library and digital-resource staff, who made it easier to access the annual reports, publications, and databases that form the backbone of this secondary research.</w:t>
      </w:r>
    </w:p>
    <w:p w14:paraId="04DA9C71" w14:textId="77777777" w:rsidR="004A49C6" w:rsidRDefault="00000000">
      <w:pPr>
        <w:jc w:val="both"/>
      </w:pPr>
      <w:r>
        <w:t>Finally, I thank my family and friends for their patience and moral support through the long hours this project demanded. Any shortcomings that remain in the report are, of course, entirely my own.</w:t>
      </w:r>
    </w:p>
    <w:p w14:paraId="51B044B6" w14:textId="77777777" w:rsidR="004A49C6" w:rsidRDefault="004A49C6">
      <w:pPr>
        <w:jc w:val="both"/>
      </w:pPr>
    </w:p>
    <w:p w14:paraId="7248DF27" w14:textId="02A340D9" w:rsidR="004A49C6" w:rsidRDefault="00F12BC5">
      <w:pPr>
        <w:jc w:val="right"/>
      </w:pPr>
      <w:r>
        <w:rPr>
          <w:b/>
        </w:rPr>
        <w:t>Deva N</w:t>
      </w:r>
    </w:p>
    <w:p w14:paraId="70A5BE5F" w14:textId="77777777" w:rsidR="004A49C6" w:rsidRDefault="00000000">
      <w:r>
        <w:br w:type="page"/>
      </w:r>
    </w:p>
    <w:p w14:paraId="21852F3C" w14:textId="77777777" w:rsidR="004A49C6" w:rsidRDefault="004A49C6">
      <w:pPr>
        <w:spacing w:after="0"/>
      </w:pPr>
    </w:p>
    <w:p w14:paraId="0D71D9DB" w14:textId="77777777" w:rsidR="004A49C6" w:rsidRDefault="00000000">
      <w:pPr>
        <w:keepNext/>
        <w:pBdr>
          <w:bottom w:val="single" w:sz="6" w:space="2" w:color="1F3864"/>
        </w:pBdr>
        <w:spacing w:before="120" w:after="200"/>
      </w:pPr>
      <w:r>
        <w:rPr>
          <w:b/>
          <w:color w:val="1F3864"/>
          <w:sz w:val="32"/>
        </w:rPr>
        <w:t>Table of Contents</w:t>
      </w:r>
    </w:p>
    <w:p w14:paraId="63BF5DDB" w14:textId="77777777" w:rsidR="004A49C6" w:rsidRDefault="00000000">
      <w:pPr>
        <w:spacing w:after="80"/>
      </w:pPr>
      <w:r>
        <w:rPr>
          <w:b/>
        </w:rPr>
        <w:t>Executive Summary</w:t>
      </w:r>
    </w:p>
    <w:p w14:paraId="3F807659" w14:textId="77777777" w:rsidR="004A49C6" w:rsidRDefault="00000000">
      <w:pPr>
        <w:spacing w:after="80"/>
      </w:pPr>
      <w:r>
        <w:rPr>
          <w:b/>
        </w:rPr>
        <w:t>1.  Introduction</w:t>
      </w:r>
    </w:p>
    <w:p w14:paraId="3E48FB5D" w14:textId="77777777" w:rsidR="004A49C6" w:rsidRDefault="00000000">
      <w:pPr>
        <w:spacing w:after="80"/>
      </w:pPr>
      <w:r>
        <w:t xml:space="preserve">     1.1  Background and Rationale</w:t>
      </w:r>
    </w:p>
    <w:p w14:paraId="10E0001F" w14:textId="77777777" w:rsidR="004A49C6" w:rsidRDefault="00000000">
      <w:pPr>
        <w:spacing w:after="80"/>
      </w:pPr>
      <w:r>
        <w:t xml:space="preserve">     1.2  Objectives of the Study</w:t>
      </w:r>
    </w:p>
    <w:p w14:paraId="7C7156DC" w14:textId="77777777" w:rsidR="004A49C6" w:rsidRDefault="00000000">
      <w:pPr>
        <w:spacing w:after="80"/>
      </w:pPr>
      <w:r>
        <w:t xml:space="preserve">     1.3  Scope of the Study</w:t>
      </w:r>
    </w:p>
    <w:p w14:paraId="231E3F91" w14:textId="77777777" w:rsidR="004A49C6" w:rsidRDefault="00000000">
      <w:pPr>
        <w:spacing w:after="80"/>
      </w:pPr>
      <w:r>
        <w:t xml:space="preserve">     1.4  Research Methodology</w:t>
      </w:r>
    </w:p>
    <w:p w14:paraId="5A796B13" w14:textId="77777777" w:rsidR="004A49C6" w:rsidRDefault="00000000">
      <w:pPr>
        <w:spacing w:after="80"/>
      </w:pPr>
      <w:r>
        <w:t xml:space="preserve">     1.5  Limitations</w:t>
      </w:r>
    </w:p>
    <w:p w14:paraId="7F0DAA17" w14:textId="77777777" w:rsidR="004A49C6" w:rsidRDefault="00000000">
      <w:pPr>
        <w:spacing w:after="80"/>
      </w:pPr>
      <w:r>
        <w:rPr>
          <w:b/>
        </w:rPr>
        <w:t>2.  Conceptual Framework of Strategic HRM</w:t>
      </w:r>
    </w:p>
    <w:p w14:paraId="4A432DAA" w14:textId="77777777" w:rsidR="004A49C6" w:rsidRDefault="00000000">
      <w:pPr>
        <w:spacing w:after="80"/>
      </w:pPr>
      <w:r>
        <w:rPr>
          <w:b/>
        </w:rPr>
        <w:t>3.  Profiles of the Selected Organisations</w:t>
      </w:r>
    </w:p>
    <w:p w14:paraId="0E3BAF99" w14:textId="77777777" w:rsidR="004A49C6" w:rsidRDefault="00000000">
      <w:pPr>
        <w:spacing w:after="80"/>
      </w:pPr>
      <w:r>
        <w:t xml:space="preserve">     3.1  Hyundai Motor India Limited</w:t>
      </w:r>
    </w:p>
    <w:p w14:paraId="22CC3615" w14:textId="77777777" w:rsidR="004A49C6" w:rsidRDefault="00000000">
      <w:pPr>
        <w:spacing w:after="80"/>
      </w:pPr>
      <w:r>
        <w:t xml:space="preserve">     3.2  Omega Healthcare Management Services</w:t>
      </w:r>
    </w:p>
    <w:p w14:paraId="0F4391A2" w14:textId="77777777" w:rsidR="004A49C6" w:rsidRDefault="00000000">
      <w:pPr>
        <w:spacing w:after="80"/>
      </w:pPr>
      <w:r>
        <w:t xml:space="preserve">     3.3  Why These Two Sectors?</w:t>
      </w:r>
    </w:p>
    <w:p w14:paraId="2E36AAB3" w14:textId="77777777" w:rsidR="004A49C6" w:rsidRDefault="00000000">
      <w:pPr>
        <w:spacing w:after="80"/>
      </w:pPr>
      <w:r>
        <w:rPr>
          <w:b/>
        </w:rPr>
        <w:t>4.  The Comparative HR Audit</w:t>
      </w:r>
    </w:p>
    <w:p w14:paraId="023F6D5F" w14:textId="77777777" w:rsidR="004A49C6" w:rsidRDefault="00000000">
      <w:pPr>
        <w:spacing w:after="80"/>
      </w:pPr>
      <w:r>
        <w:t xml:space="preserve">     4.1  Employer Branding</w:t>
      </w:r>
    </w:p>
    <w:p w14:paraId="56538EE8" w14:textId="77777777" w:rsidR="004A49C6" w:rsidRDefault="00000000">
      <w:pPr>
        <w:spacing w:after="80"/>
      </w:pPr>
      <w:r>
        <w:t xml:space="preserve">     4.2  Recruitment and Selection</w:t>
      </w:r>
    </w:p>
    <w:p w14:paraId="5E9E395E" w14:textId="77777777" w:rsidR="004A49C6" w:rsidRDefault="00000000">
      <w:pPr>
        <w:spacing w:after="80"/>
      </w:pPr>
      <w:r>
        <w:t xml:space="preserve">     4.3  Learning and Development</w:t>
      </w:r>
    </w:p>
    <w:p w14:paraId="770BA8E1" w14:textId="77777777" w:rsidR="004A49C6" w:rsidRDefault="00000000">
      <w:pPr>
        <w:spacing w:after="80"/>
      </w:pPr>
      <w:r>
        <w:t xml:space="preserve">     4.4  Performance Management</w:t>
      </w:r>
    </w:p>
    <w:p w14:paraId="155AC8DC" w14:textId="77777777" w:rsidR="004A49C6" w:rsidRDefault="00000000">
      <w:pPr>
        <w:spacing w:after="80"/>
      </w:pPr>
      <w:r>
        <w:t xml:space="preserve">     4.5  Compensation and Benefits</w:t>
      </w:r>
    </w:p>
    <w:p w14:paraId="56D862FB" w14:textId="77777777" w:rsidR="004A49C6" w:rsidRDefault="00000000">
      <w:pPr>
        <w:spacing w:after="80"/>
      </w:pPr>
      <w:r>
        <w:t xml:space="preserve">     4.6  Employee Engagement</w:t>
      </w:r>
    </w:p>
    <w:p w14:paraId="465A26D4" w14:textId="77777777" w:rsidR="004A49C6" w:rsidRDefault="00000000">
      <w:pPr>
        <w:spacing w:after="80"/>
      </w:pPr>
      <w:r>
        <w:t xml:space="preserve">     4.7  Diversity, Equity and Inclusion</w:t>
      </w:r>
    </w:p>
    <w:p w14:paraId="0B905F39" w14:textId="77777777" w:rsidR="004A49C6" w:rsidRDefault="00000000">
      <w:pPr>
        <w:spacing w:after="80"/>
      </w:pPr>
      <w:r>
        <w:t xml:space="preserve">     4.8  Career Development</w:t>
      </w:r>
    </w:p>
    <w:p w14:paraId="3CA1B6C5" w14:textId="77777777" w:rsidR="004A49C6" w:rsidRDefault="00000000">
      <w:pPr>
        <w:spacing w:after="80"/>
      </w:pPr>
      <w:r>
        <w:t xml:space="preserve">     4.9  HR Technology</w:t>
      </w:r>
    </w:p>
    <w:p w14:paraId="22ED6BB9" w14:textId="77777777" w:rsidR="004A49C6" w:rsidRDefault="00000000">
      <w:pPr>
        <w:spacing w:after="80"/>
      </w:pPr>
      <w:r>
        <w:t xml:space="preserve">     4.10 Employee Well-being and Workplace Culture</w:t>
      </w:r>
    </w:p>
    <w:p w14:paraId="094A6EFA" w14:textId="77777777" w:rsidR="004A49C6" w:rsidRDefault="00000000">
      <w:pPr>
        <w:spacing w:after="80"/>
      </w:pPr>
      <w:r>
        <w:rPr>
          <w:b/>
        </w:rPr>
        <w:lastRenderedPageBreak/>
        <w:t>5.  Cross-Cutting Analysis: How Industry Shapes HR</w:t>
      </w:r>
    </w:p>
    <w:p w14:paraId="07902D56" w14:textId="77777777" w:rsidR="004A49C6" w:rsidRDefault="00000000">
      <w:pPr>
        <w:spacing w:after="80"/>
      </w:pPr>
      <w:r>
        <w:rPr>
          <w:b/>
        </w:rPr>
        <w:t>6.  Key Findings</w:t>
      </w:r>
    </w:p>
    <w:p w14:paraId="4127FEC7" w14:textId="77777777" w:rsidR="004A49C6" w:rsidRDefault="00000000">
      <w:pPr>
        <w:spacing w:after="80"/>
      </w:pPr>
      <w:r>
        <w:rPr>
          <w:b/>
        </w:rPr>
        <w:t>7.  Recommendations</w:t>
      </w:r>
    </w:p>
    <w:p w14:paraId="3665FD86" w14:textId="77777777" w:rsidR="004A49C6" w:rsidRDefault="00000000">
      <w:pPr>
        <w:spacing w:after="80"/>
      </w:pPr>
      <w:r>
        <w:rPr>
          <w:b/>
        </w:rPr>
        <w:t>8.  Conclusion</w:t>
      </w:r>
    </w:p>
    <w:p w14:paraId="01BBC05F" w14:textId="77777777" w:rsidR="004A49C6" w:rsidRDefault="00000000">
      <w:pPr>
        <w:spacing w:after="80"/>
      </w:pPr>
      <w:r>
        <w:rPr>
          <w:b/>
        </w:rPr>
        <w:t>References</w:t>
      </w:r>
    </w:p>
    <w:p w14:paraId="1ACFA2F4" w14:textId="77777777" w:rsidR="004A49C6" w:rsidRDefault="00000000">
      <w:r>
        <w:br w:type="page"/>
      </w:r>
    </w:p>
    <w:p w14:paraId="2AAB2517" w14:textId="77777777" w:rsidR="004A49C6" w:rsidRDefault="004A49C6">
      <w:pPr>
        <w:spacing w:after="0"/>
      </w:pPr>
    </w:p>
    <w:p w14:paraId="02BAA18D" w14:textId="77777777" w:rsidR="004A49C6" w:rsidRDefault="00000000">
      <w:pPr>
        <w:keepNext/>
        <w:pBdr>
          <w:bottom w:val="single" w:sz="6" w:space="2" w:color="1F3864"/>
        </w:pBdr>
        <w:spacing w:before="120" w:after="200"/>
      </w:pPr>
      <w:r>
        <w:rPr>
          <w:b/>
          <w:color w:val="1F3864"/>
          <w:sz w:val="32"/>
        </w:rPr>
        <w:t>Executive Summary</w:t>
      </w:r>
    </w:p>
    <w:p w14:paraId="4CD4488F" w14:textId="77777777" w:rsidR="004A49C6" w:rsidRDefault="00000000">
      <w:pPr>
        <w:jc w:val="both"/>
      </w:pPr>
      <w:r>
        <w:t>This report presents a comparative human-resource (HR) audit of two organisations that sit in very different corners of the economy: Hyundai Motor India Limited, a capital-intensive automobile manufacturer, and Omega Healthcare Management Services, a people-intensive healthcare revenue-cycle-management (RCM) and business-services provider. The purpose of pairing them is not to decide which company is “better” – that would be a meaningless comparison across such different businesses – but to understand why their HR practices differ, where they quietly converge, and how the logic of each industry pushes the people function in a particular direction.</w:t>
      </w:r>
    </w:p>
    <w:p w14:paraId="06F0617C" w14:textId="77777777" w:rsidR="004A49C6" w:rsidRDefault="00000000">
      <w:pPr>
        <w:jc w:val="both"/>
      </w:pPr>
      <w:r>
        <w:t>The audit examines ten HR domains: employer branding, recruitment and selection, learning and development, performance management, compensation and benefits, employee engagement, diversity, equity and inclusion (DEI), career development, HR technology, and employee well-being and workplace culture. For each domain the report describes what each company actually does, compares the two, explains the influence of the industry, and evaluates effectiveness before flagging transferable good practice.</w:t>
      </w:r>
    </w:p>
    <w:p w14:paraId="4ED879C2" w14:textId="77777777" w:rsidR="004A49C6" w:rsidRDefault="00000000">
      <w:pPr>
        <w:jc w:val="both"/>
      </w:pPr>
      <w:r>
        <w:t>A few themes run through the analysis. Hyundai’s HR architecture is built around engineering discipline, safety, long production cycles and a role-based structure; its recent transformation into a “Role-Based Organisation” and its academy-led learning model reflect a manufacturer preparing its workforce for the shift to electric vehicles. Omega, by contrast, operates in a services industry historically plagued by attrition, and almost every one of its distinctive practices – the Golden Brick loyalty awards, the Career Lattice, and quarterly merit increases for frontline staff – is engineered to keep people and to make progression feel fast. Both firms are certified, award-winning employers, and both have moved DEI and well-being from the margins to the centre of strategy, but they arrive there by different routes and for different reasons.</w:t>
      </w:r>
    </w:p>
    <w:p w14:paraId="61C3EBA7" w14:textId="77777777" w:rsidR="004A49C6" w:rsidRDefault="00000000">
      <w:pPr>
        <w:jc w:val="both"/>
      </w:pPr>
      <w:r>
        <w:t xml:space="preserve">The report concludes that each organisation has something to teach the other. Omega’s high-frequency recognition and lateral-mobility ideas could help any large employer keep younger employees engaged, while Hyundai’s structured, institution-linked leadership academies and its </w:t>
      </w:r>
      <w:r>
        <w:lastRenderedPageBreak/>
        <w:t>safety-first culture offer a template for building deep capability. The central lesson is that good HR is contextual: the same principle – for example, “invest in people” – correctly produces different practices once it is filtered through the economics and risks of a specific industry.</w:t>
      </w:r>
    </w:p>
    <w:p w14:paraId="34346040" w14:textId="77777777" w:rsidR="004A49C6" w:rsidRDefault="00000000">
      <w:r>
        <w:br w:type="page"/>
      </w:r>
    </w:p>
    <w:p w14:paraId="585D5762" w14:textId="77777777" w:rsidR="004A49C6" w:rsidRDefault="004A49C6">
      <w:pPr>
        <w:spacing w:after="0"/>
      </w:pPr>
    </w:p>
    <w:p w14:paraId="0FEE262B" w14:textId="77777777" w:rsidR="004A49C6" w:rsidRDefault="00000000">
      <w:pPr>
        <w:keepNext/>
        <w:pBdr>
          <w:bottom w:val="single" w:sz="6" w:space="2" w:color="1F3864"/>
        </w:pBdr>
        <w:spacing w:before="120" w:after="200"/>
      </w:pPr>
      <w:r>
        <w:rPr>
          <w:b/>
          <w:color w:val="1F3864"/>
          <w:sz w:val="32"/>
        </w:rPr>
        <w:t>1. Introduction</w:t>
      </w:r>
    </w:p>
    <w:p w14:paraId="3E3AF1C0" w14:textId="77777777" w:rsidR="004A49C6" w:rsidRDefault="00000000">
      <w:pPr>
        <w:keepNext/>
        <w:spacing w:before="200" w:after="80"/>
      </w:pPr>
      <w:r>
        <w:rPr>
          <w:b/>
          <w:color w:val="2E5496"/>
          <w:sz w:val="26"/>
        </w:rPr>
        <w:t>1.1 Background and Rationale</w:t>
      </w:r>
    </w:p>
    <w:p w14:paraId="76591A14" w14:textId="77777777" w:rsidR="004A49C6" w:rsidRDefault="00000000">
      <w:pPr>
        <w:jc w:val="both"/>
      </w:pPr>
      <w:r>
        <w:t>Human resource management has travelled a long way from its origins as a largely administrative, record-keeping function. In most well-run organisations today it is treated as a strategic partner that shapes culture, builds capability, and helps deliver the business plan. Yet the way this strategic role is expressed varies enormously from one industry to another. A steel plant, a hospital, a software firm and a bank all “manage people”, but the risks they manage, the skills they need, and the promises they make to employees are quite different. Studying HR in the abstract can therefore be misleading; it is far more instructive to look at how real companies in real sectors design their people practices.</w:t>
      </w:r>
    </w:p>
    <w:p w14:paraId="534A6E78" w14:textId="77777777" w:rsidR="004A49C6" w:rsidRDefault="00000000">
      <w:pPr>
        <w:jc w:val="both"/>
      </w:pPr>
      <w:r>
        <w:t>This project takes up that challenge through a comparative HR audit. An HR audit is a systematic review of an organisation’s people policies, practices and outcomes against a chosen set of benchmarks. Conducted comparatively across two firms from different sectors, it becomes a tool for drawing out contrasts and, more importantly, for explaining them. The two organisations chosen for this study are Hyundai Motor India Limited (“Hyundai” or “HMIL”), one of India’s leading passenger-vehicle manufacturers, and Omega Healthcare Management Services (“Omega”), a large global provider of healthcare revenue-cycle management and related business services.</w:t>
      </w:r>
    </w:p>
    <w:p w14:paraId="697CDF83" w14:textId="77777777" w:rsidR="004A49C6" w:rsidRDefault="00000000">
      <w:pPr>
        <w:jc w:val="both"/>
      </w:pPr>
      <w:r>
        <w:t>The rationale for the pairing is deliberate. The two companies differ on almost every structural dimension that matters to HR: one makes physical products on an assembly line, the other delivers knowledge-based services over digital channels; one competes for engineers and skilled technicians, the other for medical coders, analysts and process specialists; one operates in an industry defined by safety and long capital cycles, the other in an industry defined by client service levels, data confidentiality and, traditionally, high staff turnover. These contrasts make the comparison genuinely revealing rather than merely descriptive.</w:t>
      </w:r>
    </w:p>
    <w:p w14:paraId="76979055" w14:textId="77777777" w:rsidR="004A49C6" w:rsidRDefault="00000000">
      <w:pPr>
        <w:keepNext/>
        <w:spacing w:before="200" w:after="80"/>
      </w:pPr>
      <w:r>
        <w:rPr>
          <w:b/>
          <w:color w:val="2E5496"/>
          <w:sz w:val="26"/>
        </w:rPr>
        <w:t>1.2 Objectives of the Study</w:t>
      </w:r>
    </w:p>
    <w:p w14:paraId="2F8914BA" w14:textId="77777777" w:rsidR="004A49C6" w:rsidRDefault="00000000">
      <w:pPr>
        <w:jc w:val="both"/>
      </w:pPr>
      <w:r>
        <w:t>The study is guided by the following objectives:</w:t>
      </w:r>
    </w:p>
    <w:p w14:paraId="38ECE32F" w14:textId="77777777" w:rsidR="004A49C6" w:rsidRDefault="00000000">
      <w:pPr>
        <w:pStyle w:val="ListBullet"/>
        <w:spacing w:after="60"/>
        <w:jc w:val="both"/>
      </w:pPr>
      <w:r>
        <w:lastRenderedPageBreak/>
        <w:t>compare the HR practices of Hyundai and Omega Healthcare across ten defined HR functions;</w:t>
      </w:r>
    </w:p>
    <w:p w14:paraId="72D46414" w14:textId="77777777" w:rsidR="004A49C6" w:rsidRDefault="00000000">
      <w:pPr>
        <w:pStyle w:val="ListBullet"/>
        <w:spacing w:after="60"/>
        <w:jc w:val="both"/>
      </w:pPr>
      <w:r>
        <w:t>identify the similarities and differences in how each organisation approaches these functions;</w:t>
      </w:r>
    </w:p>
    <w:p w14:paraId="59104395" w14:textId="77777777" w:rsidR="004A49C6" w:rsidRDefault="00000000">
      <w:pPr>
        <w:pStyle w:val="ListBullet"/>
        <w:spacing w:after="60"/>
        <w:jc w:val="both"/>
      </w:pPr>
      <w:r>
        <w:t>explain how the characteristics of the automobile and healthcare-services industries influence those practices;</w:t>
      </w:r>
    </w:p>
    <w:p w14:paraId="5FFD8FC2" w14:textId="77777777" w:rsidR="004A49C6" w:rsidRDefault="00000000">
      <w:pPr>
        <w:pStyle w:val="ListBullet"/>
        <w:spacing w:after="60"/>
        <w:jc w:val="both"/>
      </w:pPr>
      <w:r>
        <w:t>evaluate the effectiveness of the practices and identify each organisation’s strengths and areas for improvement;</w:t>
      </w:r>
    </w:p>
    <w:p w14:paraId="1D80DD25" w14:textId="77777777" w:rsidR="004A49C6" w:rsidRDefault="00000000">
      <w:pPr>
        <w:pStyle w:val="ListBullet"/>
        <w:spacing w:after="60"/>
        <w:jc w:val="both"/>
      </w:pPr>
      <w:r>
        <w:t>highlight best practices from each company that the other could realistically adopt; and</w:t>
      </w:r>
    </w:p>
    <w:p w14:paraId="73B09BD8" w14:textId="77777777" w:rsidR="004A49C6" w:rsidRDefault="00000000">
      <w:pPr>
        <w:pStyle w:val="ListBullet"/>
        <w:spacing w:after="60"/>
        <w:jc w:val="both"/>
      </w:pPr>
      <w:r>
        <w:t>relate the observations to established HR concepts and theories in order to demonstrate their application in real organisational settings.</w:t>
      </w:r>
    </w:p>
    <w:p w14:paraId="5957B1A4" w14:textId="77777777" w:rsidR="004A49C6" w:rsidRDefault="00000000">
      <w:pPr>
        <w:keepNext/>
        <w:spacing w:before="200" w:after="80"/>
      </w:pPr>
      <w:r>
        <w:rPr>
          <w:b/>
          <w:color w:val="2E5496"/>
          <w:sz w:val="26"/>
        </w:rPr>
        <w:t>1.3 Scope of the Study</w:t>
      </w:r>
    </w:p>
    <w:p w14:paraId="1446CA4E" w14:textId="77777777" w:rsidR="004A49C6" w:rsidRDefault="00000000">
      <w:pPr>
        <w:jc w:val="both"/>
      </w:pPr>
      <w:r>
        <w:t>The audit is confined to ten HR domains – employer branding, recruitment and selection, learning and development, performance management, compensation and benefits, employee engagement, diversity, equity and inclusion, career development, HR technology, and employee well-being and workplace culture. The emphasis throughout is analytical: the objective is to compare and evaluate people practices, not to narrate the commercial history or financial performance of either firm except where such context is necessary to understand an HR decision. The reporting period for the secondary data gathered is January to June 2026, drawing largely on the companies’ most recent public disclosures.</w:t>
      </w:r>
    </w:p>
    <w:p w14:paraId="7ACBD11F" w14:textId="77777777" w:rsidR="004A49C6" w:rsidRDefault="00000000">
      <w:pPr>
        <w:keepNext/>
        <w:spacing w:before="200" w:after="80"/>
      </w:pPr>
      <w:r>
        <w:rPr>
          <w:b/>
          <w:color w:val="2E5496"/>
          <w:sz w:val="26"/>
        </w:rPr>
        <w:t>1.4 Research Methodology</w:t>
      </w:r>
    </w:p>
    <w:p w14:paraId="78229AB4" w14:textId="77777777" w:rsidR="004A49C6" w:rsidRDefault="00000000">
      <w:pPr>
        <w:jc w:val="both"/>
      </w:pPr>
      <w:r>
        <w:t>This is a qualitative, descriptive-analytical study based entirely on secondary data. No surveys or interviews were conducted; primary data collection was outside the scope of the assignment. Information was gathered from a range of credible, publicly accessible sources, including:</w:t>
      </w:r>
    </w:p>
    <w:p w14:paraId="6295E2C0" w14:textId="77777777" w:rsidR="004A49C6" w:rsidRDefault="00000000">
      <w:pPr>
        <w:pStyle w:val="ListBullet"/>
        <w:spacing w:after="60"/>
        <w:jc w:val="both"/>
      </w:pPr>
      <w:r>
        <w:t>company annual reports, integrated reports and Business Responsibility and Sustainability Reports (BRSR), which disclose workforce, training, diversity and well-being data;</w:t>
      </w:r>
    </w:p>
    <w:p w14:paraId="2B28C73A" w14:textId="77777777" w:rsidR="004A49C6" w:rsidRDefault="00000000">
      <w:pPr>
        <w:pStyle w:val="ListBullet"/>
        <w:spacing w:after="60"/>
        <w:jc w:val="both"/>
      </w:pPr>
      <w:r>
        <w:t>corporate websites and career portals, which reveal employer-branding messages and stated policies;</w:t>
      </w:r>
    </w:p>
    <w:p w14:paraId="566FCFFD" w14:textId="77777777" w:rsidR="004A49C6" w:rsidRDefault="00000000">
      <w:pPr>
        <w:pStyle w:val="ListBullet"/>
        <w:spacing w:after="60"/>
        <w:jc w:val="both"/>
      </w:pPr>
      <w:r>
        <w:lastRenderedPageBreak/>
        <w:t>employer-recognition platforms such as the Top Employers Institute and Great Place to Work; and</w:t>
      </w:r>
    </w:p>
    <w:p w14:paraId="1A8B0789" w14:textId="77777777" w:rsidR="004A49C6" w:rsidRDefault="00000000">
      <w:pPr>
        <w:pStyle w:val="ListBullet"/>
        <w:spacing w:after="60"/>
        <w:jc w:val="both"/>
      </w:pPr>
      <w:r>
        <w:t>reputed business and HR publications, including People Matters, HRKatha, ETHRWorld and mainstream business media.</w:t>
      </w:r>
    </w:p>
    <w:p w14:paraId="62ACD873" w14:textId="77777777" w:rsidR="004A49C6" w:rsidRDefault="00000000">
      <w:pPr>
        <w:jc w:val="both"/>
      </w:pPr>
      <w:r>
        <w:t>The data were organised function by function using a common template – describe, compare, explain the industry influence, and evaluate – so that the two organisations could be held against the same yardstick. Findings were then interpreted through recognised HR frameworks so that the analysis stays grounded in theory rather than opinion.</w:t>
      </w:r>
    </w:p>
    <w:p w14:paraId="1BF8B123" w14:textId="77777777" w:rsidR="004A49C6" w:rsidRDefault="00000000">
      <w:pPr>
        <w:keepNext/>
        <w:spacing w:before="200" w:after="80"/>
      </w:pPr>
      <w:r>
        <w:rPr>
          <w:b/>
          <w:color w:val="2E5496"/>
          <w:sz w:val="26"/>
        </w:rPr>
        <w:t>1.5 Limitations</w:t>
      </w:r>
    </w:p>
    <w:p w14:paraId="2EB03AC5" w14:textId="77777777" w:rsidR="004A49C6" w:rsidRDefault="00000000">
      <w:pPr>
        <w:jc w:val="both"/>
      </w:pPr>
      <w:r>
        <w:t>Three limitations should be kept in mind. First, because the study relies on published material, it inevitably reflects information that each company has chosen to disclose; companies naturally present their people practices in a favourable light, and internal realities may differ. Second, the two organisations report at different levels of detail – Hyundai, as a listed company, publishes extensive regulated disclosures, whereas Omega, as a privately held services firm, communicates more selectively – which can make like-for-like comparison uneven in places. Third, the audit captures a point in time; HR practices evolve quickly, and some initiatives described here will have moved on by the time the report is read. These limitations are managed by triangulating across multiple sources wherever possible and by focusing on well-established, repeatedly reported practices.</w:t>
      </w:r>
    </w:p>
    <w:p w14:paraId="39CB741B" w14:textId="77777777" w:rsidR="004A49C6" w:rsidRDefault="00000000">
      <w:r>
        <w:br w:type="page"/>
      </w:r>
    </w:p>
    <w:p w14:paraId="4D31EFCC" w14:textId="77777777" w:rsidR="004A49C6" w:rsidRDefault="004A49C6">
      <w:pPr>
        <w:spacing w:after="0"/>
      </w:pPr>
    </w:p>
    <w:p w14:paraId="0FC94399" w14:textId="77777777" w:rsidR="004A49C6" w:rsidRDefault="00000000">
      <w:pPr>
        <w:keepNext/>
        <w:pBdr>
          <w:bottom w:val="single" w:sz="6" w:space="2" w:color="1F3864"/>
        </w:pBdr>
        <w:spacing w:before="120" w:after="200"/>
      </w:pPr>
      <w:r>
        <w:rPr>
          <w:b/>
          <w:color w:val="1F3864"/>
          <w:sz w:val="32"/>
        </w:rPr>
        <w:t>2. Conceptual Framework of Strategic HRM</w:t>
      </w:r>
    </w:p>
    <w:p w14:paraId="3732F9EF" w14:textId="77777777" w:rsidR="004A49C6" w:rsidRDefault="00000000">
      <w:pPr>
        <w:jc w:val="both"/>
      </w:pPr>
      <w:r>
        <w:t>Before comparing the two organisations it is useful to set out the conceptual lenses through which their practices are read. A comparative audit is only as good as the framework behind it; without theory, a list of practices is just a list.</w:t>
      </w:r>
    </w:p>
    <w:p w14:paraId="39AB05E3" w14:textId="77777777" w:rsidR="004A49C6" w:rsidRDefault="00000000">
      <w:pPr>
        <w:keepNext/>
        <w:spacing w:before="200" w:after="80"/>
      </w:pPr>
      <w:r>
        <w:rPr>
          <w:b/>
          <w:color w:val="2E5496"/>
          <w:sz w:val="26"/>
        </w:rPr>
        <w:t>2.1 From personnel administration to strategic HRM</w:t>
      </w:r>
    </w:p>
    <w:p w14:paraId="710DBAEA" w14:textId="77777777" w:rsidR="004A49C6" w:rsidRDefault="00000000">
      <w:pPr>
        <w:jc w:val="both"/>
      </w:pPr>
      <w:r>
        <w:t>Strategic Human Resource Management (SHRM) is the idea that people practices should be aligned with, and actively support, the organisation’s strategy. The key insight is that HR policies work best as a coherent bundle rather than as isolated initiatives – recruitment, training, appraisal and reward should all pull in the same direction. Both companies in this study illustrate this bundling logic, though they bundle around different strategic priorities: manufacturing quality and safety at Hyundai, and service continuity and retention at Omega.</w:t>
      </w:r>
    </w:p>
    <w:p w14:paraId="36C8A0F7" w14:textId="77777777" w:rsidR="004A49C6" w:rsidRDefault="00000000">
      <w:pPr>
        <w:keepNext/>
        <w:spacing w:before="200" w:after="80"/>
      </w:pPr>
      <w:r>
        <w:rPr>
          <w:b/>
          <w:color w:val="2E5496"/>
          <w:sz w:val="26"/>
        </w:rPr>
        <w:t>2.2 The Harvard and Ulrich perspectives</w:t>
      </w:r>
    </w:p>
    <w:p w14:paraId="49D3E43E" w14:textId="77777777" w:rsidR="004A49C6" w:rsidRDefault="00000000">
      <w:pPr>
        <w:jc w:val="both"/>
      </w:pPr>
      <w:r>
        <w:t>The Harvard model of HRM stresses that a range of stakeholders – employees, management, unions, community – shape HR outcomes, and that situational factors such as the labour market and technology heavily condition what is possible. This is directly relevant here, because the labour markets for automobile engineers and for healthcare coders behave very differently. Dave Ulrich’s model of HR roles – strategic partner, administrative expert, employee champion and change agent – offers another useful lens: both firms are visibly trying to move their HR teams up the value chain toward the strategic-partner and change-agent roles, Hyundai through its Role-Based Organisation programme and Omega through its data-driven, retention-focused people strategy.</w:t>
      </w:r>
    </w:p>
    <w:p w14:paraId="60E8076C" w14:textId="77777777" w:rsidR="004A49C6" w:rsidRDefault="00000000">
      <w:pPr>
        <w:keepNext/>
        <w:spacing w:before="200" w:after="80"/>
      </w:pPr>
      <w:r>
        <w:rPr>
          <w:b/>
          <w:color w:val="2E5496"/>
          <w:sz w:val="26"/>
        </w:rPr>
        <w:t>2.3 The AMO model and the resource-based view</w:t>
      </w:r>
    </w:p>
    <w:p w14:paraId="40719F76" w14:textId="77777777" w:rsidR="004A49C6" w:rsidRDefault="00000000">
      <w:pPr>
        <w:jc w:val="both"/>
      </w:pPr>
      <w:r>
        <w:t xml:space="preserve">The AMO framework proposes that performance is a function of employees’ Ability, Motivation and Opportunity to contribute. It is a convenient structure for an audit: learning and development builds Ability; compensation, engagement and recognition drive Motivation; while job design, career mobility and involvement mechanisms create Opportunity. The resource-based view (RBV) complements this by arguing that people become a source of </w:t>
      </w:r>
      <w:r>
        <w:lastRenderedPageBreak/>
        <w:t>sustainable competitive advantage when they are valuable, rare, hard to imitate and supported by the organisation. Omega’s determination to retain experienced staff, and Hyundai’s investment in deep technical capability for the electric-vehicle transition, are both, in effect, attempts to build an inimitable human-capital advantage.</w:t>
      </w:r>
    </w:p>
    <w:p w14:paraId="61FF5AEA" w14:textId="77777777" w:rsidR="004A49C6" w:rsidRDefault="00000000">
      <w:pPr>
        <w:keepNext/>
        <w:spacing w:before="200" w:after="80"/>
      </w:pPr>
      <w:r>
        <w:rPr>
          <w:b/>
          <w:color w:val="2E5496"/>
          <w:sz w:val="26"/>
        </w:rPr>
        <w:t>2.4 Herzberg, engagement and the psychological contract</w:t>
      </w:r>
    </w:p>
    <w:p w14:paraId="1C4FB62D" w14:textId="77777777" w:rsidR="004A49C6" w:rsidRDefault="00000000">
      <w:pPr>
        <w:jc w:val="both"/>
      </w:pPr>
      <w:r>
        <w:t>Herzberg’s two-factor theory – the distinction between hygiene factors that prevent dissatisfaction and motivators that create genuine engagement – helps explain why neither company relies on pay alone. The concept of the psychological contract, the set of unwritten mutual expectations between employer and employee, is particularly important for interpreting Omega’s loyalty-building practices and Hyundai’s low-attrition, long-tenure culture. Together these frameworks provide the vocabulary used throughout the audit that follows.</w:t>
      </w:r>
    </w:p>
    <w:p w14:paraId="390C96CB" w14:textId="77777777" w:rsidR="004A49C6" w:rsidRDefault="00000000">
      <w:r>
        <w:br w:type="page"/>
      </w:r>
    </w:p>
    <w:p w14:paraId="3301B74C" w14:textId="77777777" w:rsidR="004A49C6" w:rsidRDefault="004A49C6">
      <w:pPr>
        <w:spacing w:after="0"/>
      </w:pPr>
    </w:p>
    <w:p w14:paraId="63E1B85F" w14:textId="77777777" w:rsidR="004A49C6" w:rsidRDefault="00000000">
      <w:pPr>
        <w:keepNext/>
        <w:pBdr>
          <w:bottom w:val="single" w:sz="6" w:space="2" w:color="1F3864"/>
        </w:pBdr>
        <w:spacing w:before="120" w:after="200"/>
      </w:pPr>
      <w:r>
        <w:rPr>
          <w:b/>
          <w:color w:val="1F3864"/>
          <w:sz w:val="32"/>
        </w:rPr>
        <w:t>3. Profiles of the Selected Organisations</w:t>
      </w:r>
    </w:p>
    <w:p w14:paraId="656B0594" w14:textId="77777777" w:rsidR="004A49C6" w:rsidRDefault="00000000">
      <w:pPr>
        <w:jc w:val="both"/>
      </w:pPr>
      <w:r>
        <w:t>This chapter provides only the minimum organisational context needed to make sense of the HR analysis. In keeping with the analytical focus of the project, it deliberately avoids a long narrative of business operations.</w:t>
      </w:r>
    </w:p>
    <w:p w14:paraId="55C1DC46" w14:textId="77777777" w:rsidR="004A49C6" w:rsidRDefault="00000000">
      <w:pPr>
        <w:keepNext/>
        <w:spacing w:before="200" w:after="80"/>
      </w:pPr>
      <w:r>
        <w:rPr>
          <w:b/>
          <w:color w:val="2E5496"/>
          <w:sz w:val="26"/>
        </w:rPr>
        <w:t>3.1 Hyundai Motor India Limited (Automobile Sector)</w:t>
      </w:r>
    </w:p>
    <w:p w14:paraId="092C5DA6" w14:textId="77777777" w:rsidR="004A49C6" w:rsidRDefault="00000000">
      <w:pPr>
        <w:jc w:val="both"/>
      </w:pPr>
      <w:r>
        <w:t>Hyundai Motor India Limited is the Indian arm of the South Korean automotive group and one of the country’s largest passenger-vehicle manufacturers and exporters. Its principal manufacturing base is at Sriperumbudur near Chennai, and it has been expanding its footprint, including a new facility at Talegaon in Maharashtra. In October 2024 the company completed one of the largest initial public offerings in Indian corporate history, a step that has intensified its focus on structured governance and long-term leadership development. As an automobile OEM, Hyundai employs a large, technically skilled workforce spanning shop-floor operators, engineers, designers and corporate professionals, and it operates in an industry undergoing a profound shift toward electric and software-defined vehicles. Its HR function, led at the vertical level by senior HR leadership and operating under the banner “Progress for Humanity”, has been repeatedly recognised, including certification as a Top Employer in India for three consecutive years and a first-place ranking within the automobile sector.</w:t>
      </w:r>
    </w:p>
    <w:p w14:paraId="06115238" w14:textId="77777777" w:rsidR="004A49C6" w:rsidRDefault="00000000">
      <w:pPr>
        <w:keepNext/>
        <w:spacing w:before="200" w:after="80"/>
      </w:pPr>
      <w:r>
        <w:rPr>
          <w:b/>
          <w:color w:val="2E5496"/>
          <w:sz w:val="26"/>
        </w:rPr>
        <w:t>3.2 Omega Healthcare Management Services (Healthcare Services Sector)</w:t>
      </w:r>
    </w:p>
    <w:p w14:paraId="618BE890" w14:textId="77777777" w:rsidR="004A49C6" w:rsidRDefault="00000000">
      <w:pPr>
        <w:jc w:val="both"/>
      </w:pPr>
      <w:r>
        <w:t xml:space="preserve">Omega Healthcare Management Services was founded in 2003 and has grown into a leading global provider of healthcare revenue-cycle management, medical coding, and related administrative and clinical-support services. It employs more than thirty-five thousand people across roughly eleven cities in four countries, with a large delivery presence in Indian cities such as Chennai, Bangalore, Trichy and Hyderabad, alongside operations in the Philippines, Colombia and the United States. The business essentially runs critical back-office and knowledge processes for American hospitals, payers and life-science firms, which means confidentiality, accuracy and service continuity are paramount. Because it belongs to a business-services industry historically associated with high attrition, Omega has made retention </w:t>
      </w:r>
      <w:r>
        <w:lastRenderedPageBreak/>
        <w:t>and employee experience a central pillar of its strategy, and it has been recognised for its people practices by industry analysts and by Great Place to Work.</w:t>
      </w:r>
    </w:p>
    <w:p w14:paraId="4F65BB52" w14:textId="77777777" w:rsidR="004A49C6" w:rsidRDefault="00000000">
      <w:pPr>
        <w:keepNext/>
        <w:spacing w:before="200" w:after="80"/>
      </w:pPr>
      <w:r>
        <w:rPr>
          <w:b/>
          <w:color w:val="2E5496"/>
          <w:sz w:val="26"/>
        </w:rPr>
        <w:t>3.3 Why These Two Sectors?</w:t>
      </w:r>
    </w:p>
    <w:p w14:paraId="0CD01EEB" w14:textId="77777777" w:rsidR="004A49C6" w:rsidRDefault="00000000">
      <w:pPr>
        <w:jc w:val="both"/>
      </w:pPr>
      <w:r>
        <w:t>Placing an automobile manufacturer beside a healthcare-services provider is not an arbitrary choice. The two sectors differ on the variables that most strongly shape HR strategy, and those differences are summarised below.</w:t>
      </w:r>
    </w:p>
    <w:tbl>
      <w:tblPr>
        <w:tblStyle w:val="LightGrid-Accent1"/>
        <w:tblW w:w="0" w:type="auto"/>
        <w:tblLook w:val="04A0" w:firstRow="1" w:lastRow="0" w:firstColumn="1" w:lastColumn="0" w:noHBand="0" w:noVBand="1"/>
      </w:tblPr>
      <w:tblGrid>
        <w:gridCol w:w="2261"/>
        <w:gridCol w:w="3585"/>
        <w:gridCol w:w="3586"/>
      </w:tblGrid>
      <w:tr w:rsidR="004A49C6" w14:paraId="495C43A7"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273EE6F4" w14:textId="77777777" w:rsidR="004A49C6" w:rsidRDefault="00000000">
            <w:pPr>
              <w:jc w:val="center"/>
            </w:pPr>
            <w:r>
              <w:rPr>
                <w:color w:val="FFFFFF"/>
                <w:sz w:val="22"/>
              </w:rPr>
              <w:t>Structural factor</w:t>
            </w:r>
          </w:p>
        </w:tc>
        <w:tc>
          <w:tcPr>
            <w:tcW w:w="3672" w:type="dxa"/>
            <w:shd w:val="clear" w:color="auto" w:fill="2E5496"/>
          </w:tcPr>
          <w:p w14:paraId="332EE05B"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(Automobile)</w:t>
            </w:r>
          </w:p>
        </w:tc>
        <w:tc>
          <w:tcPr>
            <w:tcW w:w="3672" w:type="dxa"/>
            <w:shd w:val="clear" w:color="auto" w:fill="2E5496"/>
          </w:tcPr>
          <w:p w14:paraId="2861C200"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 services)</w:t>
            </w:r>
          </w:p>
        </w:tc>
      </w:tr>
      <w:tr w:rsidR="004A49C6" w14:paraId="211D6A65"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39C4CB5" w14:textId="77777777" w:rsidR="004A49C6" w:rsidRDefault="00000000">
            <w:pPr>
              <w:spacing w:after="40" w:line="240" w:lineRule="auto"/>
            </w:pPr>
            <w:r>
              <w:rPr>
                <w:sz w:val="21"/>
              </w:rPr>
              <w:t>Nature of output</w:t>
            </w:r>
          </w:p>
        </w:tc>
        <w:tc>
          <w:tcPr>
            <w:tcW w:w="3672" w:type="dxa"/>
          </w:tcPr>
          <w:p w14:paraId="4E37C34C"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Physical products (vehicles) made on capital-intensive assembly lines</w:t>
            </w:r>
          </w:p>
        </w:tc>
        <w:tc>
          <w:tcPr>
            <w:tcW w:w="3672" w:type="dxa"/>
          </w:tcPr>
          <w:p w14:paraId="4C4C2B14"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Knowledge-based services delivered digitally for overseas healthcare clients</w:t>
            </w:r>
          </w:p>
        </w:tc>
      </w:tr>
      <w:tr w:rsidR="004A49C6" w14:paraId="609C50AD"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0876D27" w14:textId="77777777" w:rsidR="004A49C6" w:rsidRDefault="00000000">
            <w:pPr>
              <w:spacing w:after="40" w:line="240" w:lineRule="auto"/>
            </w:pPr>
            <w:r>
              <w:rPr>
                <w:sz w:val="21"/>
              </w:rPr>
              <w:t>Core workforce</w:t>
            </w:r>
          </w:p>
        </w:tc>
        <w:tc>
          <w:tcPr>
            <w:tcW w:w="3672" w:type="dxa"/>
          </w:tcPr>
          <w:p w14:paraId="66731714"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Engineers, skilled technicians, shop-floor operators, designers</w:t>
            </w:r>
          </w:p>
        </w:tc>
        <w:tc>
          <w:tcPr>
            <w:tcW w:w="3672" w:type="dxa"/>
          </w:tcPr>
          <w:p w14:paraId="68495705"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Medical coders, billing and RCM analysts, quality and process specialists</w:t>
            </w:r>
          </w:p>
        </w:tc>
      </w:tr>
      <w:tr w:rsidR="004A49C6" w14:paraId="310587DC"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7CFF255" w14:textId="77777777" w:rsidR="004A49C6" w:rsidRDefault="00000000">
            <w:pPr>
              <w:spacing w:after="40" w:line="240" w:lineRule="auto"/>
            </w:pPr>
            <w:r>
              <w:rPr>
                <w:sz w:val="21"/>
              </w:rPr>
              <w:t>Dominant risk</w:t>
            </w:r>
          </w:p>
        </w:tc>
        <w:tc>
          <w:tcPr>
            <w:tcW w:w="3672" w:type="dxa"/>
          </w:tcPr>
          <w:p w14:paraId="2F909FE4"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Safety, product quality, technology disruption (EV shift)</w:t>
            </w:r>
          </w:p>
        </w:tc>
        <w:tc>
          <w:tcPr>
            <w:tcW w:w="3672" w:type="dxa"/>
          </w:tcPr>
          <w:p w14:paraId="5A52AEB7"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Data confidentiality, client SLAs, regulatory compliance, attrition</w:t>
            </w:r>
          </w:p>
        </w:tc>
      </w:tr>
      <w:tr w:rsidR="004A49C6" w14:paraId="3AD55A78"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C39D38C" w14:textId="77777777" w:rsidR="004A49C6" w:rsidRDefault="00000000">
            <w:pPr>
              <w:spacing w:after="40" w:line="240" w:lineRule="auto"/>
            </w:pPr>
            <w:r>
              <w:rPr>
                <w:sz w:val="21"/>
              </w:rPr>
              <w:t>Talent-market pressure</w:t>
            </w:r>
          </w:p>
        </w:tc>
        <w:tc>
          <w:tcPr>
            <w:tcW w:w="3672" w:type="dxa"/>
          </w:tcPr>
          <w:p w14:paraId="1175666C"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Competition for scarce engineering and EV skills</w:t>
            </w:r>
          </w:p>
        </w:tc>
        <w:tc>
          <w:tcPr>
            <w:tcW w:w="3672" w:type="dxa"/>
          </w:tcPr>
          <w:p w14:paraId="5FE6F86D"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High-volume hiring and the constant threat of staff churn</w:t>
            </w:r>
          </w:p>
        </w:tc>
      </w:tr>
      <w:tr w:rsidR="004A49C6" w14:paraId="31C760DD"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5FC8483" w14:textId="77777777" w:rsidR="004A49C6" w:rsidRDefault="00000000">
            <w:pPr>
              <w:spacing w:after="40" w:line="240" w:lineRule="auto"/>
            </w:pPr>
            <w:r>
              <w:rPr>
                <w:sz w:val="21"/>
              </w:rPr>
              <w:t>Typical work pattern</w:t>
            </w:r>
          </w:p>
        </w:tc>
        <w:tc>
          <w:tcPr>
            <w:tcW w:w="3672" w:type="dxa"/>
          </w:tcPr>
          <w:p w14:paraId="6374640A"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Structured shifts, plant-based, long production cycles</w:t>
            </w:r>
          </w:p>
        </w:tc>
        <w:tc>
          <w:tcPr>
            <w:tcW w:w="3672" w:type="dxa"/>
          </w:tcPr>
          <w:p w14:paraId="032EB44B"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Round-the-clock service aligned to overseas (largely US) time zones</w:t>
            </w:r>
          </w:p>
        </w:tc>
      </w:tr>
    </w:tbl>
    <w:p w14:paraId="48DBB9EE" w14:textId="77777777" w:rsidR="004A49C6" w:rsidRDefault="004A49C6">
      <w:pPr>
        <w:spacing w:after="40"/>
      </w:pPr>
    </w:p>
    <w:p w14:paraId="3078C06B" w14:textId="77777777" w:rsidR="004A49C6" w:rsidRDefault="00000000">
      <w:pPr>
        <w:jc w:val="both"/>
      </w:pPr>
      <w:r>
        <w:t>As the audit will show, almost every difference in the two companies’ HR practices can be traced back to one or more of these structural factors.</w:t>
      </w:r>
    </w:p>
    <w:p w14:paraId="237AA45C" w14:textId="77777777" w:rsidR="004A49C6" w:rsidRDefault="00000000">
      <w:r>
        <w:br w:type="page"/>
      </w:r>
    </w:p>
    <w:p w14:paraId="33002EF2" w14:textId="77777777" w:rsidR="004A49C6" w:rsidRDefault="004A49C6">
      <w:pPr>
        <w:spacing w:after="0"/>
      </w:pPr>
    </w:p>
    <w:p w14:paraId="2915C55E" w14:textId="77777777" w:rsidR="004A49C6" w:rsidRDefault="00000000">
      <w:pPr>
        <w:keepNext/>
        <w:pBdr>
          <w:bottom w:val="single" w:sz="6" w:space="2" w:color="1F3864"/>
        </w:pBdr>
        <w:spacing w:before="120" w:after="200"/>
      </w:pPr>
      <w:r>
        <w:rPr>
          <w:b/>
          <w:color w:val="1F3864"/>
          <w:sz w:val="32"/>
        </w:rPr>
        <w:t>4. The Comparative HR Audit</w:t>
      </w:r>
    </w:p>
    <w:p w14:paraId="43417D9E" w14:textId="77777777" w:rsidR="004A49C6" w:rsidRDefault="00000000">
      <w:pPr>
        <w:jc w:val="both"/>
      </w:pPr>
      <w:r>
        <w:t>This chapter forms the heart of the report. Each of the ten HR functions is examined using a consistent approach: a description of what each organisation does, a comparison of the similarities and differences, an explanation of how the industry shapes the practice, and an evaluation that draws out strengths, gaps and transferable good practice. A summary table accompanies each function so that the contrast can be seen at a glance.</w:t>
      </w:r>
    </w:p>
    <w:p w14:paraId="427CE167" w14:textId="77777777" w:rsidR="004A49C6" w:rsidRDefault="00000000">
      <w:pPr>
        <w:keepNext/>
        <w:spacing w:before="200" w:after="80"/>
      </w:pPr>
      <w:r>
        <w:rPr>
          <w:b/>
          <w:color w:val="2E5496"/>
          <w:sz w:val="26"/>
        </w:rPr>
        <w:t>4.1 Employer Branding</w:t>
      </w:r>
    </w:p>
    <w:p w14:paraId="4BDFFF70" w14:textId="77777777" w:rsidR="004A49C6" w:rsidRDefault="00000000">
      <w:pPr>
        <w:keepNext/>
        <w:spacing w:before="120" w:after="40"/>
      </w:pPr>
      <w:r>
        <w:rPr>
          <w:b/>
          <w:i/>
          <w:color w:val="333333"/>
        </w:rPr>
        <w:t>What each organisation does</w:t>
      </w:r>
    </w:p>
    <w:p w14:paraId="6B574F6A" w14:textId="77777777" w:rsidR="004A49C6" w:rsidRDefault="00000000">
      <w:pPr>
        <w:jc w:val="both"/>
      </w:pPr>
      <w:r>
        <w:t>Hyundai has built its employer brand on the twin ideas of engineering excellence and its global purpose statement, “Progress for Humanity.” The brand is reinforced by external validation: certification as a Top Employer in India for three consecutive years, a first-place ranking within the automobile sector, and a high national ranking across all industries. For prospective engineers and management trainees, the promise is essentially one of working on aspirational products, at scale, inside a disciplined and future-focused organisation that is actively leading the shift to electric mobility.</w:t>
      </w:r>
    </w:p>
    <w:p w14:paraId="0F8E8CA6" w14:textId="77777777" w:rsidR="004A49C6" w:rsidRDefault="00000000">
      <w:pPr>
        <w:jc w:val="both"/>
      </w:pPr>
      <w:r>
        <w:t>Omega’s employer brand is constructed very differently, because it must attract large numbers of people into a services industry that many candidates view as transient. Its “Life at Omega” messaging leans heavily on stories of long-serving employees who have climbed from entry-level coding roles into management, on a caring, growth-oriented culture, and on external recognition from Great Place to Work and industry analysts. The core promise is stability and advancement in a field where both are rare – the brand explicitly answers the candidate’s unspoken question, “will I still be here, and growing, in five years?”</w:t>
      </w:r>
    </w:p>
    <w:p w14:paraId="6AB66896" w14:textId="77777777" w:rsidR="004A49C6" w:rsidRDefault="00000000">
      <w:pPr>
        <w:keepNext/>
        <w:spacing w:before="120" w:after="40"/>
      </w:pPr>
      <w:r>
        <w:rPr>
          <w:b/>
          <w:i/>
          <w:color w:val="333333"/>
        </w:rPr>
        <w:t>Comparison and the influence of industry</w:t>
      </w:r>
    </w:p>
    <w:p w14:paraId="72D729BE" w14:textId="77777777" w:rsidR="004A49C6" w:rsidRDefault="00000000">
      <w:pPr>
        <w:jc w:val="both"/>
      </w:pPr>
      <w:r>
        <w:t xml:space="preserve">Both firms use third-party certifications as proof points, and both put people stories at the centre of their messaging. The difference lies in what each brand must overcome. Hyundai competes for relatively scarce technical talent and so emphasises prestige, products and technological leadership. Omega competes in a high-volume labour market where the </w:t>
      </w:r>
      <w:r>
        <w:lastRenderedPageBreak/>
        <w:t>reputational risk is churn, so it emphasises belonging, longevity and internal mobility. In other words, the automobile brand sells aspiration, while the healthcare-services brand sells security and progression – a direct reflection of the different anxieties of their respective talent pools.</w:t>
      </w:r>
    </w:p>
    <w:p w14:paraId="43694367" w14:textId="77777777" w:rsidR="004A49C6" w:rsidRDefault="00000000">
      <w:pPr>
        <w:keepNext/>
        <w:spacing w:before="120" w:after="40"/>
      </w:pPr>
      <w:r>
        <w:rPr>
          <w:b/>
          <w:i/>
          <w:color w:val="333333"/>
        </w:rPr>
        <w:t>Evaluation and transferable practice</w:t>
      </w:r>
    </w:p>
    <w:p w14:paraId="384B971E" w14:textId="77777777" w:rsidR="004A49C6" w:rsidRDefault="00000000">
      <w:pPr>
        <w:jc w:val="both"/>
      </w:pPr>
      <w:r>
        <w:t>Hyundai’s brand is highly effective for attracting engineers but is naturally weighted toward its manufacturing and corporate populations; the challenge is to make the brand feel equally alive for shop-floor and dealership talent. Omega’s brand is authentic and well-targeted, though it depends on continuing to deliver the mobility it advertises, otherwise the promise rings hollow. Each could borrow from the other: Hyundai could make more of individual long-tenure career journeys in the way Omega does, while Omega could borrow Hyundai’s discipline in pursuing formal external certifications to lend its warm messaging harder, more credible edges.</w:t>
      </w:r>
    </w:p>
    <w:tbl>
      <w:tblPr>
        <w:tblStyle w:val="LightGrid-Accent1"/>
        <w:tblW w:w="0" w:type="auto"/>
        <w:tblLook w:val="04A0" w:firstRow="1" w:lastRow="0" w:firstColumn="1" w:lastColumn="0" w:noHBand="0" w:noVBand="1"/>
      </w:tblPr>
      <w:tblGrid>
        <w:gridCol w:w="2258"/>
        <w:gridCol w:w="3603"/>
        <w:gridCol w:w="3571"/>
      </w:tblGrid>
      <w:tr w:rsidR="004A49C6" w14:paraId="34260F90"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46F1256D" w14:textId="77777777" w:rsidR="004A49C6" w:rsidRDefault="00000000">
            <w:pPr>
              <w:jc w:val="center"/>
            </w:pPr>
            <w:r>
              <w:rPr>
                <w:color w:val="FFFFFF"/>
                <w:sz w:val="22"/>
              </w:rPr>
              <w:t>Dimension</w:t>
            </w:r>
          </w:p>
        </w:tc>
        <w:tc>
          <w:tcPr>
            <w:tcW w:w="3672" w:type="dxa"/>
            <w:shd w:val="clear" w:color="auto" w:fill="2E5496"/>
          </w:tcPr>
          <w:p w14:paraId="2C35A409"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20E2B427"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3D7EBA99"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32FE786" w14:textId="77777777" w:rsidR="004A49C6" w:rsidRDefault="00000000">
            <w:pPr>
              <w:spacing w:after="40" w:line="240" w:lineRule="auto"/>
            </w:pPr>
            <w:r>
              <w:rPr>
                <w:sz w:val="21"/>
              </w:rPr>
              <w:t>Central promise</w:t>
            </w:r>
          </w:p>
        </w:tc>
        <w:tc>
          <w:tcPr>
            <w:tcW w:w="3672" w:type="dxa"/>
          </w:tcPr>
          <w:p w14:paraId="4FD1BBD9"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Prestige, products, technological leadership</w:t>
            </w:r>
          </w:p>
        </w:tc>
        <w:tc>
          <w:tcPr>
            <w:tcW w:w="3672" w:type="dxa"/>
          </w:tcPr>
          <w:p w14:paraId="3C204834"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Stability, belonging and rapid internal advancement</w:t>
            </w:r>
          </w:p>
        </w:tc>
      </w:tr>
      <w:tr w:rsidR="004A49C6" w14:paraId="120D1912"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1C952E7" w14:textId="77777777" w:rsidR="004A49C6" w:rsidRDefault="00000000">
            <w:pPr>
              <w:spacing w:after="40" w:line="240" w:lineRule="auto"/>
            </w:pPr>
            <w:r>
              <w:rPr>
                <w:sz w:val="21"/>
              </w:rPr>
              <w:t>Proof points</w:t>
            </w:r>
          </w:p>
        </w:tc>
        <w:tc>
          <w:tcPr>
            <w:tcW w:w="3672" w:type="dxa"/>
          </w:tcPr>
          <w:p w14:paraId="637E4128"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Top Employer certification (3 yrs); #1 in auto sector</w:t>
            </w:r>
          </w:p>
        </w:tc>
        <w:tc>
          <w:tcPr>
            <w:tcW w:w="3672" w:type="dxa"/>
          </w:tcPr>
          <w:p w14:paraId="7D96822E"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Great Place to Work; analyst recognition; longevity stories</w:t>
            </w:r>
          </w:p>
        </w:tc>
      </w:tr>
      <w:tr w:rsidR="004A49C6" w14:paraId="65056328"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B8792D8" w14:textId="77777777" w:rsidR="004A49C6" w:rsidRDefault="00000000">
            <w:pPr>
              <w:spacing w:after="40" w:line="240" w:lineRule="auto"/>
            </w:pPr>
            <w:r>
              <w:rPr>
                <w:sz w:val="21"/>
              </w:rPr>
              <w:t>Primary audience</w:t>
            </w:r>
          </w:p>
        </w:tc>
        <w:tc>
          <w:tcPr>
            <w:tcW w:w="3672" w:type="dxa"/>
          </w:tcPr>
          <w:p w14:paraId="3B193100"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Engineers, technicians, management trainees</w:t>
            </w:r>
          </w:p>
        </w:tc>
        <w:tc>
          <w:tcPr>
            <w:tcW w:w="3672" w:type="dxa"/>
          </w:tcPr>
          <w:p w14:paraId="5079A03F"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High-volume entry-level and specialist services talent</w:t>
            </w:r>
          </w:p>
        </w:tc>
      </w:tr>
      <w:tr w:rsidR="004A49C6" w14:paraId="4E7C4E48"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AB9E04F" w14:textId="77777777" w:rsidR="004A49C6" w:rsidRDefault="00000000">
            <w:pPr>
              <w:spacing w:after="40" w:line="240" w:lineRule="auto"/>
            </w:pPr>
            <w:r>
              <w:rPr>
                <w:sz w:val="21"/>
              </w:rPr>
              <w:t>Branding risk</w:t>
            </w:r>
          </w:p>
        </w:tc>
        <w:tc>
          <w:tcPr>
            <w:tcW w:w="3672" w:type="dxa"/>
          </w:tcPr>
          <w:p w14:paraId="67DEE3F4"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Skewing toward corporate/engineering roles</w:t>
            </w:r>
          </w:p>
        </w:tc>
        <w:tc>
          <w:tcPr>
            <w:tcW w:w="3672" w:type="dxa"/>
          </w:tcPr>
          <w:p w14:paraId="6CDBFCC0"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Brand promise must be matched by real mobility</w:t>
            </w:r>
          </w:p>
        </w:tc>
      </w:tr>
    </w:tbl>
    <w:p w14:paraId="11D3F5CD" w14:textId="77777777" w:rsidR="004A49C6" w:rsidRDefault="004A49C6">
      <w:pPr>
        <w:spacing w:after="40"/>
      </w:pPr>
    </w:p>
    <w:p w14:paraId="0B89848E" w14:textId="77777777" w:rsidR="004A49C6" w:rsidRDefault="00000000">
      <w:pPr>
        <w:keepNext/>
        <w:spacing w:before="200" w:after="80"/>
      </w:pPr>
      <w:r>
        <w:rPr>
          <w:b/>
          <w:color w:val="2E5496"/>
          <w:sz w:val="26"/>
        </w:rPr>
        <w:t>4.2 Recruitment and Selection</w:t>
      </w:r>
    </w:p>
    <w:p w14:paraId="35AEEF36" w14:textId="77777777" w:rsidR="004A49C6" w:rsidRDefault="00000000">
      <w:pPr>
        <w:keepNext/>
        <w:spacing w:before="120" w:after="40"/>
      </w:pPr>
      <w:r>
        <w:rPr>
          <w:b/>
          <w:i/>
          <w:color w:val="333333"/>
        </w:rPr>
        <w:t>What each organisation does</w:t>
      </w:r>
    </w:p>
    <w:p w14:paraId="131BCA3B" w14:textId="77777777" w:rsidR="004A49C6" w:rsidRDefault="00000000">
      <w:pPr>
        <w:jc w:val="both"/>
      </w:pPr>
      <w:r>
        <w:t>Hyundai’s recruitment is anchored by its Young Talent Program, a campus-hiring initiative running since 2010 that funnels engineering and management graduates into the organisation and assigns each recruit a leader-mentor. The company reports exceptionally strong campus engagement – near-universal ‘Day Zero / Day One’ participation at target campuses – and it supplements graduate intake with experienced lateral hires for specialist roles. Selection is structured and competency-based, consistent with a manufacturer that prizes reliability and fit with a safety-conscious culture.</w:t>
      </w:r>
    </w:p>
    <w:p w14:paraId="2C29E438" w14:textId="77777777" w:rsidR="004A49C6" w:rsidRDefault="00000000">
      <w:pPr>
        <w:jc w:val="both"/>
      </w:pPr>
      <w:r>
        <w:t xml:space="preserve">Omega’s recruitment problem is one of scale and speed: it must hire and onboard very large numbers of people across multiple cities and countries to staff round-the-clock service </w:t>
      </w:r>
      <w:r>
        <w:lastRenderedPageBreak/>
        <w:t>operations. It recruits both technical and non-technical talent, often taking in fresh graduates and training them into medical-coding and RCM roles. Selection therefore emphasises trainability, communication ability and attention to detail rather than pre-existing domain expertise, and the company runs targeted campaigns to bring in under-represented groups, including people with disabilities and women returning from career breaks.</w:t>
      </w:r>
    </w:p>
    <w:p w14:paraId="5E250751" w14:textId="77777777" w:rsidR="004A49C6" w:rsidRDefault="00000000">
      <w:pPr>
        <w:keepNext/>
        <w:spacing w:before="120" w:after="40"/>
      </w:pPr>
      <w:r>
        <w:rPr>
          <w:b/>
          <w:i/>
          <w:color w:val="333333"/>
        </w:rPr>
        <w:t>Comparison and the influence of industry</w:t>
      </w:r>
    </w:p>
    <w:p w14:paraId="4D96997F" w14:textId="77777777" w:rsidR="004A49C6" w:rsidRDefault="00000000">
      <w:pPr>
        <w:jc w:val="both"/>
      </w:pPr>
      <w:r>
        <w:t>The contrast here is essentially between depth and breadth. Hyundai hires selectively for long careers in a capital-intensive business where a poor technical hire is costly and safety-relevant; it can therefore afford an intensive, mentor-supported intake model. Omega hires at volume for a service business where the pressing risk is filling seats and then keeping people, so its model is built for throughput and for converting raw potential into capability quickly. The manufacturing environment rewards careful, front-loaded selection; the services environment rewards a strong hiring engine coupled with excellent early training.</w:t>
      </w:r>
    </w:p>
    <w:p w14:paraId="258B8CA2" w14:textId="77777777" w:rsidR="004A49C6" w:rsidRDefault="00000000">
      <w:pPr>
        <w:keepNext/>
        <w:spacing w:before="120" w:after="40"/>
      </w:pPr>
      <w:r>
        <w:rPr>
          <w:b/>
          <w:i/>
          <w:color w:val="333333"/>
        </w:rPr>
        <w:t>Evaluation and transferable practice</w:t>
      </w:r>
    </w:p>
    <w:p w14:paraId="759EE11D" w14:textId="77777777" w:rsidR="004A49C6" w:rsidRDefault="00000000">
      <w:pPr>
        <w:jc w:val="both"/>
      </w:pPr>
      <w:r>
        <w:t>Hyundai’s mentor-linked campus model is a clear strength and helps explain its low attrition, but its comparatively modest headcount growth means it must guard against being seen only as a graduate recruiter rather than a destination for diverse mid-career talent. Omega’s inclusive, high-volume engine is impressive and socially valuable, but volume hiring always risks quality dilution, which places a heavy burden on selection screening and onboarding. Omega could adopt Hyundai’s practice of assigning a named mentor from day one to raise early-stage retention; Hyundai, in turn, could learn from Omega’s deliberate, campaign-based sourcing of under-represented talent.</w:t>
      </w:r>
    </w:p>
    <w:tbl>
      <w:tblPr>
        <w:tblStyle w:val="LightGrid-Accent1"/>
        <w:tblW w:w="0" w:type="auto"/>
        <w:tblLook w:val="04A0" w:firstRow="1" w:lastRow="0" w:firstColumn="1" w:lastColumn="0" w:noHBand="0" w:noVBand="1"/>
      </w:tblPr>
      <w:tblGrid>
        <w:gridCol w:w="2261"/>
        <w:gridCol w:w="3582"/>
        <w:gridCol w:w="3589"/>
      </w:tblGrid>
      <w:tr w:rsidR="004A49C6" w14:paraId="7AC5EE0F"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6B2F1390" w14:textId="77777777" w:rsidR="004A49C6" w:rsidRDefault="00000000">
            <w:pPr>
              <w:jc w:val="center"/>
            </w:pPr>
            <w:r>
              <w:rPr>
                <w:color w:val="FFFFFF"/>
                <w:sz w:val="22"/>
              </w:rPr>
              <w:t>Dimension</w:t>
            </w:r>
          </w:p>
        </w:tc>
        <w:tc>
          <w:tcPr>
            <w:tcW w:w="3672" w:type="dxa"/>
            <w:shd w:val="clear" w:color="auto" w:fill="2E5496"/>
          </w:tcPr>
          <w:p w14:paraId="080E693C"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2BE7E842"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7C11DF3E"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64ABD99" w14:textId="77777777" w:rsidR="004A49C6" w:rsidRDefault="00000000">
            <w:pPr>
              <w:spacing w:after="40" w:line="240" w:lineRule="auto"/>
            </w:pPr>
            <w:r>
              <w:rPr>
                <w:sz w:val="21"/>
              </w:rPr>
              <w:t>Dominant model</w:t>
            </w:r>
          </w:p>
        </w:tc>
        <w:tc>
          <w:tcPr>
            <w:tcW w:w="3672" w:type="dxa"/>
          </w:tcPr>
          <w:p w14:paraId="4C584BB5"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Selective, mentor-supported campus hiring (Young Talent Program)</w:t>
            </w:r>
          </w:p>
        </w:tc>
        <w:tc>
          <w:tcPr>
            <w:tcW w:w="3672" w:type="dxa"/>
          </w:tcPr>
          <w:p w14:paraId="725D3046"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High-volume, train-to-hire recruitment across multiple sites</w:t>
            </w:r>
          </w:p>
        </w:tc>
      </w:tr>
      <w:tr w:rsidR="004A49C6" w14:paraId="4FC4B134"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4AE4A6E" w14:textId="77777777" w:rsidR="004A49C6" w:rsidRDefault="00000000">
            <w:pPr>
              <w:spacing w:after="40" w:line="240" w:lineRule="auto"/>
            </w:pPr>
            <w:r>
              <w:rPr>
                <w:sz w:val="21"/>
              </w:rPr>
              <w:t>Key selection criterion</w:t>
            </w:r>
          </w:p>
        </w:tc>
        <w:tc>
          <w:tcPr>
            <w:tcW w:w="3672" w:type="dxa"/>
          </w:tcPr>
          <w:p w14:paraId="3D6A3002"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Technical competence and cultural/safety fit</w:t>
            </w:r>
          </w:p>
        </w:tc>
        <w:tc>
          <w:tcPr>
            <w:tcW w:w="3672" w:type="dxa"/>
          </w:tcPr>
          <w:p w14:paraId="2DC09299"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Trainability, communication, attention to detail</w:t>
            </w:r>
          </w:p>
        </w:tc>
      </w:tr>
      <w:tr w:rsidR="004A49C6" w14:paraId="519BFB33"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7CEE584" w14:textId="77777777" w:rsidR="004A49C6" w:rsidRDefault="00000000">
            <w:pPr>
              <w:spacing w:after="40" w:line="240" w:lineRule="auto"/>
            </w:pPr>
            <w:r>
              <w:rPr>
                <w:sz w:val="21"/>
              </w:rPr>
              <w:t>Entry mentoring</w:t>
            </w:r>
          </w:p>
        </w:tc>
        <w:tc>
          <w:tcPr>
            <w:tcW w:w="3672" w:type="dxa"/>
          </w:tcPr>
          <w:p w14:paraId="6747D9AF"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Leader-mentor assigned to each campus recruit</w:t>
            </w:r>
          </w:p>
        </w:tc>
        <w:tc>
          <w:tcPr>
            <w:tcW w:w="3672" w:type="dxa"/>
          </w:tcPr>
          <w:p w14:paraId="4A76FB85"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Structured onboarding and early skill training</w:t>
            </w:r>
          </w:p>
        </w:tc>
      </w:tr>
      <w:tr w:rsidR="004A49C6" w14:paraId="20079C49"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800C438" w14:textId="77777777" w:rsidR="004A49C6" w:rsidRDefault="00000000">
            <w:pPr>
              <w:spacing w:after="40" w:line="240" w:lineRule="auto"/>
            </w:pPr>
            <w:r>
              <w:rPr>
                <w:sz w:val="21"/>
              </w:rPr>
              <w:t>Industry driver</w:t>
            </w:r>
          </w:p>
        </w:tc>
        <w:tc>
          <w:tcPr>
            <w:tcW w:w="3672" w:type="dxa"/>
          </w:tcPr>
          <w:p w14:paraId="00747961"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Cost and safety risk of a poor technical hire</w:t>
            </w:r>
          </w:p>
        </w:tc>
        <w:tc>
          <w:tcPr>
            <w:tcW w:w="3672" w:type="dxa"/>
          </w:tcPr>
          <w:p w14:paraId="0F613A56"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Need for scale, speed and immediate deployability</w:t>
            </w:r>
          </w:p>
        </w:tc>
      </w:tr>
    </w:tbl>
    <w:p w14:paraId="5F034D7C" w14:textId="77777777" w:rsidR="004A49C6" w:rsidRDefault="004A49C6">
      <w:pPr>
        <w:spacing w:after="40"/>
      </w:pPr>
    </w:p>
    <w:p w14:paraId="1CC06FA5" w14:textId="77777777" w:rsidR="004A49C6" w:rsidRDefault="00000000">
      <w:pPr>
        <w:keepNext/>
        <w:spacing w:before="200" w:after="80"/>
      </w:pPr>
      <w:r>
        <w:rPr>
          <w:b/>
          <w:color w:val="2E5496"/>
          <w:sz w:val="26"/>
        </w:rPr>
        <w:lastRenderedPageBreak/>
        <w:t>4.3 Learning and Development</w:t>
      </w:r>
    </w:p>
    <w:p w14:paraId="1D87C3CB" w14:textId="77777777" w:rsidR="004A49C6" w:rsidRDefault="00000000">
      <w:pPr>
        <w:keepNext/>
        <w:spacing w:before="120" w:after="40"/>
      </w:pPr>
      <w:r>
        <w:rPr>
          <w:b/>
          <w:i/>
          <w:color w:val="333333"/>
        </w:rPr>
        <w:t>What each organisation does</w:t>
      </w:r>
    </w:p>
    <w:p w14:paraId="7C6EF4B8" w14:textId="77777777" w:rsidR="004A49C6" w:rsidRDefault="00000000">
      <w:pPr>
        <w:jc w:val="both"/>
      </w:pPr>
      <w:r>
        <w:t>Learning is arguably where Hyundai is most distinctive. Its approach is organised around a family of academies – a Leadership Excellence Academy, a Behaviour Development Academy, a Function Development Academy and a Future Development Academy – supported by more than two hundred need-based ‘learning trails’ and a stated philosophy of the ‘3Es’: Education, Exposure and Experience. The company partners with premier institutions such as the IITs, the IIMs and XLRI, and has put its entire senior-leadership cohort through a structured digital-transformation programme. Crucially, as the industry pivots to electric vehicles, Hyundai has co-created EV certification programmes with IIT Delhi and IIT Madras and trains shop-floor workers in high-voltage safety and battery management – learning is being used as the primary instrument of strategic change.</w:t>
      </w:r>
    </w:p>
    <w:p w14:paraId="47AF3CF7" w14:textId="77777777" w:rsidR="004A49C6" w:rsidRDefault="00000000">
      <w:pPr>
        <w:jc w:val="both"/>
      </w:pPr>
      <w:r>
        <w:t>Omega’s learning framework is tiered to its workforce structure. New associates receive grounding in business communication and quality control; those moving into supervisory roles complete programmes in people management and hiring; and a Future Leader Pipeline develops talent at emerging, mid and senior levels. Delivery blends instructor-led sessions, digital learning, simulations and internal mentoring, and the stated intent is to make learning “contextual, not just accessible” – that is, tightly linked to each person’s actual career path so that programmes are lived rather than merely completed.</w:t>
      </w:r>
    </w:p>
    <w:p w14:paraId="28C2AEF7" w14:textId="77777777" w:rsidR="004A49C6" w:rsidRDefault="00000000">
      <w:pPr>
        <w:keepNext/>
        <w:spacing w:before="120" w:after="40"/>
      </w:pPr>
      <w:r>
        <w:rPr>
          <w:b/>
          <w:i/>
          <w:color w:val="333333"/>
        </w:rPr>
        <w:t>Comparison and the influence of industry</w:t>
      </w:r>
    </w:p>
    <w:p w14:paraId="4FBF0E66" w14:textId="77777777" w:rsidR="004A49C6" w:rsidRDefault="00000000">
      <w:pPr>
        <w:jc w:val="both"/>
      </w:pPr>
      <w:r>
        <w:t>Both companies treat L&amp;D as strategic rather than remedial, and both operate structured, multi-level architectures with a strong mentoring thread. The difference is one of content and cadence. Hyundai’s learning is heavily technical and future-technology oriented, reflecting an industry where the underlying product is being reinvented; its academic alliances give it access to deep engineering knowledge. Omega’s learning is oriented toward process quality, domain knowledge (coding, compliance) and rapid readiness, reflecting a service business where capability must be built quickly and refreshed continuously against changing client and regulatory requirements.</w:t>
      </w:r>
    </w:p>
    <w:p w14:paraId="6F9842A2" w14:textId="77777777" w:rsidR="004A49C6" w:rsidRDefault="00000000">
      <w:pPr>
        <w:keepNext/>
        <w:spacing w:before="120" w:after="40"/>
      </w:pPr>
      <w:r>
        <w:rPr>
          <w:b/>
          <w:i/>
          <w:color w:val="333333"/>
        </w:rPr>
        <w:lastRenderedPageBreak/>
        <w:t>Evaluation and transferable practice</w:t>
      </w:r>
    </w:p>
    <w:p w14:paraId="3F412A0D" w14:textId="77777777" w:rsidR="004A49C6" w:rsidRDefault="00000000">
      <w:pPr>
        <w:jc w:val="both"/>
      </w:pPr>
      <w:r>
        <w:t>Hyundai’s institution-linked academy model is a genuine competitive strength and a strong example of the AMO model’s ‘Ability’ lever in action; the main risk is ensuring that the considerable investment reaches frontline and dealership staff as fully as it reaches engineers and leaders. Omega’s contextual, career-linked model is well suited to its scale and is commendably practical, but it could deepen external academic partnerships of the kind Hyundai enjoys to lend more formal credentialing to its internal programmes. Hyundai could, in return, learn from Omega’s tight coupling of every learning module to a visible next career step.</w:t>
      </w:r>
    </w:p>
    <w:tbl>
      <w:tblPr>
        <w:tblStyle w:val="LightGrid-Accent1"/>
        <w:tblW w:w="0" w:type="auto"/>
        <w:tblLook w:val="04A0" w:firstRow="1" w:lastRow="0" w:firstColumn="1" w:lastColumn="0" w:noHBand="0" w:noVBand="1"/>
      </w:tblPr>
      <w:tblGrid>
        <w:gridCol w:w="2264"/>
        <w:gridCol w:w="3585"/>
        <w:gridCol w:w="3583"/>
      </w:tblGrid>
      <w:tr w:rsidR="004A49C6" w14:paraId="0BA4C6D9"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41F70F76" w14:textId="77777777" w:rsidR="004A49C6" w:rsidRDefault="00000000">
            <w:pPr>
              <w:jc w:val="center"/>
            </w:pPr>
            <w:r>
              <w:rPr>
                <w:color w:val="FFFFFF"/>
                <w:sz w:val="22"/>
              </w:rPr>
              <w:t>Dimension</w:t>
            </w:r>
          </w:p>
        </w:tc>
        <w:tc>
          <w:tcPr>
            <w:tcW w:w="3672" w:type="dxa"/>
            <w:shd w:val="clear" w:color="auto" w:fill="2E5496"/>
          </w:tcPr>
          <w:p w14:paraId="3E18FA6F"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5F4C429F"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5D6EEA4B"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B6D3AB0" w14:textId="77777777" w:rsidR="004A49C6" w:rsidRDefault="00000000">
            <w:pPr>
              <w:spacing w:after="40" w:line="240" w:lineRule="auto"/>
            </w:pPr>
            <w:r>
              <w:rPr>
                <w:sz w:val="21"/>
              </w:rPr>
              <w:t>Signature model</w:t>
            </w:r>
          </w:p>
        </w:tc>
        <w:tc>
          <w:tcPr>
            <w:tcW w:w="3672" w:type="dxa"/>
          </w:tcPr>
          <w:p w14:paraId="38715332"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Academy system + 3Es (Education–Exposure–Experience)</w:t>
            </w:r>
          </w:p>
        </w:tc>
        <w:tc>
          <w:tcPr>
            <w:tcW w:w="3672" w:type="dxa"/>
          </w:tcPr>
          <w:p w14:paraId="6E917629"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Tiered L&amp;D + Future Leader Pipeline, career-linked</w:t>
            </w:r>
          </w:p>
        </w:tc>
      </w:tr>
      <w:tr w:rsidR="004A49C6" w14:paraId="47DE84F9"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31F3291" w14:textId="77777777" w:rsidR="004A49C6" w:rsidRDefault="00000000">
            <w:pPr>
              <w:spacing w:after="40" w:line="240" w:lineRule="auto"/>
            </w:pPr>
            <w:r>
              <w:rPr>
                <w:sz w:val="21"/>
              </w:rPr>
              <w:t>External partners</w:t>
            </w:r>
          </w:p>
        </w:tc>
        <w:tc>
          <w:tcPr>
            <w:tcW w:w="3672" w:type="dxa"/>
          </w:tcPr>
          <w:p w14:paraId="5EE386B1"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IITs, IIMs, XLRI; co-created EV certifications</w:t>
            </w:r>
          </w:p>
        </w:tc>
        <w:tc>
          <w:tcPr>
            <w:tcW w:w="3672" w:type="dxa"/>
          </w:tcPr>
          <w:p w14:paraId="59B31FF9"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Largely internal; blended instructor-led and digital</w:t>
            </w:r>
          </w:p>
        </w:tc>
      </w:tr>
      <w:tr w:rsidR="004A49C6" w14:paraId="68EEF658"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EA0256A" w14:textId="77777777" w:rsidR="004A49C6" w:rsidRDefault="00000000">
            <w:pPr>
              <w:spacing w:after="40" w:line="240" w:lineRule="auto"/>
            </w:pPr>
            <w:r>
              <w:rPr>
                <w:sz w:val="21"/>
              </w:rPr>
              <w:t>Strategic purpose</w:t>
            </w:r>
          </w:p>
        </w:tc>
        <w:tc>
          <w:tcPr>
            <w:tcW w:w="3672" w:type="dxa"/>
          </w:tcPr>
          <w:p w14:paraId="20C82EFF"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Reskilling for the EV / software-defined-vehicle shift</w:t>
            </w:r>
          </w:p>
        </w:tc>
        <w:tc>
          <w:tcPr>
            <w:tcW w:w="3672" w:type="dxa"/>
          </w:tcPr>
          <w:p w14:paraId="3ABFBE29"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Fast readiness, process quality and compliance</w:t>
            </w:r>
          </w:p>
        </w:tc>
      </w:tr>
      <w:tr w:rsidR="004A49C6" w14:paraId="133D4957"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6D8ACD" w14:textId="77777777" w:rsidR="004A49C6" w:rsidRDefault="00000000">
            <w:pPr>
              <w:spacing w:after="40" w:line="240" w:lineRule="auto"/>
            </w:pPr>
            <w:r>
              <w:rPr>
                <w:sz w:val="21"/>
              </w:rPr>
              <w:t>Delivery mix</w:t>
            </w:r>
          </w:p>
        </w:tc>
        <w:tc>
          <w:tcPr>
            <w:tcW w:w="3672" w:type="dxa"/>
          </w:tcPr>
          <w:p w14:paraId="2F72A57A"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Academies, learning trails, knowledge forums</w:t>
            </w:r>
          </w:p>
        </w:tc>
        <w:tc>
          <w:tcPr>
            <w:tcW w:w="3672" w:type="dxa"/>
          </w:tcPr>
          <w:p w14:paraId="5C430C57"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Classroom, digital, simulations, internal mentoring</w:t>
            </w:r>
          </w:p>
        </w:tc>
      </w:tr>
    </w:tbl>
    <w:p w14:paraId="31333904" w14:textId="77777777" w:rsidR="004A49C6" w:rsidRDefault="004A49C6">
      <w:pPr>
        <w:spacing w:after="40"/>
      </w:pPr>
    </w:p>
    <w:p w14:paraId="151F20F4" w14:textId="77777777" w:rsidR="004A49C6" w:rsidRDefault="00000000">
      <w:pPr>
        <w:keepNext/>
        <w:spacing w:before="200" w:after="80"/>
      </w:pPr>
      <w:r>
        <w:rPr>
          <w:b/>
          <w:color w:val="2E5496"/>
          <w:sz w:val="26"/>
        </w:rPr>
        <w:t>4.4 Performance Management</w:t>
      </w:r>
    </w:p>
    <w:p w14:paraId="663FE397" w14:textId="77777777" w:rsidR="004A49C6" w:rsidRDefault="00000000">
      <w:pPr>
        <w:keepNext/>
        <w:spacing w:before="120" w:after="40"/>
      </w:pPr>
      <w:r>
        <w:rPr>
          <w:b/>
          <w:i/>
          <w:color w:val="333333"/>
        </w:rPr>
        <w:t>What each organisation does</w:t>
      </w:r>
    </w:p>
    <w:p w14:paraId="3C0B057A" w14:textId="77777777" w:rsidR="004A49C6" w:rsidRDefault="00000000">
      <w:pPr>
        <w:jc w:val="both"/>
      </w:pPr>
      <w:r>
        <w:t>Hyundai’s recent and most visible people initiative is its move to a “Role-Based Organisation”, a framework that defines contribution and progression around clearly articulated roles rather than around traditional hierarchical grades. Performance is managed against role expectations and is closely tied to the company’s learning academies and its in-house assessment-and-development centre, which supports objective evaluation of potential. This is a considered, structured approach in keeping with a large manufacturer that values consistency and clear accountability.</w:t>
      </w:r>
    </w:p>
    <w:p w14:paraId="0DDDE932" w14:textId="77777777" w:rsidR="004A49C6" w:rsidRDefault="00000000">
      <w:pPr>
        <w:jc w:val="both"/>
      </w:pPr>
      <w:r>
        <w:t xml:space="preserve">Omega has taken a strikingly different path for its frontline population. In 2021 it introduced a Performance-Based Quarterly Merit Increase (PBQMI) for its Band 1 employees – the frontline agents who form the operational backbone – replacing the traditional annual cycle with performance-linked pay rises every three months. The logic, in the words of its HR leadership, </w:t>
      </w:r>
      <w:r>
        <w:lastRenderedPageBreak/>
        <w:t>is that there is little sense in waiting a year to reward good work, particularly for younger employees who expect their impact to be recognised quickly.</w:t>
      </w:r>
    </w:p>
    <w:p w14:paraId="1547EEC5" w14:textId="77777777" w:rsidR="004A49C6" w:rsidRDefault="00000000">
      <w:pPr>
        <w:keepNext/>
        <w:spacing w:before="120" w:after="40"/>
      </w:pPr>
      <w:r>
        <w:rPr>
          <w:b/>
          <w:i/>
          <w:color w:val="333333"/>
        </w:rPr>
        <w:t>Comparison and the influence of industry</w:t>
      </w:r>
    </w:p>
    <w:p w14:paraId="039FB99C" w14:textId="77777777" w:rsidR="004A49C6" w:rsidRDefault="00000000">
      <w:pPr>
        <w:jc w:val="both"/>
      </w:pPr>
      <w:r>
        <w:t>Here the two organisations sit at almost opposite ends of a spectrum of cadence. Hyundai emphasises structural clarity – getting roles, expectations and development pathways right – which suits a manufacturing environment where work is stable, interdependent and measured over longer horizons. Omega emphasises frequency and immediacy, which suits a high-volume service environment where output is highly measurable at the individual level and where fast feedback is a powerful retention lever. The measurability of RCM work makes quarterly merit increases feasible in a way that would be far harder to administer fairly on an interdependent assembly line.</w:t>
      </w:r>
    </w:p>
    <w:p w14:paraId="21A0586F" w14:textId="77777777" w:rsidR="004A49C6" w:rsidRDefault="00000000">
      <w:pPr>
        <w:keepNext/>
        <w:spacing w:before="120" w:after="40"/>
      </w:pPr>
      <w:r>
        <w:rPr>
          <w:b/>
          <w:i/>
          <w:color w:val="333333"/>
        </w:rPr>
        <w:t>Evaluation and transferable practice</w:t>
      </w:r>
    </w:p>
    <w:p w14:paraId="1F6D6E19" w14:textId="77777777" w:rsidR="004A49C6" w:rsidRDefault="00000000">
      <w:pPr>
        <w:jc w:val="both"/>
      </w:pPr>
      <w:r>
        <w:t>Hyundai’s role-based system is a sophisticated attempt to modernise performance management and reduce hierarchy, but any such framework must be communicated carefully so employees understand how roles translate into growth and reward. Omega’s PBQMI is a genuinely innovative practice with a clear line of sight to both motivation and retention, though it demands robust, transparent metrics to avoid perceptions of unfairness and to prevent short-termism. The transferable insight is powerful: Hyundai (and most large employers) could pilot more frequent recognition or micro-reward cycles for suitable roles, while Omega could complement its quarterly quantitative rewards with the kind of structured capability-and-potential assessment that Hyundai runs.</w:t>
      </w:r>
    </w:p>
    <w:tbl>
      <w:tblPr>
        <w:tblStyle w:val="LightGrid-Accent1"/>
        <w:tblW w:w="0" w:type="auto"/>
        <w:tblLook w:val="04A0" w:firstRow="1" w:lastRow="0" w:firstColumn="1" w:lastColumn="0" w:noHBand="0" w:noVBand="1"/>
      </w:tblPr>
      <w:tblGrid>
        <w:gridCol w:w="2263"/>
        <w:gridCol w:w="3588"/>
        <w:gridCol w:w="3581"/>
      </w:tblGrid>
      <w:tr w:rsidR="004A49C6" w14:paraId="43C8E619"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44256B68" w14:textId="77777777" w:rsidR="004A49C6" w:rsidRDefault="00000000">
            <w:pPr>
              <w:jc w:val="center"/>
            </w:pPr>
            <w:r>
              <w:rPr>
                <w:color w:val="FFFFFF"/>
                <w:sz w:val="22"/>
              </w:rPr>
              <w:t>Dimension</w:t>
            </w:r>
          </w:p>
        </w:tc>
        <w:tc>
          <w:tcPr>
            <w:tcW w:w="3672" w:type="dxa"/>
            <w:shd w:val="clear" w:color="auto" w:fill="2E5496"/>
          </w:tcPr>
          <w:p w14:paraId="6A9642B4"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2189F000"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4F198D37"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D302C78" w14:textId="77777777" w:rsidR="004A49C6" w:rsidRDefault="00000000">
            <w:pPr>
              <w:spacing w:after="40" w:line="240" w:lineRule="auto"/>
            </w:pPr>
            <w:r>
              <w:rPr>
                <w:sz w:val="21"/>
              </w:rPr>
              <w:t>Core philosophy</w:t>
            </w:r>
          </w:p>
        </w:tc>
        <w:tc>
          <w:tcPr>
            <w:tcW w:w="3672" w:type="dxa"/>
          </w:tcPr>
          <w:p w14:paraId="0C26B3D7"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Structural clarity via Role-Based Organisation</w:t>
            </w:r>
          </w:p>
        </w:tc>
        <w:tc>
          <w:tcPr>
            <w:tcW w:w="3672" w:type="dxa"/>
          </w:tcPr>
          <w:p w14:paraId="43CDF414"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High-frequency, performance-linked reward</w:t>
            </w:r>
          </w:p>
        </w:tc>
      </w:tr>
      <w:tr w:rsidR="004A49C6" w14:paraId="3F6E2F13"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24B4AAD" w14:textId="77777777" w:rsidR="004A49C6" w:rsidRDefault="00000000">
            <w:pPr>
              <w:spacing w:after="40" w:line="240" w:lineRule="auto"/>
            </w:pPr>
            <w:r>
              <w:rPr>
                <w:sz w:val="21"/>
              </w:rPr>
              <w:t>Review cadence</w:t>
            </w:r>
          </w:p>
        </w:tc>
        <w:tc>
          <w:tcPr>
            <w:tcW w:w="3672" w:type="dxa"/>
          </w:tcPr>
          <w:p w14:paraId="3D7CA491"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Structured, role-based, longer-horizon</w:t>
            </w:r>
          </w:p>
        </w:tc>
        <w:tc>
          <w:tcPr>
            <w:tcW w:w="3672" w:type="dxa"/>
          </w:tcPr>
          <w:p w14:paraId="71C220B8"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Quarterly merit increases (PBQMI) for frontline</w:t>
            </w:r>
          </w:p>
        </w:tc>
      </w:tr>
      <w:tr w:rsidR="004A49C6" w14:paraId="6EA1E4F4"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110CC0A" w14:textId="77777777" w:rsidR="004A49C6" w:rsidRDefault="00000000">
            <w:pPr>
              <w:spacing w:after="40" w:line="240" w:lineRule="auto"/>
            </w:pPr>
            <w:r>
              <w:rPr>
                <w:sz w:val="21"/>
              </w:rPr>
              <w:t>Supporting tools</w:t>
            </w:r>
          </w:p>
        </w:tc>
        <w:tc>
          <w:tcPr>
            <w:tcW w:w="3672" w:type="dxa"/>
          </w:tcPr>
          <w:p w14:paraId="7C7050D4"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Assessment &amp; development centre; academies</w:t>
            </w:r>
          </w:p>
        </w:tc>
        <w:tc>
          <w:tcPr>
            <w:tcW w:w="3672" w:type="dxa"/>
          </w:tcPr>
          <w:p w14:paraId="7BD9D3DE"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Clear individual metrics; timely feedback</w:t>
            </w:r>
          </w:p>
        </w:tc>
      </w:tr>
      <w:tr w:rsidR="004A49C6" w14:paraId="006FE5D3"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3D967D7" w14:textId="77777777" w:rsidR="004A49C6" w:rsidRDefault="00000000">
            <w:pPr>
              <w:spacing w:after="40" w:line="240" w:lineRule="auto"/>
            </w:pPr>
            <w:r>
              <w:rPr>
                <w:sz w:val="21"/>
              </w:rPr>
              <w:t>Industry driver</w:t>
            </w:r>
          </w:p>
        </w:tc>
        <w:tc>
          <w:tcPr>
            <w:tcW w:w="3672" w:type="dxa"/>
          </w:tcPr>
          <w:p w14:paraId="56717F0B"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Interdependent, safety-critical, stable work</w:t>
            </w:r>
          </w:p>
        </w:tc>
        <w:tc>
          <w:tcPr>
            <w:tcW w:w="3672" w:type="dxa"/>
          </w:tcPr>
          <w:p w14:paraId="5B239DF7"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Highly measurable individual output; retention focus</w:t>
            </w:r>
          </w:p>
        </w:tc>
      </w:tr>
    </w:tbl>
    <w:p w14:paraId="5FD08201" w14:textId="77777777" w:rsidR="004A49C6" w:rsidRDefault="004A49C6">
      <w:pPr>
        <w:spacing w:after="40"/>
      </w:pPr>
    </w:p>
    <w:p w14:paraId="5D183C9A" w14:textId="77777777" w:rsidR="004A49C6" w:rsidRDefault="00000000">
      <w:pPr>
        <w:keepNext/>
        <w:spacing w:before="200" w:after="80"/>
      </w:pPr>
      <w:r>
        <w:rPr>
          <w:b/>
          <w:color w:val="2E5496"/>
          <w:sz w:val="26"/>
        </w:rPr>
        <w:lastRenderedPageBreak/>
        <w:t>4.5 Compensation and Benefits</w:t>
      </w:r>
    </w:p>
    <w:p w14:paraId="05D9B5E4" w14:textId="77777777" w:rsidR="004A49C6" w:rsidRDefault="00000000">
      <w:pPr>
        <w:keepNext/>
        <w:spacing w:before="120" w:after="40"/>
      </w:pPr>
      <w:r>
        <w:rPr>
          <w:b/>
          <w:i/>
          <w:color w:val="333333"/>
        </w:rPr>
        <w:t>What each organisation does</w:t>
      </w:r>
    </w:p>
    <w:p w14:paraId="0C23AC6B" w14:textId="77777777" w:rsidR="004A49C6" w:rsidRDefault="00000000">
      <w:pPr>
        <w:jc w:val="both"/>
      </w:pPr>
      <w:r>
        <w:t>As a large listed manufacturer, Hyundai offers structured, market-competitive compensation with the benefits typical of an established industrial employer. Its regulated disclosures give a sense of scale and direction: employee-benefit expenses of the order of several thousand crore rupees, headcount growth, and a rise in median employee pay of close to ten per cent in a recent financial year. Compensation is embedded in the broader role-based structure, so reward is linked to role and contribution, and it is complemented by the security, facilities and long-service orientation associated with a stable manufacturing career.</w:t>
      </w:r>
    </w:p>
    <w:p w14:paraId="4F9A4E60" w14:textId="77777777" w:rsidR="004A49C6" w:rsidRDefault="00000000">
      <w:pPr>
        <w:jc w:val="both"/>
      </w:pPr>
      <w:r>
        <w:t>Omega’s reward strategy is shaped by the economics of services and by the retention imperative. Its headline innovation, again, is the quarterly merit increase for frontline staff, which effectively front-loads and accelerates reward for good performers. Around this sits a benefits package that the company frames as ‘infrastructure for performance’ rather than as perks: employee-assistance schemes, financial-wellness tools, health support and recognition programmes, notably the Golden Brick long-service awards that celebrate three-, ten-, fifteen- and twenty-year milestones at high-profile ceremonies.</w:t>
      </w:r>
    </w:p>
    <w:p w14:paraId="6DBD99FB" w14:textId="77777777" w:rsidR="004A49C6" w:rsidRDefault="00000000">
      <w:pPr>
        <w:keepNext/>
        <w:spacing w:before="120" w:after="40"/>
      </w:pPr>
      <w:r>
        <w:rPr>
          <w:b/>
          <w:i/>
          <w:color w:val="333333"/>
        </w:rPr>
        <w:t>Comparison and the influence of industry</w:t>
      </w:r>
    </w:p>
    <w:p w14:paraId="1DC91B9C" w14:textId="77777777" w:rsidR="004A49C6" w:rsidRDefault="00000000">
      <w:pPr>
        <w:jc w:val="both"/>
      </w:pPr>
      <w:r>
        <w:t>Both companies clearly understand that pay alone does not retain people – an implicitly Herzbergian position – and both wrap monetary reward in a wider set of benefits and recognition. The difference is in structure and rhythm. Hyundai’s compensation is stable, role-anchored and disclosed within a regulated framework, reflecting industrial norms and the expectations of a listed company. Omega’s is more dynamic and retention-driven, using frequency of reward and symbolic long-service recognition to fight the churn that characterises its sector. The automobile model optimises for fairness and stability; the services model optimises for momentum and loyalty.</w:t>
      </w:r>
    </w:p>
    <w:p w14:paraId="4734F907" w14:textId="77777777" w:rsidR="004A49C6" w:rsidRDefault="00000000">
      <w:pPr>
        <w:keepNext/>
        <w:spacing w:before="120" w:after="40"/>
      </w:pPr>
      <w:r>
        <w:rPr>
          <w:b/>
          <w:i/>
          <w:color w:val="333333"/>
        </w:rPr>
        <w:t>Evaluation and transferable practice</w:t>
      </w:r>
    </w:p>
    <w:p w14:paraId="564254B6" w14:textId="77777777" w:rsidR="004A49C6" w:rsidRDefault="00000000">
      <w:pPr>
        <w:jc w:val="both"/>
      </w:pPr>
      <w:r>
        <w:t xml:space="preserve">Hyundai’s approach is robust and transparent, and rising median pay is a healthy signal, but stability can, if unmanaged, feel static to ambitious younger employees. Omega’s combination of quarterly increases and milestone recognition is imaginative and clearly targeted at its retention problem, though frequent monetary reward must be funded sustainably and balanced </w:t>
      </w:r>
      <w:r>
        <w:lastRenderedPageBreak/>
        <w:t>so that it does not overshadow intrinsic motivators. Hyundai could adopt Omega’s milestone-celebration idea to make long tenure feel special; Omega could draw on Hyundai’s disciplined, role-linked pay structure to ensure its dynamic rewards remain internally equitable.</w:t>
      </w:r>
    </w:p>
    <w:tbl>
      <w:tblPr>
        <w:tblStyle w:val="LightGrid-Accent1"/>
        <w:tblW w:w="0" w:type="auto"/>
        <w:tblLook w:val="04A0" w:firstRow="1" w:lastRow="0" w:firstColumn="1" w:lastColumn="0" w:noHBand="0" w:noVBand="1"/>
      </w:tblPr>
      <w:tblGrid>
        <w:gridCol w:w="2264"/>
        <w:gridCol w:w="3580"/>
        <w:gridCol w:w="3588"/>
      </w:tblGrid>
      <w:tr w:rsidR="004A49C6" w14:paraId="3E9A77DE"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49B8BBC8" w14:textId="77777777" w:rsidR="004A49C6" w:rsidRDefault="00000000">
            <w:pPr>
              <w:jc w:val="center"/>
            </w:pPr>
            <w:r>
              <w:rPr>
                <w:color w:val="FFFFFF"/>
                <w:sz w:val="22"/>
              </w:rPr>
              <w:t>Dimension</w:t>
            </w:r>
          </w:p>
        </w:tc>
        <w:tc>
          <w:tcPr>
            <w:tcW w:w="3672" w:type="dxa"/>
            <w:shd w:val="clear" w:color="auto" w:fill="2E5496"/>
          </w:tcPr>
          <w:p w14:paraId="4F08D68D"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211BB278"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55A7090D"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6F5440F" w14:textId="77777777" w:rsidR="004A49C6" w:rsidRDefault="00000000">
            <w:pPr>
              <w:spacing w:after="40" w:line="240" w:lineRule="auto"/>
            </w:pPr>
            <w:r>
              <w:rPr>
                <w:sz w:val="21"/>
              </w:rPr>
              <w:t>Pay philosophy</w:t>
            </w:r>
          </w:p>
        </w:tc>
        <w:tc>
          <w:tcPr>
            <w:tcW w:w="3672" w:type="dxa"/>
          </w:tcPr>
          <w:p w14:paraId="4A40C712"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Structured, role-linked, market-competitive</w:t>
            </w:r>
          </w:p>
        </w:tc>
        <w:tc>
          <w:tcPr>
            <w:tcW w:w="3672" w:type="dxa"/>
          </w:tcPr>
          <w:p w14:paraId="3221CC4A"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Dynamic, retention-driven, performance-linked</w:t>
            </w:r>
          </w:p>
        </w:tc>
      </w:tr>
      <w:tr w:rsidR="004A49C6" w14:paraId="4AAAE7A7"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4130D38" w14:textId="77777777" w:rsidR="004A49C6" w:rsidRDefault="00000000">
            <w:pPr>
              <w:spacing w:after="40" w:line="240" w:lineRule="auto"/>
            </w:pPr>
            <w:r>
              <w:rPr>
                <w:sz w:val="21"/>
              </w:rPr>
              <w:t>Signature element</w:t>
            </w:r>
          </w:p>
        </w:tc>
        <w:tc>
          <w:tcPr>
            <w:tcW w:w="3672" w:type="dxa"/>
          </w:tcPr>
          <w:p w14:paraId="69EEDA7C"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Rising median pay; stable industrial package</w:t>
            </w:r>
          </w:p>
        </w:tc>
        <w:tc>
          <w:tcPr>
            <w:tcW w:w="3672" w:type="dxa"/>
          </w:tcPr>
          <w:p w14:paraId="0B40A948"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Quarterly merit increases; Golden Brick long-service awards</w:t>
            </w:r>
          </w:p>
        </w:tc>
      </w:tr>
      <w:tr w:rsidR="004A49C6" w14:paraId="685EE0AD"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985C9DC" w14:textId="77777777" w:rsidR="004A49C6" w:rsidRDefault="00000000">
            <w:pPr>
              <w:spacing w:after="40" w:line="240" w:lineRule="auto"/>
            </w:pPr>
            <w:r>
              <w:rPr>
                <w:sz w:val="21"/>
              </w:rPr>
              <w:t>Benefits framing</w:t>
            </w:r>
          </w:p>
        </w:tc>
        <w:tc>
          <w:tcPr>
            <w:tcW w:w="3672" w:type="dxa"/>
          </w:tcPr>
          <w:p w14:paraId="3C9DCEBE"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Facilities and security of a stable employer</w:t>
            </w:r>
          </w:p>
        </w:tc>
        <w:tc>
          <w:tcPr>
            <w:tcW w:w="3672" w:type="dxa"/>
          </w:tcPr>
          <w:p w14:paraId="0D11365A"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‘Infrastructure for performance’ – EAP, financial wellness</w:t>
            </w:r>
          </w:p>
        </w:tc>
      </w:tr>
      <w:tr w:rsidR="004A49C6" w14:paraId="5B5E20C3"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ADE3FB7" w14:textId="77777777" w:rsidR="004A49C6" w:rsidRDefault="00000000">
            <w:pPr>
              <w:spacing w:after="40" w:line="240" w:lineRule="auto"/>
            </w:pPr>
            <w:r>
              <w:rPr>
                <w:sz w:val="21"/>
              </w:rPr>
              <w:t>Industry driver</w:t>
            </w:r>
          </w:p>
        </w:tc>
        <w:tc>
          <w:tcPr>
            <w:tcW w:w="3672" w:type="dxa"/>
          </w:tcPr>
          <w:p w14:paraId="5B3F146A"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Listed-company norms; long, stable careers</w:t>
            </w:r>
          </w:p>
        </w:tc>
        <w:tc>
          <w:tcPr>
            <w:tcW w:w="3672" w:type="dxa"/>
          </w:tcPr>
          <w:p w14:paraId="1DFF048C"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Countering high sector attrition; motivating Gen Z/millennials</w:t>
            </w:r>
          </w:p>
        </w:tc>
      </w:tr>
    </w:tbl>
    <w:p w14:paraId="451BB1A1" w14:textId="77777777" w:rsidR="004A49C6" w:rsidRDefault="004A49C6">
      <w:pPr>
        <w:spacing w:after="40"/>
      </w:pPr>
    </w:p>
    <w:p w14:paraId="527A50B1" w14:textId="77777777" w:rsidR="004A49C6" w:rsidRDefault="00000000">
      <w:pPr>
        <w:keepNext/>
        <w:spacing w:before="200" w:after="80"/>
      </w:pPr>
      <w:r>
        <w:rPr>
          <w:b/>
          <w:color w:val="2E5496"/>
          <w:sz w:val="26"/>
        </w:rPr>
        <w:t>4.6 Employee Engagement</w:t>
      </w:r>
    </w:p>
    <w:p w14:paraId="39768306" w14:textId="77777777" w:rsidR="004A49C6" w:rsidRDefault="00000000">
      <w:pPr>
        <w:keepNext/>
        <w:spacing w:before="120" w:after="40"/>
      </w:pPr>
      <w:r>
        <w:rPr>
          <w:b/>
          <w:i/>
          <w:color w:val="333333"/>
        </w:rPr>
        <w:t>What each organisation does</w:t>
      </w:r>
    </w:p>
    <w:p w14:paraId="128D462A" w14:textId="77777777" w:rsidR="004A49C6" w:rsidRDefault="00000000">
      <w:pPr>
        <w:jc w:val="both"/>
      </w:pPr>
      <w:r>
        <w:t>Hyundai’s engagement rests on a combination of a strong, purpose-led culture, mentoring relationships that begin at induction, and employee-led knowledge platforms such as its ‘Knowledge Labs’ and ‘Knoxhange’ forums, which give staff a voice in learning and improvement. Management repeatedly cites low attrition as evidence of engagement, and low voluntary turnover in a competitive engineering labour market is indeed a meaningful outcome measure. Engagement at Hyundai is therefore expressed less through headline scores and more through tenure, participation and a sense of shared mission.</w:t>
      </w:r>
    </w:p>
    <w:p w14:paraId="50C96996" w14:textId="77777777" w:rsidR="004A49C6" w:rsidRDefault="00000000">
      <w:pPr>
        <w:jc w:val="both"/>
      </w:pPr>
      <w:r>
        <w:t>Omega measures engagement explicitly and prominently, reporting an engagement score of around ninety-two per cent and an employee net promoter score of about +40 – unusually strong figures for its industry. These are backed by a dense calendar of on-floor engagement activities, celebrations, sports leagues, recognition events and awards, together with leadership ‘connects’ and sentiment-listening mechanisms. In an industry where disengagement quickly becomes attrition, Omega treats engagement as a business-critical metric to be actively managed, not merely surveyed once a year.</w:t>
      </w:r>
    </w:p>
    <w:p w14:paraId="59E47F66" w14:textId="77777777" w:rsidR="004A49C6" w:rsidRDefault="00000000">
      <w:pPr>
        <w:keepNext/>
        <w:spacing w:before="120" w:after="40"/>
      </w:pPr>
      <w:r>
        <w:rPr>
          <w:b/>
          <w:i/>
          <w:color w:val="333333"/>
        </w:rPr>
        <w:t>Comparison and the influence of industry</w:t>
      </w:r>
    </w:p>
    <w:p w14:paraId="2DF85914" w14:textId="77777777" w:rsidR="004A49C6" w:rsidRDefault="00000000">
      <w:pPr>
        <w:jc w:val="both"/>
      </w:pPr>
      <w:r>
        <w:t xml:space="preserve">The philosophies are revealing. Hyundai infers engagement from behaviour – people stay, participate and contribute – whereas Omega quantifies it directly and manages it as a leading </w:t>
      </w:r>
      <w:r>
        <w:lastRenderedPageBreak/>
        <w:t>indicator of retention. This mirrors the industries: in manufacturing, engagement shows up over years in loyalty and quality; in high-volume services, it must be monitored continuously because the cost of disengagement (rapid churn) is immediate and severe. Omega’s frequent, visible activities also suit a younger, service-oriented workforce that responds to recognition, while Hyundai’s quieter, mission-and-mastery model suits a workforce built around technical craft.</w:t>
      </w:r>
    </w:p>
    <w:p w14:paraId="2B7E12C2" w14:textId="77777777" w:rsidR="004A49C6" w:rsidRDefault="00000000">
      <w:pPr>
        <w:keepNext/>
        <w:spacing w:before="120" w:after="40"/>
      </w:pPr>
      <w:r>
        <w:rPr>
          <w:b/>
          <w:i/>
          <w:color w:val="333333"/>
        </w:rPr>
        <w:t>Evaluation and transferable practice</w:t>
      </w:r>
    </w:p>
    <w:p w14:paraId="1EA262B0" w14:textId="77777777" w:rsidR="004A49C6" w:rsidRDefault="00000000">
      <w:pPr>
        <w:jc w:val="both"/>
      </w:pPr>
      <w:r>
        <w:t>Omega’s explicit measurement and high-frequency engagement machinery is a model of good practice, provided the scores are used honestly to drive action rather than as marketing. Hyundai’s outcome-based confidence is well founded, but the company would benefit from publishing and acting on formal engagement metrics so that early warning signs are not missed. Conversely, Omega could enrich its activity-rich model with more of Hyundai’s deeper, mastery-based sources of engagement so that involvement is not only celebratory but also intellectually meaningful.</w:t>
      </w:r>
    </w:p>
    <w:tbl>
      <w:tblPr>
        <w:tblStyle w:val="LightGrid-Accent1"/>
        <w:tblW w:w="0" w:type="auto"/>
        <w:tblLook w:val="04A0" w:firstRow="1" w:lastRow="0" w:firstColumn="1" w:lastColumn="0" w:noHBand="0" w:noVBand="1"/>
      </w:tblPr>
      <w:tblGrid>
        <w:gridCol w:w="2267"/>
        <w:gridCol w:w="3582"/>
        <w:gridCol w:w="3583"/>
      </w:tblGrid>
      <w:tr w:rsidR="004A49C6" w14:paraId="42951326"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56B0B4FB" w14:textId="77777777" w:rsidR="004A49C6" w:rsidRDefault="00000000">
            <w:pPr>
              <w:jc w:val="center"/>
            </w:pPr>
            <w:r>
              <w:rPr>
                <w:color w:val="FFFFFF"/>
                <w:sz w:val="22"/>
              </w:rPr>
              <w:t>Dimension</w:t>
            </w:r>
          </w:p>
        </w:tc>
        <w:tc>
          <w:tcPr>
            <w:tcW w:w="3672" w:type="dxa"/>
            <w:shd w:val="clear" w:color="auto" w:fill="2E5496"/>
          </w:tcPr>
          <w:p w14:paraId="541BE01E"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4C71BE0F"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48243635"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C0C8081" w14:textId="77777777" w:rsidR="004A49C6" w:rsidRDefault="00000000">
            <w:pPr>
              <w:spacing w:after="40" w:line="240" w:lineRule="auto"/>
            </w:pPr>
            <w:r>
              <w:rPr>
                <w:sz w:val="21"/>
              </w:rPr>
              <w:t>How engagement is known</w:t>
            </w:r>
          </w:p>
        </w:tc>
        <w:tc>
          <w:tcPr>
            <w:tcW w:w="3672" w:type="dxa"/>
          </w:tcPr>
          <w:p w14:paraId="36AABDB0"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Inferred from low attrition and participation</w:t>
            </w:r>
          </w:p>
        </w:tc>
        <w:tc>
          <w:tcPr>
            <w:tcW w:w="3672" w:type="dxa"/>
          </w:tcPr>
          <w:p w14:paraId="4F3BE746"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Explicitly measured (≈92% engagement; eNPS ≈ +40)</w:t>
            </w:r>
          </w:p>
        </w:tc>
      </w:tr>
      <w:tr w:rsidR="004A49C6" w14:paraId="5490B99F"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0405790" w14:textId="77777777" w:rsidR="004A49C6" w:rsidRDefault="00000000">
            <w:pPr>
              <w:spacing w:after="40" w:line="240" w:lineRule="auto"/>
            </w:pPr>
            <w:r>
              <w:rPr>
                <w:sz w:val="21"/>
              </w:rPr>
              <w:t>Signature mechanisms</w:t>
            </w:r>
          </w:p>
        </w:tc>
        <w:tc>
          <w:tcPr>
            <w:tcW w:w="3672" w:type="dxa"/>
          </w:tcPr>
          <w:p w14:paraId="2F6BEDA7"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Knowledge Labs / Knoxhange forums; mentoring</w:t>
            </w:r>
          </w:p>
        </w:tc>
        <w:tc>
          <w:tcPr>
            <w:tcW w:w="3672" w:type="dxa"/>
          </w:tcPr>
          <w:p w14:paraId="5A88FE4D"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On-floor activities, awards, leadership connects</w:t>
            </w:r>
          </w:p>
        </w:tc>
      </w:tr>
      <w:tr w:rsidR="004A49C6" w14:paraId="7753245E"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F2DE6F2" w14:textId="77777777" w:rsidR="004A49C6" w:rsidRDefault="00000000">
            <w:pPr>
              <w:spacing w:after="40" w:line="240" w:lineRule="auto"/>
            </w:pPr>
            <w:r>
              <w:rPr>
                <w:sz w:val="21"/>
              </w:rPr>
              <w:t>Listening approach</w:t>
            </w:r>
          </w:p>
        </w:tc>
        <w:tc>
          <w:tcPr>
            <w:tcW w:w="3672" w:type="dxa"/>
          </w:tcPr>
          <w:p w14:paraId="2F01B81E"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Employee voice via forums and mentoring</w:t>
            </w:r>
          </w:p>
        </w:tc>
        <w:tc>
          <w:tcPr>
            <w:tcW w:w="3672" w:type="dxa"/>
          </w:tcPr>
          <w:p w14:paraId="70012772"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Continuous sentiment listening and pulse checks</w:t>
            </w:r>
          </w:p>
        </w:tc>
      </w:tr>
      <w:tr w:rsidR="004A49C6" w14:paraId="6F0D81DF"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BA70FFA" w14:textId="77777777" w:rsidR="004A49C6" w:rsidRDefault="00000000">
            <w:pPr>
              <w:spacing w:after="40" w:line="240" w:lineRule="auto"/>
            </w:pPr>
            <w:r>
              <w:rPr>
                <w:sz w:val="21"/>
              </w:rPr>
              <w:t>Industry driver</w:t>
            </w:r>
          </w:p>
        </w:tc>
        <w:tc>
          <w:tcPr>
            <w:tcW w:w="3672" w:type="dxa"/>
          </w:tcPr>
          <w:p w14:paraId="631CBDF7"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Engagement realised as long-term loyalty</w:t>
            </w:r>
          </w:p>
        </w:tc>
        <w:tc>
          <w:tcPr>
            <w:tcW w:w="3672" w:type="dxa"/>
          </w:tcPr>
          <w:p w14:paraId="60B085E5"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Engagement managed as a leading retention indicator</w:t>
            </w:r>
          </w:p>
        </w:tc>
      </w:tr>
    </w:tbl>
    <w:p w14:paraId="743C467D" w14:textId="77777777" w:rsidR="004A49C6" w:rsidRDefault="004A49C6">
      <w:pPr>
        <w:spacing w:after="40"/>
      </w:pPr>
    </w:p>
    <w:p w14:paraId="47691AA0" w14:textId="77777777" w:rsidR="004A49C6" w:rsidRDefault="00000000">
      <w:pPr>
        <w:keepNext/>
        <w:spacing w:before="200" w:after="80"/>
      </w:pPr>
      <w:r>
        <w:rPr>
          <w:b/>
          <w:color w:val="2E5496"/>
          <w:sz w:val="26"/>
        </w:rPr>
        <w:t>4.7 Diversity, Equity and Inclusion</w:t>
      </w:r>
    </w:p>
    <w:p w14:paraId="262F57A6" w14:textId="77777777" w:rsidR="004A49C6" w:rsidRDefault="00000000">
      <w:pPr>
        <w:keepNext/>
        <w:spacing w:before="120" w:after="40"/>
      </w:pPr>
      <w:r>
        <w:rPr>
          <w:b/>
          <w:i/>
          <w:color w:val="333333"/>
        </w:rPr>
        <w:t>What each organisation does</w:t>
      </w:r>
    </w:p>
    <w:p w14:paraId="014247E3" w14:textId="77777777" w:rsidR="004A49C6" w:rsidRDefault="00000000">
      <w:pPr>
        <w:jc w:val="both"/>
      </w:pPr>
      <w:r>
        <w:t xml:space="preserve">Hyundai treats DEI as part of business strategy rather than as a standalone HR programme. It has set a vision for greater women’s participation, reports hiring more than forty per cent women at campus level, and runs a dedicated women’s leadership programme, TrailBlazHER, co-created with XLRI, to build a pipeline of female leaders. Inclusion is extended beyond gender through Samarth, a CSR-led initiative that makes the company’s products, services, offices and dealerships more accessible to persons with disabilities. That said, the company’s </w:t>
      </w:r>
      <w:r>
        <w:lastRenderedPageBreak/>
        <w:t>overall gender-diversity ratio remains modest – in the region of seven per cent – which is characteristic of, though not an excuse for, a shop-floor-heavy manufacturing workforce.</w:t>
      </w:r>
    </w:p>
    <w:p w14:paraId="66CC7500" w14:textId="77777777" w:rsidR="004A49C6" w:rsidRDefault="00000000">
      <w:pPr>
        <w:jc w:val="both"/>
      </w:pPr>
      <w:r>
        <w:t>Omega’s DEI position is strikingly strong on gender: it reports that women make up around half of its global workforce. It supports this with employee resource groups, targeted recruitment of people with disabilities, LGBTQIA+ professionals and women returning from career breaks, and inclusion-oriented policies such as gender-neutral anti-harassment frameworks, all-gender restrooms and inclusive health benefits. For Omega, DEI is closely tied to its retention strategy – an inclusive environment is presented as a reason people choose to stay.</w:t>
      </w:r>
    </w:p>
    <w:p w14:paraId="4CB18147" w14:textId="77777777" w:rsidR="004A49C6" w:rsidRDefault="00000000">
      <w:pPr>
        <w:keepNext/>
        <w:spacing w:before="120" w:after="40"/>
      </w:pPr>
      <w:r>
        <w:rPr>
          <w:b/>
          <w:i/>
          <w:color w:val="333333"/>
        </w:rPr>
        <w:t>Comparison and the influence of industry</w:t>
      </w:r>
    </w:p>
    <w:p w14:paraId="50B964E5" w14:textId="77777777" w:rsidR="004A49C6" w:rsidRDefault="00000000">
      <w:pPr>
        <w:jc w:val="both"/>
      </w:pPr>
      <w:r>
        <w:t>The gap in gender representation – roughly half the workforce at Omega versus a single-digit percentage at Hyundai – is the starkest single contrast in this entire audit, and it is largely structural. Office-based healthcare-services work is far more accessible to a gender-balanced workforce than shift-based manufacturing has traditionally been, particularly in the Indian context. Both companies are pushing in the same progressive direction – formal women’s-leadership development, disability inclusion, and inclusive policy – but they start from very different baselines dictated by the nature of the work.</w:t>
      </w:r>
    </w:p>
    <w:p w14:paraId="736098CE" w14:textId="77777777" w:rsidR="004A49C6" w:rsidRDefault="00000000">
      <w:pPr>
        <w:keepNext/>
        <w:spacing w:before="120" w:after="40"/>
      </w:pPr>
      <w:r>
        <w:rPr>
          <w:b/>
          <w:i/>
          <w:color w:val="333333"/>
        </w:rPr>
        <w:t>Evaluation and transferable practice</w:t>
      </w:r>
    </w:p>
    <w:p w14:paraId="5BD2FB17" w14:textId="77777777" w:rsidR="004A49C6" w:rsidRDefault="00000000">
      <w:pPr>
        <w:jc w:val="both"/>
      </w:pPr>
      <w:r>
        <w:t xml:space="preserve">Omega’s near-parity workforce and its breadth of inclusion policies represent leading practice, and its explicit link between inclusion and belonging is well judged; the ongoing task is to ensure that balance at entry level extends fully into senior leadership. Hyundai’s programmes are impressive in design – TrailBlazHER and Samarth are genuinely strong – but the low overall ratio shows how much structural work remains; the company’s flexible-policy and pipeline efforts are the right levers. Hyundai can learn from Omega’s systematic sourcing of under-represented groups, while Omega can learn from the rigour of Hyundai’s institution-backed women’s-leadership </w:t>
      </w:r>
      <w:proofErr w:type="spellStart"/>
      <w:r>
        <w:t>programme</w:t>
      </w:r>
      <w:proofErr w:type="spellEnd"/>
      <w:r>
        <w:t>.</w:t>
      </w:r>
    </w:p>
    <w:p w14:paraId="64F24F15" w14:textId="77777777" w:rsidR="00257EAF" w:rsidRDefault="00257EAF">
      <w:pPr>
        <w:jc w:val="both"/>
      </w:pPr>
    </w:p>
    <w:p w14:paraId="6B0D2CB7" w14:textId="77777777" w:rsidR="00257EAF" w:rsidRDefault="00257EAF">
      <w:pPr>
        <w:jc w:val="both"/>
      </w:pPr>
    </w:p>
    <w:p w14:paraId="11A98ACF" w14:textId="77777777" w:rsidR="00257EAF" w:rsidRDefault="00257EAF">
      <w:pPr>
        <w:jc w:val="both"/>
      </w:pPr>
    </w:p>
    <w:tbl>
      <w:tblPr>
        <w:tblStyle w:val="LightGrid-Accent1"/>
        <w:tblW w:w="0" w:type="auto"/>
        <w:tblLook w:val="04A0" w:firstRow="1" w:lastRow="0" w:firstColumn="1" w:lastColumn="0" w:noHBand="0" w:noVBand="1"/>
      </w:tblPr>
      <w:tblGrid>
        <w:gridCol w:w="2273"/>
        <w:gridCol w:w="3582"/>
        <w:gridCol w:w="3577"/>
      </w:tblGrid>
      <w:tr w:rsidR="004A49C6" w14:paraId="3A6DF7B5"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47F77CB1" w14:textId="77777777" w:rsidR="004A49C6" w:rsidRDefault="00000000">
            <w:pPr>
              <w:jc w:val="center"/>
            </w:pPr>
            <w:r>
              <w:rPr>
                <w:color w:val="FFFFFF"/>
                <w:sz w:val="22"/>
              </w:rPr>
              <w:lastRenderedPageBreak/>
              <w:t>Dimension</w:t>
            </w:r>
          </w:p>
        </w:tc>
        <w:tc>
          <w:tcPr>
            <w:tcW w:w="3672" w:type="dxa"/>
            <w:shd w:val="clear" w:color="auto" w:fill="2E5496"/>
          </w:tcPr>
          <w:p w14:paraId="7C777C3F"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0EE676F3"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1F1C1057"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7C4B3C5" w14:textId="77777777" w:rsidR="004A49C6" w:rsidRDefault="00000000">
            <w:pPr>
              <w:spacing w:after="40" w:line="240" w:lineRule="auto"/>
            </w:pPr>
            <w:r>
              <w:rPr>
                <w:sz w:val="21"/>
              </w:rPr>
              <w:t>Gender representation</w:t>
            </w:r>
          </w:p>
        </w:tc>
        <w:tc>
          <w:tcPr>
            <w:tcW w:w="3672" w:type="dxa"/>
          </w:tcPr>
          <w:p w14:paraId="40315E50"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Modest overall (~7%); 40%+ women at campus intake</w:t>
            </w:r>
          </w:p>
        </w:tc>
        <w:tc>
          <w:tcPr>
            <w:tcW w:w="3672" w:type="dxa"/>
          </w:tcPr>
          <w:p w14:paraId="40FC036C"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Around 50% women in the global workforce</w:t>
            </w:r>
          </w:p>
        </w:tc>
      </w:tr>
      <w:tr w:rsidR="004A49C6" w14:paraId="3B2177B9"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2ABA5BC" w14:textId="77777777" w:rsidR="004A49C6" w:rsidRDefault="00000000">
            <w:pPr>
              <w:spacing w:after="40" w:line="240" w:lineRule="auto"/>
            </w:pPr>
            <w:r>
              <w:rPr>
                <w:sz w:val="21"/>
              </w:rPr>
              <w:t>Flagship initiative</w:t>
            </w:r>
          </w:p>
        </w:tc>
        <w:tc>
          <w:tcPr>
            <w:tcW w:w="3672" w:type="dxa"/>
          </w:tcPr>
          <w:p w14:paraId="5E01E5C0"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TrailBlazHER women’s leadership (with XLRI)</w:t>
            </w:r>
          </w:p>
        </w:tc>
        <w:tc>
          <w:tcPr>
            <w:tcW w:w="3672" w:type="dxa"/>
          </w:tcPr>
          <w:p w14:paraId="09D7E965"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ERGs; hiring of PwD, LGBTQIA+, women returners</w:t>
            </w:r>
          </w:p>
        </w:tc>
      </w:tr>
      <w:tr w:rsidR="004A49C6" w14:paraId="313176D5"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DFAB83F" w14:textId="77777777" w:rsidR="004A49C6" w:rsidRDefault="00000000">
            <w:pPr>
              <w:spacing w:after="40" w:line="240" w:lineRule="auto"/>
            </w:pPr>
            <w:r>
              <w:rPr>
                <w:sz w:val="21"/>
              </w:rPr>
              <w:t>Disability inclusion</w:t>
            </w:r>
          </w:p>
        </w:tc>
        <w:tc>
          <w:tcPr>
            <w:tcW w:w="3672" w:type="dxa"/>
          </w:tcPr>
          <w:p w14:paraId="667AF9AA"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Samarth CSR – accessible products and premises</w:t>
            </w:r>
          </w:p>
        </w:tc>
        <w:tc>
          <w:tcPr>
            <w:tcW w:w="3672" w:type="dxa"/>
          </w:tcPr>
          <w:p w14:paraId="16C8D21E"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Targeted recruitment and inclusive facilities</w:t>
            </w:r>
          </w:p>
        </w:tc>
      </w:tr>
      <w:tr w:rsidR="004A49C6" w14:paraId="044737C5"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A88A1E" w14:textId="77777777" w:rsidR="004A49C6" w:rsidRDefault="00000000">
            <w:pPr>
              <w:spacing w:after="40" w:line="240" w:lineRule="auto"/>
            </w:pPr>
            <w:r>
              <w:rPr>
                <w:sz w:val="21"/>
              </w:rPr>
              <w:t>Industry driver</w:t>
            </w:r>
          </w:p>
        </w:tc>
        <w:tc>
          <w:tcPr>
            <w:tcW w:w="3672" w:type="dxa"/>
          </w:tcPr>
          <w:p w14:paraId="49C77857"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Shift-based manufacturing limits historic gender mix</w:t>
            </w:r>
          </w:p>
        </w:tc>
        <w:tc>
          <w:tcPr>
            <w:tcW w:w="3672" w:type="dxa"/>
          </w:tcPr>
          <w:p w14:paraId="04607A79"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Office-based services enable near gender parity</w:t>
            </w:r>
          </w:p>
        </w:tc>
      </w:tr>
    </w:tbl>
    <w:p w14:paraId="3B3342CE" w14:textId="77777777" w:rsidR="004A49C6" w:rsidRDefault="004A49C6">
      <w:pPr>
        <w:spacing w:after="40"/>
      </w:pPr>
    </w:p>
    <w:p w14:paraId="3896A231" w14:textId="77777777" w:rsidR="004A49C6" w:rsidRDefault="00000000">
      <w:pPr>
        <w:keepNext/>
        <w:spacing w:before="200" w:after="80"/>
      </w:pPr>
      <w:r>
        <w:rPr>
          <w:b/>
          <w:color w:val="2E5496"/>
          <w:sz w:val="26"/>
        </w:rPr>
        <w:t>4.8 Career Development</w:t>
      </w:r>
    </w:p>
    <w:p w14:paraId="05D904FA" w14:textId="77777777" w:rsidR="004A49C6" w:rsidRDefault="00000000">
      <w:pPr>
        <w:keepNext/>
        <w:spacing w:before="120" w:after="40"/>
      </w:pPr>
      <w:r>
        <w:rPr>
          <w:b/>
          <w:i/>
          <w:color w:val="333333"/>
        </w:rPr>
        <w:t>What each organisation does</w:t>
      </w:r>
    </w:p>
    <w:p w14:paraId="71A08FC2" w14:textId="77777777" w:rsidR="004A49C6" w:rsidRDefault="00000000">
      <w:pPr>
        <w:jc w:val="both"/>
      </w:pPr>
      <w:r>
        <w:t>Hyundai develops careers through structured programmes layered on top of its role-based framework: the Young Talent Program for campus entrants, a Core Talent Program that identifies and nurtures high-potential employees (who may even choose their own mentors), and leadership-development activity that culminates in its academies. Progression is closely tied to capability built through the 3Es and validated through assessment centres, giving employees a visible, merit-based pathway upward and, increasingly, across roles.</w:t>
      </w:r>
    </w:p>
    <w:p w14:paraId="37B7F45F" w14:textId="77777777" w:rsidR="004A49C6" w:rsidRDefault="00000000">
      <w:pPr>
        <w:jc w:val="both"/>
      </w:pPr>
      <w:r>
        <w:t>Omega’s signature contribution to this domain is the ‘Omega Career Lattice’, which deliberately replaces the traditional promotion ladder with a structure that supports lateral and diagonal moves across operations, quality, training and analytics. The idea, in the company’s own framing, is that people should be able to “grow with the business, not just within it.” Real internal-mobility stories – coders who progressed step by step into regional management – are used both to prove the model works and to reinforce the employer brand.</w:t>
      </w:r>
    </w:p>
    <w:p w14:paraId="2726B3C2" w14:textId="77777777" w:rsidR="004A49C6" w:rsidRDefault="00000000">
      <w:pPr>
        <w:keepNext/>
        <w:spacing w:before="120" w:after="40"/>
      </w:pPr>
      <w:r>
        <w:rPr>
          <w:b/>
          <w:i/>
          <w:color w:val="333333"/>
        </w:rPr>
        <w:t>Comparison and the influence of industry</w:t>
      </w:r>
    </w:p>
    <w:p w14:paraId="12CAEBC0" w14:textId="77777777" w:rsidR="004A49C6" w:rsidRDefault="00000000">
      <w:pPr>
        <w:jc w:val="both"/>
      </w:pPr>
      <w:r>
        <w:t>Both organisations reject the idea that careers are only about vertical promotion, but they express this differently. Hyundai’s pathways are relatively structured and capability-gated, which fits an environment where roles are specialised and technical mastery accumulates over time. Omega’s lattice is more fluid, which fits a services business with adjacent skill domains between which employees can move relatively easily, and where offering breadth of experience is itself a retention tool in an industry where people might otherwise leave to find variety elsewhere.</w:t>
      </w:r>
    </w:p>
    <w:p w14:paraId="0DC2E92A" w14:textId="77777777" w:rsidR="004A49C6" w:rsidRDefault="00000000">
      <w:pPr>
        <w:keepNext/>
        <w:spacing w:before="120" w:after="40"/>
      </w:pPr>
      <w:r>
        <w:rPr>
          <w:b/>
          <w:i/>
          <w:color w:val="333333"/>
        </w:rPr>
        <w:lastRenderedPageBreak/>
        <w:t>Evaluation and transferable practice</w:t>
      </w:r>
    </w:p>
    <w:p w14:paraId="09779D85" w14:textId="77777777" w:rsidR="004A49C6" w:rsidRDefault="00000000">
      <w:pPr>
        <w:jc w:val="both"/>
      </w:pPr>
      <w:r>
        <w:t>Omega’s Career Lattice is one of the most quietly innovative practices in this study; it reframes retention as opportunity and is well suited to a flat, fast-moving service business, though it requires disciplined skills mapping to prevent moves from becoming ad hoc. Hyundai’s structured pathways provide clarity and rigour but could feel slower to ambitious employees, so the company’s move toward role-based lateral mobility is timely. The obvious cross-learning is that Hyundai could formalise a lattice-style mobility map, while Omega could add more of Hyundai’s objective assessment to ensure lateral moves are developmental rather than merely convenient.</w:t>
      </w:r>
    </w:p>
    <w:tbl>
      <w:tblPr>
        <w:tblStyle w:val="LightGrid-Accent1"/>
        <w:tblW w:w="0" w:type="auto"/>
        <w:tblLook w:val="04A0" w:firstRow="1" w:lastRow="0" w:firstColumn="1" w:lastColumn="0" w:noHBand="0" w:noVBand="1"/>
      </w:tblPr>
      <w:tblGrid>
        <w:gridCol w:w="2271"/>
        <w:gridCol w:w="3580"/>
        <w:gridCol w:w="3581"/>
      </w:tblGrid>
      <w:tr w:rsidR="004A49C6" w14:paraId="4D3BCB8E"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4CE29FB4" w14:textId="77777777" w:rsidR="004A49C6" w:rsidRDefault="00000000">
            <w:pPr>
              <w:jc w:val="center"/>
            </w:pPr>
            <w:r>
              <w:rPr>
                <w:color w:val="FFFFFF"/>
                <w:sz w:val="22"/>
              </w:rPr>
              <w:t>Dimension</w:t>
            </w:r>
          </w:p>
        </w:tc>
        <w:tc>
          <w:tcPr>
            <w:tcW w:w="3672" w:type="dxa"/>
            <w:shd w:val="clear" w:color="auto" w:fill="2E5496"/>
          </w:tcPr>
          <w:p w14:paraId="2D15928F"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2FA44D72"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1EACDC71"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9FCE8D2" w14:textId="77777777" w:rsidR="004A49C6" w:rsidRDefault="00000000">
            <w:pPr>
              <w:spacing w:after="40" w:line="240" w:lineRule="auto"/>
            </w:pPr>
            <w:r>
              <w:rPr>
                <w:sz w:val="21"/>
              </w:rPr>
              <w:t>Model of progression</w:t>
            </w:r>
          </w:p>
        </w:tc>
        <w:tc>
          <w:tcPr>
            <w:tcW w:w="3672" w:type="dxa"/>
          </w:tcPr>
          <w:p w14:paraId="467C78C9"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Structured, capability-gated pathways</w:t>
            </w:r>
          </w:p>
        </w:tc>
        <w:tc>
          <w:tcPr>
            <w:tcW w:w="3672" w:type="dxa"/>
          </w:tcPr>
          <w:p w14:paraId="30328F36"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Career Lattice – lateral and diagonal mobility</w:t>
            </w:r>
          </w:p>
        </w:tc>
      </w:tr>
      <w:tr w:rsidR="004A49C6" w14:paraId="374BE0BC"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8919C03" w14:textId="77777777" w:rsidR="004A49C6" w:rsidRDefault="00000000">
            <w:pPr>
              <w:spacing w:after="40" w:line="240" w:lineRule="auto"/>
            </w:pPr>
            <w:r>
              <w:rPr>
                <w:sz w:val="21"/>
              </w:rPr>
              <w:t>Key programmes</w:t>
            </w:r>
          </w:p>
        </w:tc>
        <w:tc>
          <w:tcPr>
            <w:tcW w:w="3672" w:type="dxa"/>
          </w:tcPr>
          <w:p w14:paraId="351B0B70"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Young Talent &amp; Core Talent Programs; academies</w:t>
            </w:r>
          </w:p>
        </w:tc>
        <w:tc>
          <w:tcPr>
            <w:tcW w:w="3672" w:type="dxa"/>
          </w:tcPr>
          <w:p w14:paraId="69929430"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Cross-functional moves; internal-promotion culture</w:t>
            </w:r>
          </w:p>
        </w:tc>
      </w:tr>
      <w:tr w:rsidR="004A49C6" w14:paraId="0267DD62"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4F96A54" w14:textId="77777777" w:rsidR="004A49C6" w:rsidRDefault="00000000">
            <w:pPr>
              <w:spacing w:after="40" w:line="240" w:lineRule="auto"/>
            </w:pPr>
            <w:r>
              <w:rPr>
                <w:sz w:val="21"/>
              </w:rPr>
              <w:t>Basis for advancement</w:t>
            </w:r>
          </w:p>
        </w:tc>
        <w:tc>
          <w:tcPr>
            <w:tcW w:w="3672" w:type="dxa"/>
          </w:tcPr>
          <w:p w14:paraId="1F711726"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Capability via 3Es; assessment centres</w:t>
            </w:r>
          </w:p>
        </w:tc>
        <w:tc>
          <w:tcPr>
            <w:tcW w:w="3672" w:type="dxa"/>
          </w:tcPr>
          <w:p w14:paraId="5091BF61"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Interest, capability and business need</w:t>
            </w:r>
          </w:p>
        </w:tc>
      </w:tr>
      <w:tr w:rsidR="004A49C6" w14:paraId="15172D3C"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5A4B6B7" w14:textId="77777777" w:rsidR="004A49C6" w:rsidRDefault="00000000">
            <w:pPr>
              <w:spacing w:after="40" w:line="240" w:lineRule="auto"/>
            </w:pPr>
            <w:r>
              <w:rPr>
                <w:sz w:val="21"/>
              </w:rPr>
              <w:t>Industry driver</w:t>
            </w:r>
          </w:p>
        </w:tc>
        <w:tc>
          <w:tcPr>
            <w:tcW w:w="3672" w:type="dxa"/>
          </w:tcPr>
          <w:p w14:paraId="7B027A92"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Specialised, cumulative technical mastery</w:t>
            </w:r>
          </w:p>
        </w:tc>
        <w:tc>
          <w:tcPr>
            <w:tcW w:w="3672" w:type="dxa"/>
          </w:tcPr>
          <w:p w14:paraId="2925400E"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Adjacent service skills; breadth as a retention lever</w:t>
            </w:r>
          </w:p>
        </w:tc>
      </w:tr>
    </w:tbl>
    <w:p w14:paraId="352F0999" w14:textId="77777777" w:rsidR="004A49C6" w:rsidRDefault="004A49C6">
      <w:pPr>
        <w:spacing w:after="40"/>
      </w:pPr>
    </w:p>
    <w:p w14:paraId="68901243" w14:textId="77777777" w:rsidR="004A49C6" w:rsidRDefault="00000000">
      <w:pPr>
        <w:keepNext/>
        <w:spacing w:before="200" w:after="80"/>
      </w:pPr>
      <w:r>
        <w:rPr>
          <w:b/>
          <w:color w:val="2E5496"/>
          <w:sz w:val="26"/>
        </w:rPr>
        <w:t>4.9 HR Technology</w:t>
      </w:r>
    </w:p>
    <w:p w14:paraId="7A1992D1" w14:textId="77777777" w:rsidR="004A49C6" w:rsidRDefault="00000000">
      <w:pPr>
        <w:keepNext/>
        <w:spacing w:before="120" w:after="40"/>
      </w:pPr>
      <w:r>
        <w:rPr>
          <w:b/>
          <w:i/>
          <w:color w:val="333333"/>
        </w:rPr>
        <w:t>What each organisation does</w:t>
      </w:r>
    </w:p>
    <w:p w14:paraId="42224D25" w14:textId="77777777" w:rsidR="004A49C6" w:rsidRDefault="00000000">
      <w:pPr>
        <w:jc w:val="both"/>
      </w:pPr>
      <w:r>
        <w:t>Technology is central to Hyundai’s people agenda, though it enters HR from two directions. The first is the digitalisation of the workforce itself: as the products become electric and software-defined, HR is orchestrating large-scale reskilling and has put its entire senior-leadership group through a structured digital-transformation programme. The second is the use of digital learning platforms and on-demand content – with a minimum annual learning-hours expectation – to deliver capability at scale. In short, HR technology at Hyundai is heavily oriented toward learning and transformation.</w:t>
      </w:r>
    </w:p>
    <w:p w14:paraId="38F6499A" w14:textId="77777777" w:rsidR="004A49C6" w:rsidRDefault="00000000">
      <w:pPr>
        <w:jc w:val="both"/>
      </w:pPr>
      <w:r>
        <w:t xml:space="preserve">Omega applies technology more directly to the employee-experience and listening side of HR. It uses artificial-intelligence tools alongside regular leadership connections to monitor employee sentiment – described by its leadership as ‘emotional pulse checks’ rather than conventional once-a-year surveys – allowing it to detect and respond to disengagement early. </w:t>
      </w:r>
      <w:r>
        <w:lastRenderedPageBreak/>
        <w:t>This is consistent with a technology-and-services company that already uses automation and AI extensively in its core RCM delivery and naturally extends the same toolkit to managing its people.</w:t>
      </w:r>
    </w:p>
    <w:p w14:paraId="5B726585" w14:textId="77777777" w:rsidR="004A49C6" w:rsidRDefault="00000000">
      <w:pPr>
        <w:keepNext/>
        <w:spacing w:before="120" w:after="40"/>
      </w:pPr>
      <w:r>
        <w:rPr>
          <w:b/>
          <w:i/>
          <w:color w:val="333333"/>
        </w:rPr>
        <w:t>Comparison and the influence of industry</w:t>
      </w:r>
    </w:p>
    <w:p w14:paraId="4EAD9195" w14:textId="77777777" w:rsidR="004A49C6" w:rsidRDefault="00000000">
      <w:pPr>
        <w:jc w:val="both"/>
      </w:pPr>
      <w:r>
        <w:t>Both firms are clearly comfortable with technology, but they point it at different problems. Hyundai uses it primarily to build capability and drive the EV transition – technology as an instrument of strategic reskilling. Omega uses it primarily to sense and safeguard engagement in real time – technology as an instrument of retention. Once again the industry logic is visible: a manufacturer’s existential challenge is a technology shift in its product, so HR technology serves learning; a services provider’s existential challenge is keeping a large workforce engaged, so HR technology serves listening.</w:t>
      </w:r>
    </w:p>
    <w:p w14:paraId="73B6DB0A" w14:textId="77777777" w:rsidR="004A49C6" w:rsidRDefault="00000000">
      <w:pPr>
        <w:keepNext/>
        <w:spacing w:before="120" w:after="40"/>
      </w:pPr>
      <w:r>
        <w:rPr>
          <w:b/>
          <w:i/>
          <w:color w:val="333333"/>
        </w:rPr>
        <w:t>Evaluation and transferable practice</w:t>
      </w:r>
    </w:p>
    <w:p w14:paraId="48FE0DA3" w14:textId="77777777" w:rsidR="004A49C6" w:rsidRDefault="00000000">
      <w:pPr>
        <w:jc w:val="both"/>
      </w:pPr>
      <w:r>
        <w:t>Omega’s AI-enabled sentiment listening is genuinely forward-looking and gives it an early-warning system most manufacturers lack; the caution is to use such data ethically and transparently so employees experience it as care rather than surveillance. Hyundai’s learning-technology stack is powerful and well aligned to its strategy, but it could adopt more of Omega’s continuous-listening capability to complement its outcome-based read on engagement. Omega, meanwhile, could invest further in learning-technology partnerships of the kind Hyundai has built. Each is strong in exactly the area the other is lighter in.</w:t>
      </w:r>
    </w:p>
    <w:tbl>
      <w:tblPr>
        <w:tblStyle w:val="LightGrid-Accent1"/>
        <w:tblW w:w="0" w:type="auto"/>
        <w:tblLook w:val="04A0" w:firstRow="1" w:lastRow="0" w:firstColumn="1" w:lastColumn="0" w:noHBand="0" w:noVBand="1"/>
      </w:tblPr>
      <w:tblGrid>
        <w:gridCol w:w="2273"/>
        <w:gridCol w:w="3579"/>
        <w:gridCol w:w="3580"/>
      </w:tblGrid>
      <w:tr w:rsidR="004A49C6" w14:paraId="5EB55FB5"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555DFB8F" w14:textId="77777777" w:rsidR="004A49C6" w:rsidRDefault="00000000">
            <w:pPr>
              <w:jc w:val="center"/>
            </w:pPr>
            <w:r>
              <w:rPr>
                <w:color w:val="FFFFFF"/>
                <w:sz w:val="22"/>
              </w:rPr>
              <w:t>Dimension</w:t>
            </w:r>
          </w:p>
        </w:tc>
        <w:tc>
          <w:tcPr>
            <w:tcW w:w="3672" w:type="dxa"/>
            <w:shd w:val="clear" w:color="auto" w:fill="2E5496"/>
          </w:tcPr>
          <w:p w14:paraId="11887285"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3A9E1C6D"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0A03B8EA"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F2581FC" w14:textId="77777777" w:rsidR="004A49C6" w:rsidRDefault="00000000">
            <w:pPr>
              <w:spacing w:after="40" w:line="240" w:lineRule="auto"/>
            </w:pPr>
            <w:r>
              <w:rPr>
                <w:sz w:val="21"/>
              </w:rPr>
              <w:t>Primary use of HR tech</w:t>
            </w:r>
          </w:p>
        </w:tc>
        <w:tc>
          <w:tcPr>
            <w:tcW w:w="3672" w:type="dxa"/>
          </w:tcPr>
          <w:p w14:paraId="0CF89B95"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Digital learning and large-scale reskilling</w:t>
            </w:r>
          </w:p>
        </w:tc>
        <w:tc>
          <w:tcPr>
            <w:tcW w:w="3672" w:type="dxa"/>
          </w:tcPr>
          <w:p w14:paraId="3875607F"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AI-enabled sentiment listening and pulse checks</w:t>
            </w:r>
          </w:p>
        </w:tc>
      </w:tr>
      <w:tr w:rsidR="004A49C6" w14:paraId="5AAB7639"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BD99524" w14:textId="77777777" w:rsidR="004A49C6" w:rsidRDefault="00000000">
            <w:pPr>
              <w:spacing w:after="40" w:line="240" w:lineRule="auto"/>
            </w:pPr>
            <w:r>
              <w:rPr>
                <w:sz w:val="21"/>
              </w:rPr>
              <w:t>Strategic purpose</w:t>
            </w:r>
          </w:p>
        </w:tc>
        <w:tc>
          <w:tcPr>
            <w:tcW w:w="3672" w:type="dxa"/>
          </w:tcPr>
          <w:p w14:paraId="753B5F64"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Enable the EV / digital transformation</w:t>
            </w:r>
          </w:p>
        </w:tc>
        <w:tc>
          <w:tcPr>
            <w:tcW w:w="3672" w:type="dxa"/>
          </w:tcPr>
          <w:p w14:paraId="01C76CF4"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Detect and prevent disengagement early</w:t>
            </w:r>
          </w:p>
        </w:tc>
      </w:tr>
      <w:tr w:rsidR="004A49C6" w14:paraId="5D25E8FD"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EE361A4" w14:textId="77777777" w:rsidR="004A49C6" w:rsidRDefault="00000000">
            <w:pPr>
              <w:spacing w:after="40" w:line="240" w:lineRule="auto"/>
            </w:pPr>
            <w:r>
              <w:rPr>
                <w:sz w:val="21"/>
              </w:rPr>
              <w:t>Representative practice</w:t>
            </w:r>
          </w:p>
        </w:tc>
        <w:tc>
          <w:tcPr>
            <w:tcW w:w="3672" w:type="dxa"/>
          </w:tcPr>
          <w:p w14:paraId="7425C7DC"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Leadership digital-transformation programme</w:t>
            </w:r>
          </w:p>
        </w:tc>
        <w:tc>
          <w:tcPr>
            <w:tcW w:w="3672" w:type="dxa"/>
          </w:tcPr>
          <w:p w14:paraId="687149B7"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‘Emotional pulse checks’ via AI + leader connects</w:t>
            </w:r>
          </w:p>
        </w:tc>
      </w:tr>
      <w:tr w:rsidR="004A49C6" w14:paraId="650A70C3"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2682740" w14:textId="77777777" w:rsidR="004A49C6" w:rsidRDefault="00000000">
            <w:pPr>
              <w:spacing w:after="40" w:line="240" w:lineRule="auto"/>
            </w:pPr>
            <w:r>
              <w:rPr>
                <w:sz w:val="21"/>
              </w:rPr>
              <w:t>Industry driver</w:t>
            </w:r>
          </w:p>
        </w:tc>
        <w:tc>
          <w:tcPr>
            <w:tcW w:w="3672" w:type="dxa"/>
          </w:tcPr>
          <w:p w14:paraId="40B686F6"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Product technology shift demands reskilling</w:t>
            </w:r>
          </w:p>
        </w:tc>
        <w:tc>
          <w:tcPr>
            <w:tcW w:w="3672" w:type="dxa"/>
          </w:tcPr>
          <w:p w14:paraId="35645480"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Tech-services DNA; retention of large workforce</w:t>
            </w:r>
          </w:p>
        </w:tc>
      </w:tr>
    </w:tbl>
    <w:p w14:paraId="5C94E6DE" w14:textId="77777777" w:rsidR="004A49C6" w:rsidRDefault="004A49C6">
      <w:pPr>
        <w:spacing w:after="40"/>
      </w:pPr>
    </w:p>
    <w:p w14:paraId="5769C06B" w14:textId="77777777" w:rsidR="004A49C6" w:rsidRDefault="00000000">
      <w:pPr>
        <w:keepNext/>
        <w:spacing w:before="200" w:after="80"/>
      </w:pPr>
      <w:r>
        <w:rPr>
          <w:b/>
          <w:color w:val="2E5496"/>
          <w:sz w:val="26"/>
        </w:rPr>
        <w:lastRenderedPageBreak/>
        <w:t>4.10 Employee Well-being and Workplace Culture</w:t>
      </w:r>
    </w:p>
    <w:p w14:paraId="0F07A6AF" w14:textId="77777777" w:rsidR="004A49C6" w:rsidRDefault="00000000">
      <w:pPr>
        <w:keepNext/>
        <w:spacing w:before="120" w:after="40"/>
      </w:pPr>
      <w:r>
        <w:rPr>
          <w:b/>
          <w:i/>
          <w:color w:val="333333"/>
        </w:rPr>
        <w:t>What each organisation does</w:t>
      </w:r>
    </w:p>
    <w:p w14:paraId="33924AF0" w14:textId="77777777" w:rsidR="004A49C6" w:rsidRDefault="00000000">
      <w:pPr>
        <w:jc w:val="both"/>
      </w:pPr>
      <w:r>
        <w:t>Well-being at Hyundai is framed by its leadership as “not just a priority but a way of life”, and it is expressed through the safety-first discipline intrinsic to responsible manufacturing, structured facilities, and a culture built around its purpose and its role-based ways of working. Physical safety – for example, high-voltage safety training for employees working on electric vehicles – is an inseparable part of well-being in an industrial setting, and the company’s low attrition suggests a workplace culture that employees find stable and supportive.</w:t>
      </w:r>
    </w:p>
    <w:p w14:paraId="0E5197FB" w14:textId="77777777" w:rsidR="004A49C6" w:rsidRDefault="00000000">
      <w:pPr>
        <w:jc w:val="both"/>
      </w:pPr>
      <w:r>
        <w:t>Omega approaches well-being as, in its own words, ‘infrastructure for performance’. Its provisions include employee-assistance programmes, mental-health support, financial-wellness tools, a round-the-clock helpline, in-house medical support and a busy programme of on-floor wellness and engagement activities. Culturally, the Golden Brick long-service awards and the celebration of twenty-year veterans send a deliberate signal that people are valued for the long term – a powerful cultural statement in an industry known for churn.</w:t>
      </w:r>
    </w:p>
    <w:p w14:paraId="6B4033E6" w14:textId="77777777" w:rsidR="004A49C6" w:rsidRDefault="00000000">
      <w:pPr>
        <w:keepNext/>
        <w:spacing w:before="120" w:after="40"/>
      </w:pPr>
      <w:r>
        <w:rPr>
          <w:b/>
          <w:i/>
          <w:color w:val="333333"/>
        </w:rPr>
        <w:t>Comparison and the influence of industry</w:t>
      </w:r>
    </w:p>
    <w:p w14:paraId="1913F5D8" w14:textId="77777777" w:rsidR="004A49C6" w:rsidRDefault="00000000">
      <w:pPr>
        <w:jc w:val="both"/>
      </w:pPr>
      <w:r>
        <w:t>The two well-being agendas reflect their different risk profiles. In manufacturing, the first duty of care is physical safety, so well-being is anchored in safety systems, ergonomics and stability. In round-the-clock knowledge services, often aligned to overseas time zones, the pressing risks are stress, fatigue and burnout, so well-being centres on mental health, employee assistance and continuous support. Both are legitimate, industry-appropriate expressions of the same underlying commitment to employee welfare; neither would be sufficient if simply copied into the other’s context.</w:t>
      </w:r>
    </w:p>
    <w:p w14:paraId="2DCB198A" w14:textId="77777777" w:rsidR="004A49C6" w:rsidRDefault="00000000">
      <w:pPr>
        <w:keepNext/>
        <w:spacing w:before="120" w:after="40"/>
      </w:pPr>
      <w:r>
        <w:rPr>
          <w:b/>
          <w:i/>
          <w:color w:val="333333"/>
        </w:rPr>
        <w:t>Evaluation and transferable practice</w:t>
      </w:r>
    </w:p>
    <w:p w14:paraId="639F9434" w14:textId="77777777" w:rsidR="004A49C6" w:rsidRDefault="00000000">
      <w:pPr>
        <w:jc w:val="both"/>
      </w:pPr>
      <w:r>
        <w:t>Hyundai’s safety-embedded, stability-oriented culture is a real strength and its low attrition is the proof; the opportunity is to broaden well-being explicitly into mental and emotional health, as Omega has done. Omega’s comprehensive well-being infrastructure and long-service culture are exemplary responses to a demanding service environment, though such programmes must be genuinely used, not merely offered, to change outcomes. The mutual learning is clear: Hyundai can adopt Omega’s structured mental-health and EAP provision, while Omega can draw on the rigour of Hyundai’s safety-and-standards culture as it scales.</w:t>
      </w:r>
    </w:p>
    <w:tbl>
      <w:tblPr>
        <w:tblStyle w:val="LightGrid-Accent1"/>
        <w:tblW w:w="0" w:type="auto"/>
        <w:tblLook w:val="04A0" w:firstRow="1" w:lastRow="0" w:firstColumn="1" w:lastColumn="0" w:noHBand="0" w:noVBand="1"/>
      </w:tblPr>
      <w:tblGrid>
        <w:gridCol w:w="2262"/>
        <w:gridCol w:w="3585"/>
        <w:gridCol w:w="3585"/>
      </w:tblGrid>
      <w:tr w:rsidR="004A49C6" w14:paraId="19E936E3" w14:textId="77777777" w:rsidTr="004A4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2E5496"/>
          </w:tcPr>
          <w:p w14:paraId="7C057D42" w14:textId="77777777" w:rsidR="004A49C6" w:rsidRDefault="00000000">
            <w:pPr>
              <w:jc w:val="center"/>
            </w:pPr>
            <w:r>
              <w:rPr>
                <w:color w:val="FFFFFF"/>
                <w:sz w:val="22"/>
              </w:rPr>
              <w:lastRenderedPageBreak/>
              <w:t>Dimension</w:t>
            </w:r>
          </w:p>
        </w:tc>
        <w:tc>
          <w:tcPr>
            <w:tcW w:w="3672" w:type="dxa"/>
            <w:shd w:val="clear" w:color="auto" w:fill="2E5496"/>
          </w:tcPr>
          <w:p w14:paraId="79A33C2B"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Hyundai Motor India</w:t>
            </w:r>
          </w:p>
        </w:tc>
        <w:tc>
          <w:tcPr>
            <w:tcW w:w="3672" w:type="dxa"/>
            <w:shd w:val="clear" w:color="auto" w:fill="2E5496"/>
          </w:tcPr>
          <w:p w14:paraId="06482CBE" w14:textId="77777777" w:rsidR="004A49C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2"/>
              </w:rPr>
              <w:t>Omega Healthcare</w:t>
            </w:r>
          </w:p>
        </w:tc>
      </w:tr>
      <w:tr w:rsidR="004A49C6" w14:paraId="5F9B660B"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2EB6F58" w14:textId="77777777" w:rsidR="004A49C6" w:rsidRDefault="00000000">
            <w:pPr>
              <w:spacing w:after="40" w:line="240" w:lineRule="auto"/>
            </w:pPr>
            <w:r>
              <w:rPr>
                <w:sz w:val="21"/>
              </w:rPr>
              <w:t>Well-being anchor</w:t>
            </w:r>
          </w:p>
        </w:tc>
        <w:tc>
          <w:tcPr>
            <w:tcW w:w="3672" w:type="dxa"/>
          </w:tcPr>
          <w:p w14:paraId="3D1B4462"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Physical safety, ergonomics, stability</w:t>
            </w:r>
          </w:p>
        </w:tc>
        <w:tc>
          <w:tcPr>
            <w:tcW w:w="3672" w:type="dxa"/>
          </w:tcPr>
          <w:p w14:paraId="5A1B2D08"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Mental health, EAP, financial and physical wellness</w:t>
            </w:r>
          </w:p>
        </w:tc>
      </w:tr>
      <w:tr w:rsidR="004A49C6" w14:paraId="4E05961B"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7A6A18A" w14:textId="77777777" w:rsidR="004A49C6" w:rsidRDefault="00000000">
            <w:pPr>
              <w:spacing w:after="40" w:line="240" w:lineRule="auto"/>
            </w:pPr>
            <w:r>
              <w:rPr>
                <w:sz w:val="21"/>
              </w:rPr>
              <w:t>Signature provision</w:t>
            </w:r>
          </w:p>
        </w:tc>
        <w:tc>
          <w:tcPr>
            <w:tcW w:w="3672" w:type="dxa"/>
          </w:tcPr>
          <w:p w14:paraId="7E901A66"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High-voltage/plant safety; structured facilities</w:t>
            </w:r>
          </w:p>
        </w:tc>
        <w:tc>
          <w:tcPr>
            <w:tcW w:w="3672" w:type="dxa"/>
          </w:tcPr>
          <w:p w14:paraId="7951B123"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24-hour helpline, in-house doctors, EAP, wellness events</w:t>
            </w:r>
          </w:p>
        </w:tc>
      </w:tr>
      <w:tr w:rsidR="004A49C6" w14:paraId="11C5D0F1" w14:textId="77777777" w:rsidTr="004A49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75C7688" w14:textId="77777777" w:rsidR="004A49C6" w:rsidRDefault="00000000">
            <w:pPr>
              <w:spacing w:after="40" w:line="240" w:lineRule="auto"/>
            </w:pPr>
            <w:r>
              <w:rPr>
                <w:sz w:val="21"/>
              </w:rPr>
              <w:t>Cultural signal</w:t>
            </w:r>
          </w:p>
        </w:tc>
        <w:tc>
          <w:tcPr>
            <w:tcW w:w="3672" w:type="dxa"/>
          </w:tcPr>
          <w:p w14:paraId="413C0863"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Purpose-led, disciplined, low-attrition culture</w:t>
            </w:r>
          </w:p>
        </w:tc>
        <w:tc>
          <w:tcPr>
            <w:tcW w:w="3672" w:type="dxa"/>
          </w:tcPr>
          <w:p w14:paraId="371A94A8" w14:textId="77777777" w:rsidR="004A49C6" w:rsidRDefault="00000000">
            <w:pPr>
              <w:spacing w:after="40" w:line="240" w:lineRule="auto"/>
              <w:cnfStyle w:val="000000100000" w:firstRow="0" w:lastRow="0" w:firstColumn="0" w:lastColumn="0" w:oddVBand="0" w:evenVBand="0" w:oddHBand="1" w:evenHBand="0" w:firstRowFirstColumn="0" w:firstRowLastColumn="0" w:lastRowFirstColumn="0" w:lastRowLastColumn="0"/>
            </w:pPr>
            <w:r>
              <w:rPr>
                <w:sz w:val="21"/>
              </w:rPr>
              <w:t>Golden Brick long-service recognition; belonging</w:t>
            </w:r>
          </w:p>
        </w:tc>
      </w:tr>
      <w:tr w:rsidR="004A49C6" w14:paraId="03B88C77" w14:textId="77777777" w:rsidTr="004A49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CED7435" w14:textId="77777777" w:rsidR="004A49C6" w:rsidRDefault="00000000">
            <w:pPr>
              <w:spacing w:after="40" w:line="240" w:lineRule="auto"/>
            </w:pPr>
            <w:r>
              <w:rPr>
                <w:sz w:val="21"/>
              </w:rPr>
              <w:t>Industry driver</w:t>
            </w:r>
          </w:p>
        </w:tc>
        <w:tc>
          <w:tcPr>
            <w:tcW w:w="3672" w:type="dxa"/>
          </w:tcPr>
          <w:p w14:paraId="6C8FFA1B"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Safety is the first duty of care in manufacturing</w:t>
            </w:r>
          </w:p>
        </w:tc>
        <w:tc>
          <w:tcPr>
            <w:tcW w:w="3672" w:type="dxa"/>
          </w:tcPr>
          <w:p w14:paraId="6A7ACA87" w14:textId="77777777" w:rsidR="004A49C6" w:rsidRDefault="00000000">
            <w:pPr>
              <w:spacing w:after="40" w:line="240" w:lineRule="auto"/>
              <w:cnfStyle w:val="000000010000" w:firstRow="0" w:lastRow="0" w:firstColumn="0" w:lastColumn="0" w:oddVBand="0" w:evenVBand="0" w:oddHBand="0" w:evenHBand="1" w:firstRowFirstColumn="0" w:firstRowLastColumn="0" w:lastRowFirstColumn="0" w:lastRowLastColumn="0"/>
            </w:pPr>
            <w:r>
              <w:rPr>
                <w:sz w:val="21"/>
              </w:rPr>
              <w:t>Burnout/stress risk in round-the-clock services</w:t>
            </w:r>
          </w:p>
        </w:tc>
      </w:tr>
    </w:tbl>
    <w:p w14:paraId="59F16887" w14:textId="77777777" w:rsidR="004A49C6" w:rsidRDefault="004A49C6">
      <w:pPr>
        <w:spacing w:after="40"/>
      </w:pPr>
    </w:p>
    <w:p w14:paraId="4FC85869" w14:textId="11F05045" w:rsidR="004A49C6" w:rsidRDefault="00000000" w:rsidP="00257EAF">
      <w:r>
        <w:br w:type="page"/>
      </w:r>
    </w:p>
    <w:p w14:paraId="53F4957A" w14:textId="77777777" w:rsidR="004A49C6" w:rsidRDefault="00000000">
      <w:pPr>
        <w:keepNext/>
        <w:pBdr>
          <w:bottom w:val="single" w:sz="6" w:space="2" w:color="1F3864"/>
        </w:pBdr>
        <w:spacing w:before="120" w:after="200"/>
      </w:pPr>
      <w:r>
        <w:rPr>
          <w:b/>
          <w:color w:val="1F3864"/>
          <w:sz w:val="32"/>
        </w:rPr>
        <w:lastRenderedPageBreak/>
        <w:t>5. Cross-Cutting Analysis: How Industry Shapes HR</w:t>
      </w:r>
    </w:p>
    <w:p w14:paraId="69174149" w14:textId="77777777" w:rsidR="004A49C6" w:rsidRDefault="00000000">
      <w:pPr>
        <w:jc w:val="both"/>
      </w:pPr>
      <w:r>
        <w:t>Looking across the ten functions, a set of larger patterns emerges that no single domain captures on its own. This chapter steps back from the function-by-function detail to draw these threads together and to connect them explicitly to the theory set out in Chapter 2.</w:t>
      </w:r>
    </w:p>
    <w:p w14:paraId="3C3070CD" w14:textId="77777777" w:rsidR="004A49C6" w:rsidRDefault="00000000">
      <w:pPr>
        <w:keepNext/>
        <w:spacing w:before="200" w:after="80"/>
      </w:pPr>
      <w:r>
        <w:rPr>
          <w:b/>
          <w:color w:val="2E5496"/>
          <w:sz w:val="26"/>
        </w:rPr>
        <w:t>5.1 The organising logic of each HR system</w:t>
      </w:r>
    </w:p>
    <w:p w14:paraId="296435CD" w14:textId="77777777" w:rsidR="004A49C6" w:rsidRDefault="00000000">
      <w:pPr>
        <w:jc w:val="both"/>
      </w:pPr>
      <w:r>
        <w:t>The clearest finding is that each company’s HR system is internally coherent and organised around a single dominant logic. At Hyundai the organising logic is capability and stability in service of engineering quality and a technology transition. Recruitment is selective, learning is academy-based and future-oriented, performance management is structural, and well-being begins with safety. Every element reinforces the others, which is exactly the ‘bundling’ that strategic HRM theory predicts in a high-performing organisation. At Omega the organising logic is retention and mobility in service of consistent, round-the-clock service delivery. Volume recruitment, contextual learning, quarterly rewards, the Career Lattice, explicit engagement measurement and comprehensive well-being all point at the same goal: keep good people, and make staying feel like progress.</w:t>
      </w:r>
    </w:p>
    <w:p w14:paraId="0470BE56" w14:textId="77777777" w:rsidR="004A49C6" w:rsidRDefault="00000000">
      <w:pPr>
        <w:keepNext/>
        <w:spacing w:before="200" w:after="80"/>
      </w:pPr>
      <w:r>
        <w:rPr>
          <w:b/>
          <w:color w:val="2E5496"/>
          <w:sz w:val="26"/>
        </w:rPr>
        <w:t>5.2 Industry as the independent variable</w:t>
      </w:r>
    </w:p>
    <w:p w14:paraId="744299F1" w14:textId="77777777" w:rsidR="004A49C6" w:rsidRDefault="00000000">
      <w:pPr>
        <w:jc w:val="both"/>
      </w:pPr>
      <w:r>
        <w:t>Throughout the audit, the industry has behaved like the independent variable that explains the differences in practice. Three structural features do most of the explanatory work. The first is the nature of the work: physical, interdependent and safety-critical at Hyundai; digital, individually measurable and confidentiality-critical at Omega. This single difference explains why Hyundai’s performance management is structural while Omega’s can be quarterly and individual. The second is the labour market: scarce technical talent for the manufacturer versus high-volume, churn-prone talent for the services provider, which explains the contrast between selective, mentored hiring and inclusive, high-throughput recruitment. The third is the dominant risk: safety and a product-technology shift for Hyundai, attrition and client service levels for Omega, which explains why HR technology serves learning in one case and listening in the other.</w:t>
      </w:r>
    </w:p>
    <w:p w14:paraId="3A18B54D" w14:textId="77777777" w:rsidR="004A49C6" w:rsidRDefault="00000000">
      <w:pPr>
        <w:keepNext/>
        <w:spacing w:before="200" w:after="80"/>
      </w:pPr>
      <w:r>
        <w:rPr>
          <w:b/>
          <w:color w:val="2E5496"/>
          <w:sz w:val="26"/>
        </w:rPr>
        <w:lastRenderedPageBreak/>
        <w:t>5.3 Where the two quietly converge</w:t>
      </w:r>
    </w:p>
    <w:p w14:paraId="60F02376" w14:textId="77777777" w:rsidR="004A49C6" w:rsidRDefault="00000000">
      <w:pPr>
        <w:jc w:val="both"/>
      </w:pPr>
      <w:r>
        <w:t>It would be wrong to conclude that the two companies have nothing in common. In fact they converge on several modern HR principles, which suggests these have become genuine cross-industry good practice rather than sector fashions. Both treat learning and development as strategic and mentoring-rich. Both run formal women’s-leadership development and disability inclusion. Both understand, in an essentially Herzbergian way, that pay is a hygiene factor and that recognition, growth and belonging are the true motivators. Both use external certification to validate their employer brand, and both have moved well-being to the centre of strategy. The convergence is on the principles; the divergence is in how those principles are operationalised once filtered through industry.</w:t>
      </w:r>
    </w:p>
    <w:p w14:paraId="778D538F" w14:textId="77777777" w:rsidR="004A49C6" w:rsidRDefault="00000000">
      <w:pPr>
        <w:keepNext/>
        <w:spacing w:before="200" w:after="80"/>
      </w:pPr>
      <w:r>
        <w:rPr>
          <w:b/>
          <w:color w:val="2E5496"/>
          <w:sz w:val="26"/>
        </w:rPr>
        <w:t>5.4 Reading the evidence through the frameworks</w:t>
      </w:r>
    </w:p>
    <w:p w14:paraId="03CB9229" w14:textId="77777777" w:rsidR="004A49C6" w:rsidRDefault="00000000">
      <w:pPr>
        <w:jc w:val="both"/>
      </w:pPr>
      <w:r>
        <w:t>The AMO model maps neatly onto the findings. Ability is addressed by Hyundai’s academies and Omega’s tiered, contextual learning; Motivation by Hyundai’s purpose and Omega’s quarterly rewards and recognition; and Opportunity by Hyundai’s role-based pathways and Omega’s Career Lattice. The resource-based view explains why both invest so heavily in people: Hyundai is building the rare, hard-to-imitate technical capability needed for electric mobility, while Omega is building an equally hard-to-imitate asset in the form of a loyal, experienced services workforce in a churn-prone industry. Ulrich’s change-agent role is visible in both – in Hyundai’s Role-Based Organisation transformation and in Omega’s reinvention of career and reward structures. The theory, in other words, is not decorative; it genuinely explains the behaviour observed.</w:t>
      </w:r>
    </w:p>
    <w:p w14:paraId="6DE5C7BD" w14:textId="303ED2E2" w:rsidR="004A49C6" w:rsidRDefault="00000000" w:rsidP="00257EAF">
      <w:r>
        <w:br w:type="page"/>
      </w:r>
    </w:p>
    <w:p w14:paraId="232C7F25" w14:textId="77777777" w:rsidR="004A49C6" w:rsidRDefault="00000000">
      <w:pPr>
        <w:keepNext/>
        <w:pBdr>
          <w:bottom w:val="single" w:sz="6" w:space="2" w:color="1F3864"/>
        </w:pBdr>
        <w:spacing w:before="120" w:after="200"/>
      </w:pPr>
      <w:r>
        <w:rPr>
          <w:b/>
          <w:color w:val="1F3864"/>
          <w:sz w:val="32"/>
        </w:rPr>
        <w:lastRenderedPageBreak/>
        <w:t>6. Key Findings</w:t>
      </w:r>
    </w:p>
    <w:p w14:paraId="7D166E0D" w14:textId="77777777" w:rsidR="004A49C6" w:rsidRDefault="00000000">
      <w:pPr>
        <w:jc w:val="both"/>
      </w:pPr>
      <w:r>
        <w:t>The principal findings of the comparative HR audit can be summarised as follows.</w:t>
      </w:r>
    </w:p>
    <w:p w14:paraId="6088F117" w14:textId="77777777" w:rsidR="004A49C6" w:rsidRDefault="00000000">
      <w:pPr>
        <w:pStyle w:val="ListBullet"/>
        <w:spacing w:after="60"/>
        <w:jc w:val="both"/>
      </w:pPr>
      <w:r>
        <w:rPr>
          <w:b/>
        </w:rPr>
        <w:t xml:space="preserve">Strategic alignment is strong in both. </w:t>
      </w:r>
      <w:r>
        <w:t>both organisations operate mature, award-winning HR functions in which people practices are clearly aligned to business strategy – neither treats HR as a purely administrative function.</w:t>
      </w:r>
    </w:p>
    <w:p w14:paraId="0095EFAD" w14:textId="77777777" w:rsidR="004A49C6" w:rsidRDefault="00000000">
      <w:pPr>
        <w:pStyle w:val="ListBullet"/>
        <w:spacing w:after="60"/>
        <w:jc w:val="both"/>
      </w:pPr>
      <w:r>
        <w:rPr>
          <w:b/>
        </w:rPr>
        <w:t xml:space="preserve">The organising logic differs by industry. </w:t>
      </w:r>
      <w:r>
        <w:t>Hyundai’s HR system is organised around capability, safety and stability to support engineering quality and the electric-vehicle transition, whereas Omega’s is organised around retention and internal mobility to counter the attrition endemic to healthcare services.</w:t>
      </w:r>
    </w:p>
    <w:p w14:paraId="13187E0B" w14:textId="77777777" w:rsidR="004A49C6" w:rsidRDefault="00000000">
      <w:pPr>
        <w:pStyle w:val="ListBullet"/>
        <w:spacing w:after="60"/>
        <w:jc w:val="both"/>
      </w:pPr>
      <w:r>
        <w:rPr>
          <w:b/>
        </w:rPr>
        <w:t xml:space="preserve">Industry explains most differences. </w:t>
      </w:r>
      <w:r>
        <w:t>the differences in practice – selective versus high-volume hiring, structural versus quarterly performance management, learning-focused versus listening-focused HR technology – trace back consistently to the nature of the work, the labour market and the dominant risk of each sector.</w:t>
      </w:r>
    </w:p>
    <w:p w14:paraId="2DA81655" w14:textId="77777777" w:rsidR="004A49C6" w:rsidRDefault="00000000">
      <w:pPr>
        <w:pStyle w:val="ListBullet"/>
        <w:spacing w:after="60"/>
        <w:jc w:val="both"/>
      </w:pPr>
      <w:r>
        <w:rPr>
          <w:b/>
        </w:rPr>
        <w:t xml:space="preserve">DEI shows the starkest gap. </w:t>
      </w:r>
      <w:r>
        <w:t>the gender profile is the sharpest contrast: roughly half of Omega’s workforce is female, against a single-digit overall ratio at Hyundai, a gap that is largely structural but that both companies are actively working to close through leadership pipelines and inclusive policy.</w:t>
      </w:r>
    </w:p>
    <w:p w14:paraId="246D91E9" w14:textId="77777777" w:rsidR="004A49C6" w:rsidRDefault="00000000">
      <w:pPr>
        <w:pStyle w:val="ListBullet"/>
        <w:spacing w:after="60"/>
        <w:jc w:val="both"/>
      </w:pPr>
      <w:r>
        <w:rPr>
          <w:b/>
        </w:rPr>
        <w:t xml:space="preserve">Both have genuinely innovative practices. </w:t>
      </w:r>
      <w:r>
        <w:t>Omega’s Golden Brick awards, Career Lattice and quarterly merit increases, and Hyundai’s academy system, 3Es learning philosophy and Role-Based Organisation, are distinctive, well-designed practices that each represent transferable good practice for the other and for the wider market.</w:t>
      </w:r>
    </w:p>
    <w:p w14:paraId="1A835D5E" w14:textId="77777777" w:rsidR="004A49C6" w:rsidRDefault="00000000">
      <w:pPr>
        <w:pStyle w:val="ListBullet"/>
        <w:spacing w:after="60"/>
        <w:jc w:val="both"/>
      </w:pPr>
      <w:r>
        <w:rPr>
          <w:b/>
        </w:rPr>
        <w:t xml:space="preserve">Convergence on principles, divergence on practice. </w:t>
      </w:r>
      <w:r>
        <w:t>beneath the differences, both converge on the same modern principles – strategic learning, recognition beyond pay, DEI, continuous well-being and evidence-based employer branding – confirming that these have become cross-industry standards of good HR.</w:t>
      </w:r>
    </w:p>
    <w:p w14:paraId="207B2398" w14:textId="0A7DAA06" w:rsidR="004A49C6" w:rsidRDefault="00000000" w:rsidP="00257EAF">
      <w:r>
        <w:br w:type="page"/>
      </w:r>
    </w:p>
    <w:p w14:paraId="2F11349E" w14:textId="77777777" w:rsidR="004A49C6" w:rsidRDefault="00000000">
      <w:pPr>
        <w:keepNext/>
        <w:pBdr>
          <w:bottom w:val="single" w:sz="6" w:space="2" w:color="1F3864"/>
        </w:pBdr>
        <w:spacing w:before="120" w:after="200"/>
      </w:pPr>
      <w:r>
        <w:rPr>
          <w:b/>
          <w:color w:val="1F3864"/>
          <w:sz w:val="32"/>
        </w:rPr>
        <w:lastRenderedPageBreak/>
        <w:t>7. Recommendations</w:t>
      </w:r>
    </w:p>
    <w:p w14:paraId="421C664B" w14:textId="77777777" w:rsidR="004A49C6" w:rsidRDefault="00000000">
      <w:pPr>
        <w:jc w:val="both"/>
      </w:pPr>
      <w:r>
        <w:t>The following recommendations follow directly from the audit. They are framed as realistic, mutually informed suggestions rather than wholesale redesigns, in keeping with the finding that each company’s system is already well matched to its context.</w:t>
      </w:r>
    </w:p>
    <w:p w14:paraId="568D1D5E" w14:textId="77777777" w:rsidR="004A49C6" w:rsidRDefault="00000000">
      <w:pPr>
        <w:keepNext/>
        <w:spacing w:before="200" w:after="80"/>
      </w:pPr>
      <w:r>
        <w:rPr>
          <w:b/>
          <w:color w:val="2E5496"/>
          <w:sz w:val="26"/>
        </w:rPr>
        <w:t>7.1 For Hyundai Motor India</w:t>
      </w:r>
    </w:p>
    <w:p w14:paraId="7EAC7BFB" w14:textId="77777777" w:rsidR="004A49C6" w:rsidRDefault="00000000">
      <w:pPr>
        <w:pStyle w:val="ListBullet"/>
        <w:spacing w:after="60"/>
        <w:jc w:val="both"/>
      </w:pPr>
      <w:r>
        <w:rPr>
          <w:b/>
        </w:rPr>
        <w:t xml:space="preserve">Measure engagement directly. </w:t>
      </w:r>
      <w:r>
        <w:t>introduce explicit, published employee-engagement measurement (an engagement score and eNPS) to complement its reliance on attrition data, borrowing from Omega’s continuous-listening approach so that early warning signs are captured.</w:t>
      </w:r>
    </w:p>
    <w:p w14:paraId="3A1D4E69" w14:textId="77777777" w:rsidR="004A49C6" w:rsidRDefault="00000000">
      <w:pPr>
        <w:pStyle w:val="ListBullet"/>
        <w:spacing w:after="60"/>
        <w:jc w:val="both"/>
      </w:pPr>
      <w:r>
        <w:rPr>
          <w:b/>
        </w:rPr>
        <w:t xml:space="preserve">Widen the well-being agenda. </w:t>
      </w:r>
      <w:r>
        <w:t>broaden the definition of well-being beyond physical safety to include structured mental-health and employee-assistance provision of the kind Omega offers.</w:t>
      </w:r>
    </w:p>
    <w:p w14:paraId="1155E04C" w14:textId="77777777" w:rsidR="004A49C6" w:rsidRDefault="00000000">
      <w:pPr>
        <w:pStyle w:val="ListBullet"/>
        <w:spacing w:after="60"/>
        <w:jc w:val="both"/>
      </w:pPr>
      <w:r>
        <w:rPr>
          <w:b/>
        </w:rPr>
        <w:t xml:space="preserve">Recognise loyalty explicitly. </w:t>
      </w:r>
      <w:r>
        <w:t>celebrate long service more visibly, adopting a milestone-recognition idea similar to the Golden Brick awards to make tenure feel valued and to strengthen the emotional bond with the organisation.</w:t>
      </w:r>
    </w:p>
    <w:p w14:paraId="268A8865" w14:textId="77777777" w:rsidR="004A49C6" w:rsidRDefault="00000000">
      <w:pPr>
        <w:pStyle w:val="ListBullet"/>
        <w:spacing w:after="60"/>
        <w:jc w:val="both"/>
      </w:pPr>
      <w:r>
        <w:rPr>
          <w:b/>
        </w:rPr>
        <w:t xml:space="preserve">Push harder on gender balance. </w:t>
      </w:r>
      <w:r>
        <w:t>accelerate the gender-diversity agenda by extending flexible working and returner programmes to more of the workforce and by setting transparent representation targets, building on the strong foundation of TrailBlazHER and Samarth.</w:t>
      </w:r>
    </w:p>
    <w:p w14:paraId="2B9F5ACB" w14:textId="77777777" w:rsidR="004A49C6" w:rsidRDefault="00000000">
      <w:pPr>
        <w:pStyle w:val="ListBullet"/>
        <w:spacing w:after="60"/>
        <w:jc w:val="both"/>
      </w:pPr>
      <w:r>
        <w:rPr>
          <w:b/>
        </w:rPr>
        <w:t xml:space="preserve">Extend learning to the frontline. </w:t>
      </w:r>
      <w:r>
        <w:t>ensure that the substantial investment in academy-based learning reaches frontline, plant and dealership employees as fully as it reaches engineers and leaders.</w:t>
      </w:r>
    </w:p>
    <w:p w14:paraId="1B6AD7E5" w14:textId="77777777" w:rsidR="004A49C6" w:rsidRDefault="00000000">
      <w:pPr>
        <w:keepNext/>
        <w:spacing w:before="200" w:after="80"/>
      </w:pPr>
      <w:r>
        <w:rPr>
          <w:b/>
          <w:color w:val="2E5496"/>
          <w:sz w:val="26"/>
        </w:rPr>
        <w:t>7.2 For Omega Healthcare</w:t>
      </w:r>
    </w:p>
    <w:p w14:paraId="6CE91DDE" w14:textId="77777777" w:rsidR="004A49C6" w:rsidRDefault="00000000">
      <w:pPr>
        <w:pStyle w:val="ListBullet"/>
        <w:spacing w:after="60"/>
        <w:jc w:val="both"/>
      </w:pPr>
      <w:r>
        <w:rPr>
          <w:b/>
        </w:rPr>
        <w:t xml:space="preserve">Formalise learning credentials. </w:t>
      </w:r>
      <w:r>
        <w:t>deepen external academic and certification partnerships, in the way Hyundai works with the IITs, IIMs and XLRI, to add formal, portable credentials to its strong internal learning.</w:t>
      </w:r>
    </w:p>
    <w:p w14:paraId="462BB7E6" w14:textId="77777777" w:rsidR="004A49C6" w:rsidRDefault="00000000">
      <w:pPr>
        <w:pStyle w:val="ListBullet"/>
        <w:spacing w:after="60"/>
        <w:jc w:val="both"/>
      </w:pPr>
      <w:r>
        <w:rPr>
          <w:b/>
        </w:rPr>
        <w:lastRenderedPageBreak/>
        <w:t xml:space="preserve">Add assessment rigour. </w:t>
      </w:r>
      <w:r>
        <w:t>complement its quarterly quantitative rewards with structured capability-and-potential assessment (for example, an assessment-and-development-centre approach) so that progression judges potential as well as recent output.</w:t>
      </w:r>
    </w:p>
    <w:p w14:paraId="163ABBEA" w14:textId="77777777" w:rsidR="004A49C6" w:rsidRDefault="00000000">
      <w:pPr>
        <w:pStyle w:val="ListBullet"/>
        <w:spacing w:after="60"/>
        <w:jc w:val="both"/>
      </w:pPr>
      <w:r>
        <w:rPr>
          <w:b/>
        </w:rPr>
        <w:t xml:space="preserve">Underpin the lattice with skills mapping. </w:t>
      </w:r>
      <w:r>
        <w:t>map the Career Lattice against a clear skills-and-competency framework so that lateral and diagonal moves are consistently developmental rather than opportunistic.</w:t>
      </w:r>
    </w:p>
    <w:p w14:paraId="6647ACD0" w14:textId="77777777" w:rsidR="004A49C6" w:rsidRDefault="00000000">
      <w:pPr>
        <w:pStyle w:val="ListBullet"/>
        <w:spacing w:after="60"/>
        <w:jc w:val="both"/>
      </w:pPr>
      <w:r>
        <w:rPr>
          <w:b/>
        </w:rPr>
        <w:t xml:space="preserve">Convert parity into leadership parity. </w:t>
      </w:r>
      <w:r>
        <w:t>continue converting strong entry-level gender balance into proportionate representation in senior leadership, tracking and publishing the progression rate of women into management.</w:t>
      </w:r>
    </w:p>
    <w:p w14:paraId="66BD993A" w14:textId="77777777" w:rsidR="004A49C6" w:rsidRDefault="00000000">
      <w:pPr>
        <w:pStyle w:val="ListBullet"/>
        <w:spacing w:after="60"/>
        <w:jc w:val="both"/>
      </w:pPr>
      <w:r>
        <w:rPr>
          <w:b/>
        </w:rPr>
        <w:t xml:space="preserve">Keep people-analytics ethical. </w:t>
      </w:r>
      <w:r>
        <w:t>govern its AI-based sentiment tools transparently and ethically, communicating clearly to employees how listening data is used, so that the practice is experienced as care rather than surveillance.</w:t>
      </w:r>
    </w:p>
    <w:p w14:paraId="12AC34F8" w14:textId="77777777" w:rsidR="004A49C6" w:rsidRDefault="00000000">
      <w:pPr>
        <w:keepNext/>
        <w:spacing w:before="200" w:after="80"/>
      </w:pPr>
      <w:r>
        <w:rPr>
          <w:b/>
          <w:color w:val="2E5496"/>
          <w:sz w:val="26"/>
        </w:rPr>
        <w:t>7.3 A shared lesson</w:t>
      </w:r>
    </w:p>
    <w:p w14:paraId="7378BAF9" w14:textId="77777777" w:rsidR="004A49C6" w:rsidRDefault="00000000">
      <w:pPr>
        <w:jc w:val="both"/>
      </w:pPr>
      <w:r>
        <w:t>The overarching recommendation for any HR practitioner reading this audit is to resist importing ‘best practices’ wholesale. The practices that make Omega excellent would not all work on Hyundai’s assembly line, and vice versa. What travels is the principle beneath the practice – recognise contribution promptly, build capability deliberately, listen to employees continuously, and make inclusion real – which each organisation must then translate into forms that fit its own industry, workforce and risk profile.</w:t>
      </w:r>
    </w:p>
    <w:p w14:paraId="0446EC48" w14:textId="4B44215C" w:rsidR="004A49C6" w:rsidRDefault="00000000" w:rsidP="00257EAF">
      <w:r>
        <w:br w:type="page"/>
      </w:r>
    </w:p>
    <w:p w14:paraId="2FE3416D" w14:textId="77777777" w:rsidR="004A49C6" w:rsidRDefault="00000000">
      <w:pPr>
        <w:keepNext/>
        <w:pBdr>
          <w:bottom w:val="single" w:sz="6" w:space="2" w:color="1F3864"/>
        </w:pBdr>
        <w:spacing w:before="120" w:after="200"/>
      </w:pPr>
      <w:r>
        <w:rPr>
          <w:b/>
          <w:color w:val="1F3864"/>
          <w:sz w:val="32"/>
        </w:rPr>
        <w:lastRenderedPageBreak/>
        <w:t>8. Conclusion</w:t>
      </w:r>
    </w:p>
    <w:p w14:paraId="3C51C013" w14:textId="77777777" w:rsidR="004A49C6" w:rsidRDefault="00000000">
      <w:pPr>
        <w:jc w:val="both"/>
      </w:pPr>
      <w:r>
        <w:t>This comparative HR audit set out to examine how strategic human-resource practices differ across two organisations from very different industry sectors, and, more importantly, to explain why. The evidence gathered across ten HR functions supports a clear conclusion: both Hyundai Motor India and Omega Healthcare run sophisticated, strategically aligned HR functions, but each has designed its people practices around the specific demands of its industry.</w:t>
      </w:r>
    </w:p>
    <w:p w14:paraId="27426BB3" w14:textId="77777777" w:rsidR="004A49C6" w:rsidRDefault="00000000">
      <w:pPr>
        <w:jc w:val="both"/>
      </w:pPr>
      <w:r>
        <w:t>Hyundai’s HR architecture is the architecture of a modern manufacturer preparing for technological disruption. It is built on selective hiring, academy-based and institution-linked learning, a role-based approach to performance and progression, and a culture in which safety and stability are the foundation of well-being. Omega’s HR architecture is the architecture of a people-intensive services provider determined to defeat the attrition that defines its sector. It is built on inclusive high-volume recruitment, contextual learning, high-frequency reward and recognition, a lattice rather than a ladder for careers, and a comprehensive, actively measured approach to engagement and well-being.</w:t>
      </w:r>
    </w:p>
    <w:p w14:paraId="3A2A80DA" w14:textId="77777777" w:rsidR="004A49C6" w:rsidRDefault="00000000">
      <w:pPr>
        <w:jc w:val="both"/>
      </w:pPr>
      <w:r>
        <w:t>The most valuable insight of the study is that these differences are not signs that one company is more advanced than the other; they are rational, well-judged responses to different competitive and human realities. The industry acts as the lens that refracts a common set of modern HR principles into two distinct sets of practices. Where the companies converge – on strategic learning, on recognition beyond pay, on diversity, on well-being and on evidence-based branding – we can be reasonably confident we are looking at genuine, durable good practice. Where they diverge, we are looking at intelligent adaptation.</w:t>
      </w:r>
    </w:p>
    <w:p w14:paraId="0B9E0856" w14:textId="77777777" w:rsidR="004A49C6" w:rsidRDefault="00000000">
      <w:pPr>
        <w:jc w:val="both"/>
      </w:pPr>
      <w:r>
        <w:t>For a student of human-resource management, the practical takeaway is both simple and important: excellent HR is never generic. It is the disciplined application of sound principles to the particular circumstances of a business. Hyundai and Omega Healthcare, each successful and each admired as an employer, demonstrate that there is no single right way to manage people – only the right way for a given organisation, in a given industry, at a given moment in its journey.</w:t>
      </w:r>
    </w:p>
    <w:p w14:paraId="016F5922" w14:textId="0FC0AC67" w:rsidR="004A49C6" w:rsidRDefault="00000000" w:rsidP="00257EAF">
      <w:r>
        <w:br w:type="page"/>
      </w:r>
    </w:p>
    <w:p w14:paraId="27BB25B3" w14:textId="77777777" w:rsidR="004A49C6" w:rsidRDefault="00000000">
      <w:pPr>
        <w:keepNext/>
        <w:pBdr>
          <w:bottom w:val="single" w:sz="6" w:space="2" w:color="1F3864"/>
        </w:pBdr>
        <w:spacing w:before="120" w:after="200"/>
      </w:pPr>
      <w:r>
        <w:rPr>
          <w:b/>
          <w:color w:val="1F3864"/>
          <w:sz w:val="32"/>
        </w:rPr>
        <w:lastRenderedPageBreak/>
        <w:t>References</w:t>
      </w:r>
    </w:p>
    <w:p w14:paraId="51A20E48" w14:textId="77777777" w:rsidR="004A49C6" w:rsidRDefault="00000000">
      <w:pPr>
        <w:jc w:val="both"/>
      </w:pPr>
      <w:r>
        <w:rPr>
          <w:i/>
          <w:sz w:val="22"/>
        </w:rPr>
        <w:t>The following publicly available sources were consulted between January and June 2026. All information has been paraphrased and synthesised; figures reflect the most recent data disclosed by the sources at the time of writing.</w:t>
      </w:r>
    </w:p>
    <w:p w14:paraId="510AC5B9" w14:textId="77777777" w:rsidR="004A49C6" w:rsidRDefault="00000000">
      <w:pPr>
        <w:ind w:left="504" w:hanging="504"/>
      </w:pPr>
      <w:r>
        <w:rPr>
          <w:sz w:val="22"/>
        </w:rPr>
        <w:t>1.  Hyundai Motor India Limited. Integrated Annual Report 2024–25. Investor Relations, hyundai.com.</w:t>
      </w:r>
    </w:p>
    <w:p w14:paraId="25501909" w14:textId="77777777" w:rsidR="004A49C6" w:rsidRDefault="00000000">
      <w:pPr>
        <w:ind w:left="504" w:hanging="504"/>
      </w:pPr>
      <w:r>
        <w:rPr>
          <w:sz w:val="22"/>
        </w:rPr>
        <w:t>2.  Hyundai Motor India Limited. Business Responsibility and Sustainability Report (BRSR), 2024–25. hyundai.com.</w:t>
      </w:r>
    </w:p>
    <w:p w14:paraId="0CDD250C" w14:textId="77777777" w:rsidR="004A49C6" w:rsidRDefault="00000000">
      <w:pPr>
        <w:ind w:left="504" w:hanging="504"/>
      </w:pPr>
      <w:r>
        <w:rPr>
          <w:sz w:val="22"/>
        </w:rPr>
        <w:t>3.  Hyundai Motor India Limited. “Hyundai Motor India Named Top Employer in India for the 3rd Consecutive Year.” Press Release, Media Center, hyundai.com.</w:t>
      </w:r>
    </w:p>
    <w:p w14:paraId="1AE2E85F" w14:textId="77777777" w:rsidR="004A49C6" w:rsidRDefault="00000000">
      <w:pPr>
        <w:ind w:left="504" w:hanging="504"/>
      </w:pPr>
      <w:r>
        <w:rPr>
          <w:sz w:val="22"/>
        </w:rPr>
        <w:t>4.  The Times of India. “Hyundai Motor India earns first-ever Top Employer certification in India for 2024.” timesofindia.indiatimes.com.</w:t>
      </w:r>
    </w:p>
    <w:p w14:paraId="0DF94208" w14:textId="77777777" w:rsidR="004A49C6" w:rsidRDefault="00000000">
      <w:pPr>
        <w:ind w:left="504" w:hanging="504"/>
      </w:pPr>
      <w:r>
        <w:rPr>
          <w:sz w:val="22"/>
        </w:rPr>
        <w:t>5.  People Matters. “Hyundai Motor’s Charles Walter shares the 3Es of impactful workplace learning.” peoplematters.in.</w:t>
      </w:r>
    </w:p>
    <w:p w14:paraId="2E66E541" w14:textId="77777777" w:rsidR="004A49C6" w:rsidRDefault="00000000">
      <w:pPr>
        <w:ind w:left="504" w:hanging="504"/>
      </w:pPr>
      <w:r>
        <w:rPr>
          <w:sz w:val="22"/>
        </w:rPr>
        <w:t>6.  People Matters. “World EV Day: The toughest EV upgrade? Mindsets, says Hyundai HR chief.” peoplematters.in.</w:t>
      </w:r>
    </w:p>
    <w:p w14:paraId="3C75B8DE" w14:textId="77777777" w:rsidR="004A49C6" w:rsidRDefault="00000000">
      <w:pPr>
        <w:ind w:left="504" w:hanging="504"/>
      </w:pPr>
      <w:r>
        <w:rPr>
          <w:sz w:val="22"/>
        </w:rPr>
        <w:t>7.  People Matters. “Employee well-being is not just a priority, it’s a way of life – Hyundai Motor India’s Charles Walter.” peoplematters.in.</w:t>
      </w:r>
    </w:p>
    <w:p w14:paraId="0B41F6B7" w14:textId="77777777" w:rsidR="004A49C6" w:rsidRDefault="00000000">
      <w:pPr>
        <w:ind w:left="504" w:hanging="504"/>
      </w:pPr>
      <w:r>
        <w:rPr>
          <w:sz w:val="22"/>
        </w:rPr>
        <w:t>8.  BW People. “Hyundai Motors Is Transforming HR Practices For Role-Based Organisational Excellence.” bwpeople.in.</w:t>
      </w:r>
    </w:p>
    <w:p w14:paraId="7CA28AB1" w14:textId="77777777" w:rsidR="004A49C6" w:rsidRDefault="00000000">
      <w:pPr>
        <w:ind w:left="504" w:hanging="504"/>
      </w:pPr>
      <w:r>
        <w:rPr>
          <w:sz w:val="22"/>
        </w:rPr>
        <w:t>9.  ETHRWorld (The Economic Times). “Hyundai Motor India’s Strategic Leadership Development Post-IPO.” hr.economictimes.indiatimes.com.</w:t>
      </w:r>
    </w:p>
    <w:p w14:paraId="02AF9BB2" w14:textId="77777777" w:rsidR="004A49C6" w:rsidRDefault="00000000">
      <w:pPr>
        <w:ind w:left="504" w:hanging="504"/>
      </w:pPr>
      <w:r>
        <w:rPr>
          <w:sz w:val="22"/>
        </w:rPr>
        <w:t>10.  Hyundai Motor Company. “Career Development” and skill-development pages, careers portal, hyundai.com.</w:t>
      </w:r>
    </w:p>
    <w:p w14:paraId="25F4A4A7" w14:textId="77777777" w:rsidR="004A49C6" w:rsidRDefault="00000000">
      <w:pPr>
        <w:ind w:left="504" w:hanging="504"/>
      </w:pPr>
      <w:r>
        <w:rPr>
          <w:sz w:val="22"/>
        </w:rPr>
        <w:t>11.  HRKatha. “The golden brick strategy: how this firm defies healthcare’s churn culture.” hrkatha.com.</w:t>
      </w:r>
    </w:p>
    <w:p w14:paraId="355D5BDC" w14:textId="77777777" w:rsidR="004A49C6" w:rsidRDefault="00000000">
      <w:pPr>
        <w:ind w:left="504" w:hanging="504"/>
      </w:pPr>
      <w:r>
        <w:rPr>
          <w:sz w:val="22"/>
        </w:rPr>
        <w:t>12.  Omega Healthcare Management Services. “About”, “Careers”, “Careers – India” and “Life at Omega Healthcare” pages, omegahms.com.</w:t>
      </w:r>
    </w:p>
    <w:p w14:paraId="5999D273" w14:textId="77777777" w:rsidR="004A49C6" w:rsidRDefault="00000000">
      <w:pPr>
        <w:ind w:left="504" w:hanging="504"/>
      </w:pPr>
      <w:r>
        <w:rPr>
          <w:sz w:val="22"/>
        </w:rPr>
        <w:t>13.  Omega Healthcare Management Services. Executive Leadership Team profile (Anurag Mehta), omegahms.com.</w:t>
      </w:r>
    </w:p>
    <w:p w14:paraId="7D2B6336" w14:textId="77777777" w:rsidR="004A49C6" w:rsidRDefault="00000000">
      <w:pPr>
        <w:ind w:left="504" w:hanging="504"/>
      </w:pPr>
      <w:r>
        <w:rPr>
          <w:sz w:val="22"/>
        </w:rPr>
        <w:lastRenderedPageBreak/>
        <w:t>14.  Omega Healthcare Management Services. “Recognized by Invest in Bogotá for Excellence in People Practices.” Newsroom, omegahms.com.</w:t>
      </w:r>
    </w:p>
    <w:p w14:paraId="0489FBDE" w14:textId="77777777" w:rsidR="004A49C6" w:rsidRDefault="00000000">
      <w:pPr>
        <w:ind w:left="504" w:hanging="504"/>
      </w:pPr>
      <w:r>
        <w:rPr>
          <w:sz w:val="22"/>
        </w:rPr>
        <w:t>15.  People Matters. “Building careers, not just jobs: Dr. Guruvayurappan PV on talent, education and lifelong learning.” peoplematters.in.</w:t>
      </w:r>
    </w:p>
    <w:p w14:paraId="3C9020D5" w14:textId="77777777" w:rsidR="004A49C6" w:rsidRDefault="00000000">
      <w:pPr>
        <w:ind w:left="504" w:hanging="504"/>
      </w:pPr>
      <w:r>
        <w:rPr>
          <w:sz w:val="22"/>
        </w:rPr>
        <w:t>16.  Armstrong, M. Armstrong’s Handbook of Human Resource Management Practice – for the SHRM, Harvard, Ulrich, AMO and RBV frameworks referenced in Chapter 2.</w:t>
      </w:r>
    </w:p>
    <w:p w14:paraId="0048532A" w14:textId="77777777" w:rsidR="004A49C6" w:rsidRDefault="00000000">
      <w:pPr>
        <w:ind w:left="504" w:hanging="504"/>
      </w:pPr>
      <w:r>
        <w:rPr>
          <w:sz w:val="22"/>
        </w:rPr>
        <w:t>17.  Herzberg, F. “One More Time: How Do You Motivate Employees?” Harvard Business Review – for the two-factor theory referenced in Chapters 2 and 4.</w:t>
      </w:r>
    </w:p>
    <w:p w14:paraId="71AB262E" w14:textId="77777777" w:rsidR="004A49C6" w:rsidRDefault="004A49C6">
      <w:pPr>
        <w:jc w:val="both"/>
      </w:pPr>
    </w:p>
    <w:p w14:paraId="4DE4AE32" w14:textId="77777777" w:rsidR="004A49C6" w:rsidRDefault="00000000">
      <w:pPr>
        <w:spacing w:before="240"/>
        <w:jc w:val="center"/>
      </w:pPr>
      <w:r>
        <w:rPr>
          <w:b/>
          <w:i/>
        </w:rPr>
        <w:t>— End of Report —</w:t>
      </w:r>
    </w:p>
    <w:sectPr w:rsidR="004A49C6" w:rsidSect="00034616">
      <w:footerReference w:type="default" r:id="rId8"/>
      <w:pgSz w:w="12240" w:h="15840"/>
      <w:pgMar w:top="1440" w:right="1440"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89BBD" w14:textId="77777777" w:rsidR="0000330F" w:rsidRDefault="0000330F">
      <w:pPr>
        <w:spacing w:after="0" w:line="240" w:lineRule="auto"/>
      </w:pPr>
      <w:r>
        <w:separator/>
      </w:r>
    </w:p>
  </w:endnote>
  <w:endnote w:type="continuationSeparator" w:id="0">
    <w:p w14:paraId="135166B2" w14:textId="77777777" w:rsidR="0000330F" w:rsidRDefault="00003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3EB5" w14:textId="77777777" w:rsidR="004A49C6" w:rsidRDefault="00000000">
    <w:pPr>
      <w:pStyle w:val="Footer"/>
      <w:jc w:val="center"/>
    </w:pPr>
    <w:r>
      <w:fldChar w:fldCharType="begin"/>
    </w:r>
    <w:r>
      <w:instrText>PAGE</w:instrText>
    </w:r>
    <w:r>
      <w:fldChar w:fldCharType="separate"/>
    </w:r>
    <w:r w:rsidR="00F12BC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D22E2" w14:textId="77777777" w:rsidR="0000330F" w:rsidRDefault="0000330F">
      <w:pPr>
        <w:spacing w:after="0" w:line="240" w:lineRule="auto"/>
      </w:pPr>
      <w:r>
        <w:separator/>
      </w:r>
    </w:p>
  </w:footnote>
  <w:footnote w:type="continuationSeparator" w:id="0">
    <w:p w14:paraId="07BF5E9C" w14:textId="77777777" w:rsidR="0000330F" w:rsidRDefault="00003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1685722">
    <w:abstractNumId w:val="8"/>
  </w:num>
  <w:num w:numId="2" w16cid:durableId="736245792">
    <w:abstractNumId w:val="6"/>
  </w:num>
  <w:num w:numId="3" w16cid:durableId="986667264">
    <w:abstractNumId w:val="5"/>
  </w:num>
  <w:num w:numId="4" w16cid:durableId="1964388119">
    <w:abstractNumId w:val="4"/>
  </w:num>
  <w:num w:numId="5" w16cid:durableId="1234243188">
    <w:abstractNumId w:val="7"/>
  </w:num>
  <w:num w:numId="6" w16cid:durableId="1055274463">
    <w:abstractNumId w:val="3"/>
  </w:num>
  <w:num w:numId="7" w16cid:durableId="550965817">
    <w:abstractNumId w:val="2"/>
  </w:num>
  <w:num w:numId="8" w16cid:durableId="771709268">
    <w:abstractNumId w:val="1"/>
  </w:num>
  <w:num w:numId="9" w16cid:durableId="2043289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0F"/>
    <w:rsid w:val="00034616"/>
    <w:rsid w:val="0006063C"/>
    <w:rsid w:val="0015074B"/>
    <w:rsid w:val="00257EAF"/>
    <w:rsid w:val="0029639D"/>
    <w:rsid w:val="00326F90"/>
    <w:rsid w:val="004A49C6"/>
    <w:rsid w:val="00676823"/>
    <w:rsid w:val="00AA1D8D"/>
    <w:rsid w:val="00B47730"/>
    <w:rsid w:val="00CB0664"/>
    <w:rsid w:val="00F12B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7833A"/>
  <w14:defaultImageDpi w14:val="300"/>
  <w15:docId w15:val="{39292C6C-E0EE-4F80-AADE-A19EF118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37</Pages>
  <Words>9510</Words>
  <Characters>54208</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Lingesh Kadirvelu</cp:lastModifiedBy>
  <cp:revision>3</cp:revision>
  <dcterms:created xsi:type="dcterms:W3CDTF">2013-12-23T23:15:00Z</dcterms:created>
  <dcterms:modified xsi:type="dcterms:W3CDTF">2026-07-21T16:02:00Z</dcterms:modified>
  <cp:category/>
</cp:coreProperties>
</file>