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0"/>
      </w:pPr>
    </w:p>
    <w:p>
      <w:pPr>
        <w:spacing w:after="0"/>
      </w:pPr>
    </w:p>
    <w:p>
      <w:pPr>
        <w:spacing w:after="200"/>
        <w:jc w:val="center"/>
      </w:pPr>
      <w:r>
        <w:rPr>
          <w:b/>
          <w:sz w:val="32"/>
          <w:szCs w:val="32"/>
        </w:rPr>
        <w:t xml:space="preserve">SUMMER INTERNSHIP PROJECT (SIP) – 2026</w:t>
      </w:r>
    </w:p>
    <w:p>
      <w:pPr>
        <w:spacing w:after="40"/>
        <w:jc w:val="center"/>
      </w:pPr>
      <w:r>
        <w:rPr>
          <w:b/>
          <w:sz w:val="28"/>
          <w:szCs w:val="28"/>
        </w:rPr>
        <w:t xml:space="preserve">A COMPARATIVE HR AUDIT OF</w:t>
      </w:r>
    </w:p>
    <w:p>
      <w:pPr>
        <w:spacing w:after="40"/>
        <w:jc w:val="center"/>
      </w:pPr>
      <w:r>
        <w:rPr>
          <w:b/>
          <w:sz w:val="28"/>
          <w:szCs w:val="28"/>
        </w:rPr>
        <w:t xml:space="preserve">HYUNDAI MOTOR INDIA LIMITED AND OMEGA HEALTHCARE MANAGEMENT SERVICES</w:t>
      </w:r>
    </w:p>
    <w:p>
      <w:pPr>
        <w:spacing w:after="0"/>
      </w:pPr>
    </w:p>
    <w:p>
      <w:pPr>
        <w:spacing w:after="40"/>
        <w:jc w:val="center"/>
      </w:pPr>
      <w:r>
        <w:rPr>
          <w:b/>
          <w:i/>
          <w:sz w:val="28"/>
          <w:szCs w:val="28"/>
        </w:rPr>
        <w:t xml:space="preserve">Summer Internship Project Report submitted to the Malaysia University of Science and Technology, in partial fulfilment of the requirements to award the degree of</w:t>
      </w:r>
    </w:p>
    <w:p>
      <w:pPr>
        <w:spacing w:after="0"/>
      </w:pPr>
    </w:p>
    <w:p>
      <w:pPr>
        <w:spacing w:after="40"/>
        <w:jc w:val="center"/>
      </w:pPr>
      <w:r>
        <w:rPr>
          <w:b/>
          <w:sz w:val="28"/>
          <w:szCs w:val="28"/>
        </w:rPr>
        <w:t xml:space="preserve">MASTER OF BUSINESS ADMINISTRATION</w:t>
      </w:r>
    </w:p>
    <w:p>
      <w:pPr>
        <w:spacing w:after="0"/>
      </w:pPr>
    </w:p>
    <w:p>
      <w:pPr>
        <w:spacing w:after="0"/>
      </w:pPr>
    </w:p>
    <w:p>
      <w:pPr>
        <w:spacing w:after="40"/>
        <w:jc w:val="center"/>
      </w:pPr>
      <w:r>
        <w:t xml:space="preserve">SUBMITTED BY</w:t>
      </w:r>
    </w:p>
    <w:p>
      <w:pPr>
        <w:spacing w:after="40"/>
        <w:jc w:val="center"/>
      </w:pPr>
      <w:r>
        <w:rPr>
          <w:b/>
        </w:rPr>
        <w:t xml:space="preserve">DEVA N</w:t>
      </w:r>
    </w:p>
    <w:p>
      <w:pPr>
        <w:spacing w:after="40"/>
        <w:jc w:val="center"/>
      </w:pPr>
      <w:r>
        <w:t xml:space="preserve">OSI2509077</w:t>
      </w:r>
    </w:p>
    <w:p>
      <w:pPr>
        <w:spacing w:after="0"/>
      </w:pPr>
    </w:p>
    <w:p>
      <w:pPr>
        <w:spacing w:after="0"/>
      </w:pPr>
    </w:p>
    <w:p>
      <w:pPr>
        <w:spacing w:after="0" w:line="240" w:lineRule="auto"/>
        <w:jc w:val="center"/>
      </w:pPr>
      <w:r>
        <w:rPr>
          <w:noProof/>
        </w:rPr>
        <w:drawing>
          <wp:inline distT="0" distB="0" distL="0" distR="0" wp14:anchorId="1BA1AC9E" wp14:editId="2467FCF2">
            <wp:extent cx="5502910" cy="1157773"/>
            <wp:effectExtent l="0" t="0" r="0" b="0"/>
            <wp:docPr id="81745" name="MUST and ISSM Business Schoo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UST and ISSM Business School logo"/>
                    <pic:cNvPicPr/>
                  </pic:nvPicPr>
                  <pic:blipFill>
                    <a:blip r:embed="rId7"/>
                    <a:stretch>
                      <a:fillRect/>
                    </a:stretch>
                  </pic:blipFill>
                  <pic:spPr>
                    <a:xfrm>
                      <a:off x="0" y="0"/>
                      <a:ext cx="5502910" cy="1157773"/>
                    </a:xfrm>
                    <a:prstGeom prst="rect">
                      <a:avLst/>
                    </a:prstGeom>
                  </pic:spPr>
                </pic:pic>
              </a:graphicData>
            </a:graphic>
          </wp:inline>
        </w:drawing>
      </w:r>
    </w:p>
    <w:p>
      <w:pPr>
        <w:spacing w:after="0"/>
      </w:pPr>
    </w:p>
    <w:p>
      <w:pPr>
        <w:spacing w:after="0"/>
      </w:pPr>
    </w:p>
    <w:p>
      <w:pPr>
        <w:spacing w:after="40"/>
        <w:jc w:val="center"/>
      </w:pPr>
      <w:r>
        <w:rPr>
          <w:b/>
          <w:sz w:val="28"/>
          <w:szCs w:val="28"/>
        </w:rPr>
        <w:t xml:space="preserve">Indian School of Science and Management</w:t>
      </w:r>
    </w:p>
    <w:p>
      <w:pPr>
        <w:spacing w:after="40"/>
        <w:jc w:val="center"/>
      </w:pPr>
      <w:r>
        <w:rPr>
          <w:b/>
          <w:sz w:val="28"/>
          <w:szCs w:val="28"/>
        </w:rPr>
        <w:t xml:space="preserve">Chennai</w:t>
      </w:r>
    </w:p>
    <w:p>
      <w:pPr>
        <w:spacing w:after="0" w:line="240" w:lineRule="auto"/>
      </w:pPr>
      <w:r>
        <w:br w:type="page"/>
      </w:r>
    </w:p>
    <w:p>
      <w:pPr>
        <w:spacing w:after="0"/>
      </w:pPr>
    </w:p>
    <w:p>
      <w:pPr>
        <w:spacing w:after="200"/>
        <w:jc w:val="center"/>
      </w:pPr>
      <w:r>
        <w:rPr>
          <w:b/>
          <w:sz w:val="28"/>
          <w:szCs w:val="28"/>
        </w:rPr>
        <w:t xml:space="preserve">CERTIFICATE</w:t>
      </w:r>
    </w:p>
    <w:p>
      <w:pPr>
        <w:spacing w:after="0"/>
      </w:pPr>
    </w:p>
    <w:p>
      <w:pPr>
        <w:spacing w:after="0"/>
      </w:pPr>
    </w:p>
    <w:p>
      <w:pPr>
        <w:spacing w:after="140"/>
      </w:pPr>
      <w:r>
        <w:t xml:space="preserve">This is to certify that the Summer Internship Project Report titled “A Comparative HR Audit of Hyundai Motor India Limited and Omega Healthcare Management Services: An Analysis of Strategic Human Resource Practices” is an authentic record of </w:t>
      </w:r>
      <w:r>
        <w:rPr>
          <w:b/>
        </w:rPr>
        <w:t xml:space="preserve">Mr. Deva N</w:t>
      </w:r>
      <w:r>
        <w:t xml:space="preserve"> (OSI2509077), carried out as a secondary-research based comparative study of two organisations from different industry sectors, in partial fulfilment of the requirements for the award of the MBA degree.</w:t>
      </w:r>
    </w:p>
    <w:p>
      <w:pPr>
        <w:spacing w:after="0"/>
      </w:pPr>
    </w:p>
    <w:p>
      <w:pPr>
        <w:spacing w:after="140"/>
      </w:pPr>
      <w:r>
        <w:t xml:space="preserve">The project was completed under the guidance of </w:t>
      </w:r>
      <w:r>
        <w:rPr>
          <w:b/>
        </w:rPr>
        <w:t xml:space="preserve">[Faculty Guide Name]</w:t>
      </w:r>
      <w:r>
        <w:t xml:space="preserve">, [Designation], ISSM Business School, during the period from January to June 2026.</w:t>
      </w:r>
    </w:p>
    <w:p>
      <w:pPr>
        <w:spacing w:after="0"/>
      </w:pPr>
    </w:p>
    <w:p>
      <w:pPr>
        <w:spacing w:after="0"/>
      </w:pPr>
    </w:p>
    <w:p>
      <w:pPr>
        <w:spacing w:after="0"/>
      </w:pPr>
    </w:p>
    <w:p>
      <w:pPr>
        <w:spacing w:after="0"/>
      </w:pPr>
    </w:p>
    <w:p>
      <w:pPr>
        <w:spacing w:after="140"/>
      </w:pPr>
      <w:r>
        <w:rPr>
          <w:b/>
          <w:sz w:val="28"/>
          <w:szCs w:val="28"/>
        </w:rPr>
        <w:t>Ms.Kavitha</w:t>
      </w:r>
      <w:r>
        <w:rPr>
          <w:b/>
          <w:sz w:val="28"/>
          <w:szCs w:val="28"/>
        </w:rPr>
        <w:t xml:space="preserve"> Manikandan</w:t>
      </w:r>
    </w:p>
    <w:p>
      <w:pPr>
        <w:spacing w:after="140"/>
      </w:pPr>
      <w:r>
        <w:rPr>
          <w:sz w:val="28"/>
          <w:szCs w:val="28"/>
        </w:rPr>
        <w:t>Academic Head</w:t>
      </w:r>
    </w:p>
    <w:p>
      <w:pPr>
        <w:spacing w:after="140"/>
      </w:pPr>
      <w:r>
        <w:t>ISSM Business School</w:t>
      </w:r>
    </w:p>
    <w:p>
      <w:pPr>
        <w:spacing w:after="0"/>
      </w:pPr>
    </w:p>
    <w:p>
      <w:pPr>
        <w:spacing w:after="0"/>
      </w:pPr>
    </w:p>
    <w:p>
      <w:pPr>
        <w:spacing w:after="140"/>
      </w:pPr>
      <w:r>
        <w:t>Viva Voce Examination Conducted on:</w:t>
      </w:r>
    </w:p>
    <w:p>
      <w:pPr>
        <w:spacing w:after="0"/>
      </w:pPr>
    </w:p>
    <w:p>
      <w:pPr>
        <w:spacing w:after="0"/>
      </w:pPr>
    </w:p>
    <w:p>
      <w:pPr>
        <w:spacing w:after="0"/>
      </w:pPr>
    </w:p>
    <w:p>
      <w:pPr>
        <w:spacing w:after="0"/>
      </w:pPr>
    </w:p>
    <w:p>
      <w:pPr>
        <w:tabs>
          <w:tab w:val="right" w:pos="8666"/>
        </w:tabs>
        <w:spacing w:after="140"/>
        <w:jc w:val="left"/>
      </w:pPr>
      <w:r>
        <w:rPr>
          <w:b/>
        </w:rPr>
        <w:t>Internal Examiner</w:t>
      </w:r>
      <w:r>
        <w:tab/>
      </w:r>
      <w:r>
        <w:rPr>
          <w:b/>
        </w:rPr>
        <w:t>External Examiner</w:t>
      </w:r>
    </w:p>
    <w:p>
      <w:pPr>
        <w:spacing w:after="0" w:line="240" w:lineRule="auto"/>
      </w:pPr>
      <w:r>
        <w:br w:type="page"/>
      </w:r>
    </w:p>
    <w:p>
      <w:pPr>
        <w:spacing w:after="0"/>
      </w:pPr>
    </w:p>
    <w:p>
      <w:pPr>
        <w:spacing w:after="0"/>
      </w:pPr>
    </w:p>
    <w:p>
      <w:pPr>
        <w:spacing w:after="0"/>
      </w:pPr>
    </w:p>
    <w:p>
      <w:pPr>
        <w:spacing w:after="0"/>
      </w:pPr>
    </w:p>
    <w:p>
      <w:pPr>
        <w:spacing w:after="0"/>
      </w:pPr>
    </w:p>
    <w:p>
      <w:pPr>
        <w:spacing w:after="0"/>
      </w:pPr>
    </w:p>
    <w:p>
      <w:pPr>
        <w:spacing w:after="200"/>
        <w:jc w:val="center"/>
      </w:pPr>
      <w:r>
        <w:rPr>
          <w:b/>
          <w:sz w:val="28"/>
          <w:szCs w:val="28"/>
        </w:rPr>
        <w:t xml:space="preserve">DECLARATION</w:t>
      </w:r>
    </w:p>
    <w:p>
      <w:pPr>
        <w:spacing w:after="0"/>
      </w:pPr>
    </w:p>
    <w:p>
      <w:pPr>
        <w:spacing w:after="0"/>
      </w:pPr>
    </w:p>
    <w:p>
      <w:pPr>
        <w:spacing w:after="140"/>
      </w:pPr>
      <w:r>
        <w:t xml:space="preserve">I, </w:t>
      </w:r>
      <w:r>
        <w:rPr>
          <w:b/>
        </w:rPr>
        <w:t xml:space="preserve">Mr. Deva N</w:t>
      </w:r>
      <w:r>
        <w:t xml:space="preserve">, hereby declare that this SIP Project Report titled “A Comparative HR Audit of Hyundai Motor India Limited and Omega Healthcare Management Services: An Analysis of Strategic Human Resource Practices” is the result of a comparative study carried out by me during the period from January to June 2026, under the guidance of </w:t>
      </w:r>
      <w:r>
        <w:rPr>
          <w:b/>
        </w:rPr>
        <w:t xml:space="preserve">[Faculty Guide Name]</w:t>
      </w:r>
      <w:r>
        <w:t xml:space="preserve">, [Designation], ISSM Business School, Indian School of Science and Management, Chennai.</w:t>
      </w:r>
    </w:p>
    <w:p>
      <w:pPr>
        <w:spacing w:after="0"/>
      </w:pPr>
    </w:p>
    <w:p>
      <w:pPr>
        <w:spacing w:after="140"/>
      </w:pPr>
      <w:r>
        <w:t xml:space="preserve">I further declare that the study is based on secondary data drawn from publicly available sources such as company annual reports, sustainability disclosures, corporate career portals, employer-recognition platforms and reputed business and human-resource publications; that every source used has been acknowledged in the text and in the references; and that this report has not been submitted earlier, in part or in full, for the award of any other degree or diploma.</w:t>
      </w:r>
    </w:p>
    <w:p>
      <w:pPr>
        <w:spacing w:after="0"/>
      </w:pPr>
    </w:p>
    <w:p>
      <w:pPr>
        <w:spacing w:after="0"/>
      </w:pPr>
    </w:p>
    <w:p>
      <w:pPr>
        <w:spacing w:after="0"/>
      </w:pPr>
    </w:p>
    <w:p>
      <w:pPr>
        <w:spacing w:after="0"/>
      </w:pPr>
    </w:p>
    <w:p>
      <w:pPr>
        <w:spacing w:after="0"/>
      </w:pPr>
    </w:p>
    <w:p>
      <w:pPr>
        <w:spacing w:after="0"/>
      </w:pPr>
    </w:p>
    <w:p>
      <w:pPr>
        <w:tabs>
          <w:tab w:val="right" w:pos="8666"/>
        </w:tabs>
        <w:spacing w:after="140"/>
        <w:jc w:val="left"/>
      </w:pPr>
      <w:r>
        <w:t>Place: Chennai</w:t>
      </w:r>
      <w:r>
        <w:tab/>
      </w:r>
      <w:r>
        <w:t>Signature</w:t>
      </w:r>
    </w:p>
    <w:p>
      <w:pPr>
        <w:tabs>
          <w:tab w:val="right" w:pos="8666"/>
        </w:tabs>
        <w:spacing w:after="140"/>
        <w:jc w:val="left"/>
      </w:pPr>
      <w:r>
        <w:t>Date:</w:t>
      </w:r>
    </w:p>
    <w:p>
      <w:pPr>
        <w:spacing w:after="0" w:line="240" w:lineRule="auto"/>
      </w:pPr>
      <w:r>
        <w:br w:type="page"/>
      </w:r>
    </w:p>
    <w:p>
      <w:pPr>
        <w:spacing w:after="0"/>
      </w:pPr>
    </w:p>
    <w:p>
      <w:pPr>
        <w:spacing w:after="200"/>
        <w:jc w:val="center"/>
      </w:pPr>
      <w:r>
        <w:rPr>
          <w:b/>
          <w:sz w:val="28"/>
          <w:szCs w:val="28"/>
        </w:rPr>
        <w:t xml:space="preserve">ACKNOWLEDGEMENT</w:t>
      </w:r>
    </w:p>
    <w:p>
      <w:pPr>
        <w:spacing w:after="0"/>
      </w:pPr>
    </w:p>
    <w:p>
      <w:pPr>
        <w:spacing w:after="140"/>
      </w:pPr>
      <w:r>
        <w:t xml:space="preserve">A project that relies entirely on published evidence still depends on people: on those who shape the question, those who point to the right sources and those who make the time to finish it possible. I wish to thank each of them sincerely.</w:t>
      </w:r>
    </w:p>
    <w:p>
      <w:pPr>
        <w:spacing w:after="140"/>
      </w:pPr>
      <w:r>
        <w:t xml:space="preserve">I would like to express my sincere gratitude to our respected Chairman, </w:t>
      </w:r>
      <w:r>
        <w:rPr>
          <w:b/>
        </w:rPr>
        <w:t xml:space="preserve">Mr. KATHIRVEL GANAPATHIAPPAN</w:t>
      </w:r>
      <w:r>
        <w:t xml:space="preserve">, for giving us the opportunity to undertake and complete this project as part of the MBA programme.</w:t>
      </w:r>
    </w:p>
    <w:p>
      <w:pPr>
        <w:spacing w:after="140"/>
      </w:pPr>
      <w:r>
        <w:t xml:space="preserve">I express my heartfelt thanks to our Founder and Managing Director, </w:t>
      </w:r>
      <w:r>
        <w:rPr>
          <w:b/>
        </w:rPr>
        <w:t xml:space="preserve">Dr. PARKAVI MAHALINGAM</w:t>
      </w:r>
      <w:r>
        <w:t xml:space="preserve">, whose vision and continued encouragement have created an institution in which independent study of this kind is actively supported.</w:t>
      </w:r>
    </w:p>
    <w:p>
      <w:pPr>
        <w:spacing w:after="140"/>
      </w:pPr>
      <w:r>
        <w:t xml:space="preserve">I am highly indebted to our Academic Head, </w:t>
      </w:r>
      <w:r>
        <w:rPr>
          <w:b/>
        </w:rPr>
        <w:t xml:space="preserve">Ms. KAVITHA MANIKANDAN</w:t>
      </w:r>
      <w:r>
        <w:t xml:space="preserve">, for her supervision, for clarifying the expectations of the Summer Internship Project and for approving the comparative-study route that made this report possible.</w:t>
      </w:r>
    </w:p>
    <w:p>
      <w:pPr>
        <w:spacing w:after="140"/>
      </w:pPr>
      <w:r>
        <w:t xml:space="preserve">My sincere gratitude to my faculty guide, </w:t>
      </w:r>
      <w:r>
        <w:rPr>
          <w:b/>
        </w:rPr>
        <w:t xml:space="preserve">[Faculty Guide Name]</w:t>
      </w:r>
      <w:r>
        <w:t xml:space="preserve">, for helping me narrow a broad interest in human resource management into a structured audit question, for reviewing successive drafts and for repeatedly pushing the analysis beyond description towards explanation.</w:t>
      </w:r>
    </w:p>
    <w:p>
      <w:pPr>
        <w:spacing w:after="140"/>
      </w:pPr>
      <w:r>
        <w:t xml:space="preserve">I would also like to thank all the faculty members, library and digital-resource staff of ISSM Business School, who made it easier to access the annual reports, databases and publications on which this study is built.</w:t>
      </w:r>
    </w:p>
    <w:p>
      <w:pPr>
        <w:spacing w:after="140"/>
      </w:pPr>
      <w:r>
        <w:t xml:space="preserve">Finally, I thank my family and friends for their patience and encouragement during the months this project demanded. Any shortcomings that remain in the report are entirely my own.</w:t>
      </w:r>
    </w:p>
    <w:p>
      <w:pPr>
        <w:spacing w:after="0" w:line="240" w:lineRule="auto"/>
      </w:pPr>
      <w:r>
        <w:br w:type="page"/>
      </w:r>
    </w:p>
    <w:p>
      <w:pPr>
        <w:spacing w:after="0"/>
      </w:pPr>
    </w:p>
    <w:p>
      <w:pPr>
        <w:spacing w:after="200"/>
        <w:jc w:val="center"/>
      </w:pPr>
      <w:r>
        <w:rPr>
          <w:b/>
        </w:rPr>
        <w:t xml:space="preserve">EXECUTIVE SUMMARY</w:t>
      </w:r>
    </w:p>
    <w:p>
      <w:pPr>
        <w:spacing w:after="0"/>
      </w:pPr>
    </w:p>
    <w:p>
      <w:pPr>
        <w:spacing w:after="140"/>
      </w:pPr>
      <w:r>
        <w:t xml:space="preserve">This report presents a comparative human resource (HR) audit of two organisations that sit in very different corners of the Indian economy: </w:t>
      </w:r>
      <w:r>
        <w:rPr>
          <w:b/>
        </w:rPr>
        <w:t xml:space="preserve">Hyundai Motor India Limited</w:t>
      </w:r>
      <w:r>
        <w:t xml:space="preserve">, a capital-intensive passenger-vehicle manufacturer headquartered at Sriperumbudur near Chennai, and </w:t>
      </w:r>
      <w:r>
        <w:rPr>
          <w:b/>
        </w:rPr>
        <w:t xml:space="preserve">Omega Healthcare Management Services</w:t>
      </w:r>
      <w:r>
        <w:t xml:space="preserve">, a people-intensive healthcare revenue cycle management (RCM) provider employing more than 35,000 people. The study was undertaken as the Summer Internship Project from January to June 2026 and is based entirely on secondary data drawn from company disclosures, career portals, employer-recognition platforms and reputed HR publications.</w:t>
      </w:r>
    </w:p>
    <w:p>
      <w:pPr>
        <w:spacing w:after="140"/>
      </w:pPr>
      <w:r>
        <w:t xml:space="preserve">The purpose of pairing the two companies was not to decide which is “better”, a meaningless comparison across such different businesses, but to understand why their HR practices differ, where they quietly converge, and how the logic of each industry pushes the people function in a particular direction. The audit examined ten HR functions: employer branding, recruitment and selection, learning and development, performance management, compensation and benefits, employee engagement, diversity, equity and inclusion, career development, HR technology, and well-being and workplace culture.</w:t>
      </w:r>
    </w:p>
    <w:p>
      <w:pPr>
        <w:spacing w:after="140"/>
      </w:pPr>
      <w:r>
        <w:t xml:space="preserve">Hyundai’s HR architecture is built around engineering discipline, safety and stability. Its Role-Based Organisation, its academy-led learning model, which trained 49,310 people in FY 2025-26, and its co-created EV certifications with the IITs reflect a manufacturer preparing its workforce for electric mobility. Omega, by contrast, operates in a services industry historically marked by high attrition, and almost every distinctive practice, the Golden Brick loyalty awards, the Career Lattice and quarterly merit increases for frontline staff, is engineered to keep people and to make progression feel fast.</w:t>
      </w:r>
    </w:p>
    <w:p>
      <w:pPr>
        <w:spacing w:after="140"/>
      </w:pPr>
      <w:r>
        <w:t xml:space="preserve">The sharpest contrast is in gender diversity: women form around half of Omega’s workforce, against just over 8 per cent of Hyundai’s executive workforce, although Hyundai has now set a target of 20 per cent by 2030. Beneath such differences, both firms converge on the same modern principles of strategic learning, recognition beyond pay, inclusion and well-being. The report concludes that good HR is contextual: the same principle, “invest in people”, correctly produces different practices once it is filtered through the economics and risks of a specific industry.</w:t>
      </w:r>
    </w:p>
    <w:p>
      <w:pPr>
        <w:spacing w:after="0" w:line="240" w:lineRule="auto"/>
      </w:pPr>
      <w:r>
        <w:br w:type="page"/>
      </w:r>
    </w:p>
    <w:p>
      <w:pPr>
        <w:spacing w:after="0"/>
      </w:pPr>
    </w:p>
    <w:p>
      <w:pPr>
        <w:spacing w:after="200"/>
        <w:jc w:val="center"/>
      </w:pPr>
      <w:r>
        <w:rPr>
          <w:b/>
          <w:sz w:val="28"/>
          <w:szCs w:val="28"/>
        </w:rPr>
        <w:t xml:space="preserve">TABLE OF CONTENTS</w:t>
      </w:r>
    </w:p>
    <w:p>
      <w:pPr>
        <w:spacing w:after="0"/>
      </w:pPr>
    </w:p>
    <w:tbl>
      <w:tblPr>
        <w:tblStyle w:val="TableGrid"/>
        <w:tblW w:w="8666" w:type="dxa"/>
        <w:jc w:val="center"/>
        <w:tblInd w:w="0" w:type="dxa"/>
        <w:tblLayout w:type="fixed"/>
        <w:tblCellMar>
          <w:top w:w="60" w:type="dxa"/>
          <w:left w:w="108" w:type="dxa"/>
          <w:bottom w:w="60" w:type="dxa"/>
          <w:right w:w="108" w:type="dxa"/>
        </w:tblCellMar>
        <w:tblLook w:val="04A0" w:firstRow="1" w:lastRow="0" w:firstColumn="1" w:lastColumn="0" w:noHBand="0" w:noVBand="1"/>
      </w:tblPr>
      <w:tblGrid>
        <w:gridCol w:w="1576"/>
        <w:gridCol w:w="5515"/>
        <w:gridCol w:w="1575"/>
      </w:tblGrid>
      <w:tr>
        <w:trPr>
          <w:cantSplit/>
          <w:trHeight w:val="1550"/>
          <w:tblHeader/>
          <w:jc w:val="center"/>
        </w:trPr>
        <w:tc>
          <w:tcPr>
            <w:tcW w:w="1575" w:type="dxa"/>
            <w:vAlign w:val="center"/>
          </w:tcPr>
          <w:p>
            <w:pPr>
              <w:spacing w:before="20" w:after="20" w:line="240" w:lineRule="auto"/>
              <w:jc w:val="center"/>
            </w:pPr>
            <w:r>
              <w:rPr>
                <w:b/>
                <w:sz w:val="28"/>
                <w:szCs w:val="28"/>
              </w:rPr>
              <w:t>SL.NO</w:t>
            </w:r>
          </w:p>
        </w:tc>
        <w:tc>
          <w:tcPr>
            <w:tcW w:w="5514" w:type="dxa"/>
            <w:vAlign w:val="center"/>
          </w:tcPr>
          <w:p>
            <w:pPr>
              <w:spacing w:before="20" w:after="20" w:line="240" w:lineRule="auto"/>
              <w:jc w:val="center"/>
            </w:pPr>
            <w:r>
              <w:rPr>
                <w:b/>
                <w:sz w:val="28"/>
                <w:szCs w:val="28"/>
              </w:rPr>
              <w:t>CHAPTER</w:t>
            </w:r>
          </w:p>
        </w:tc>
        <w:tc>
          <w:tcPr>
            <w:tcW w:w="1575" w:type="dxa"/>
            <w:vAlign w:val="center"/>
          </w:tcPr>
          <w:p>
            <w:pPr>
              <w:spacing w:before="20" w:after="20" w:line="240" w:lineRule="auto"/>
              <w:jc w:val="center"/>
            </w:pPr>
            <w:r>
              <w:rPr>
                <w:b/>
                <w:sz w:val="28"/>
                <w:szCs w:val="28"/>
              </w:rPr>
              <w:t>PAGE NO.</w:t>
            </w:r>
          </w:p>
        </w:tc>
      </w:tr>
      <w:tr>
        <w:trPr>
          <w:cantSplit/>
          <w:trHeight w:val="1550"/>
          <w:jc w:val="center"/>
        </w:trPr>
        <w:tc>
          <w:tcPr>
            <w:tcW w:w="1575" w:type="dxa"/>
            <w:vAlign w:val="center"/>
          </w:tcPr>
          <w:p>
            <w:pPr>
              <w:spacing w:before="20" w:after="20" w:line="240" w:lineRule="auto"/>
              <w:jc w:val="center"/>
            </w:pPr>
            <w:r>
              <w:rPr>
                <w:b/>
                <w:sz w:val="28"/>
                <w:szCs w:val="28"/>
              </w:rPr>
              <w:t>1</w:t>
            </w:r>
          </w:p>
        </w:tc>
        <w:tc>
          <w:tcPr>
            <w:tcW w:w="5514" w:type="dxa"/>
            <w:vAlign w:val="center"/>
          </w:tcPr>
          <w:p>
            <w:pPr>
              <w:spacing w:before="20" w:after="20" w:line="240" w:lineRule="auto"/>
              <w:jc w:val="center"/>
            </w:pPr>
            <w:r>
              <w:rPr>
                <w:b/>
                <w:sz w:val="28"/>
                <w:szCs w:val="28"/>
              </w:rPr>
              <w:t>INDUSTRY AND COMPANY OVERVIEW</w:t>
            </w:r>
          </w:p>
        </w:tc>
        <w:tc>
          <w:tcPr>
            <w:tcW w:w="1575" w:type="dxa"/>
            <w:vAlign w:val="center"/>
          </w:tcPr>
          <w:p>
            <w:pPr>
              <w:spacing w:before="20" w:after="20" w:line="240" w:lineRule="auto"/>
              <w:jc w:val="center"/>
            </w:pPr>
            <w:r>
              <w:fldChar w:fldCharType="begin"/>
            </w:r>
            <w:r>
              <w:instrText xml:space="preserve"> PAGEREF ch1_start \h </w:instrText>
            </w:r>
            <w:r>
              <w:fldChar w:fldCharType="separate"/>
            </w:r>
            <w:r>
              <w:rPr>
                <w:noProof/>
              </w:rPr>
              <w:t>1</w:t>
            </w:r>
            <w:r>
              <w:fldChar w:fldCharType="end"/>
            </w:r>
            <w:r>
              <w:rPr>
                <w:b/>
                <w:sz w:val="28"/>
                <w:szCs w:val="28"/>
              </w:rPr>
              <w:t>-</w:t>
            </w:r>
            <w:r>
              <w:fldChar w:fldCharType="begin"/>
            </w:r>
            <w:r>
              <w:instrText xml:space="preserve"> PAGEREF ch1_end \h </w:instrText>
            </w:r>
            <w:r>
              <w:fldChar w:fldCharType="separate"/>
            </w:r>
            <w:r>
              <w:rPr>
                <w:noProof/>
              </w:rPr>
              <w:t>10</w:t>
            </w:r>
            <w:r>
              <w:fldChar w:fldCharType="end"/>
            </w:r>
          </w:p>
        </w:tc>
      </w:tr>
      <w:tr>
        <w:trPr>
          <w:cantSplit/>
          <w:trHeight w:val="1550"/>
          <w:jc w:val="center"/>
        </w:trPr>
        <w:tc>
          <w:tcPr>
            <w:tcW w:w="1575" w:type="dxa"/>
            <w:vAlign w:val="center"/>
          </w:tcPr>
          <w:p>
            <w:pPr>
              <w:spacing w:before="20" w:after="20" w:line="240" w:lineRule="auto"/>
              <w:jc w:val="center"/>
            </w:pPr>
            <w:r>
              <w:rPr>
                <w:b/>
                <w:sz w:val="28"/>
                <w:szCs w:val="28"/>
              </w:rPr>
              <w:t>2</w:t>
            </w:r>
          </w:p>
        </w:tc>
        <w:tc>
          <w:tcPr>
            <w:tcW w:w="5514" w:type="dxa"/>
            <w:vAlign w:val="center"/>
          </w:tcPr>
          <w:p>
            <w:pPr>
              <w:spacing w:before="20" w:after="20" w:line="240" w:lineRule="auto"/>
              <w:jc w:val="center"/>
            </w:pPr>
            <w:r>
              <w:rPr>
                <w:b/>
                <w:sz w:val="28"/>
                <w:szCs w:val="28"/>
              </w:rPr>
              <w:t>PROJECT DESCRIPTION AND METHODOLOGY</w:t>
            </w:r>
          </w:p>
        </w:tc>
        <w:tc>
          <w:tcPr>
            <w:tcW w:w="1575" w:type="dxa"/>
            <w:vAlign w:val="center"/>
          </w:tcPr>
          <w:p>
            <w:pPr>
              <w:spacing w:before="20" w:after="20" w:line="240" w:lineRule="auto"/>
              <w:jc w:val="center"/>
            </w:pPr>
            <w:r>
              <w:fldChar w:fldCharType="begin"/>
            </w:r>
            <w:r>
              <w:instrText xml:space="preserve"> PAGEREF ch2_start \h </w:instrText>
            </w:r>
            <w:r>
              <w:fldChar w:fldCharType="separate"/>
            </w:r>
            <w:r>
              <w:rPr>
                <w:noProof/>
              </w:rPr>
              <w:t>11</w:t>
            </w:r>
            <w:r>
              <w:fldChar w:fldCharType="end"/>
            </w:r>
            <w:r>
              <w:rPr>
                <w:b/>
                <w:sz w:val="28"/>
                <w:szCs w:val="28"/>
              </w:rPr>
              <w:t>-</w:t>
            </w:r>
            <w:r>
              <w:fldChar w:fldCharType="begin"/>
            </w:r>
            <w:r>
              <w:instrText xml:space="preserve"> PAGEREF ch2_end \h </w:instrText>
            </w:r>
            <w:r>
              <w:fldChar w:fldCharType="separate"/>
            </w:r>
            <w:r>
              <w:rPr>
                <w:noProof/>
              </w:rPr>
              <w:t>21</w:t>
            </w:r>
            <w:r>
              <w:fldChar w:fldCharType="end"/>
            </w:r>
          </w:p>
        </w:tc>
      </w:tr>
      <w:tr>
        <w:trPr>
          <w:cantSplit/>
          <w:trHeight w:val="1550"/>
          <w:jc w:val="center"/>
        </w:trPr>
        <w:tc>
          <w:tcPr>
            <w:tcW w:w="1575" w:type="dxa"/>
            <w:vAlign w:val="center"/>
          </w:tcPr>
          <w:p>
            <w:pPr>
              <w:spacing w:before="20" w:after="20" w:line="240" w:lineRule="auto"/>
              <w:jc w:val="center"/>
            </w:pPr>
            <w:r>
              <w:rPr>
                <w:b/>
                <w:sz w:val="28"/>
                <w:szCs w:val="28"/>
              </w:rPr>
              <w:t>3</w:t>
            </w:r>
          </w:p>
        </w:tc>
        <w:tc>
          <w:tcPr>
            <w:tcW w:w="5514" w:type="dxa"/>
            <w:vAlign w:val="center"/>
          </w:tcPr>
          <w:p>
            <w:pPr>
              <w:spacing w:before="20" w:after="20" w:line="240" w:lineRule="auto"/>
              <w:jc w:val="center"/>
            </w:pPr>
            <w:r>
              <w:rPr>
                <w:b/>
                <w:sz w:val="28"/>
                <w:szCs w:val="28"/>
              </w:rPr>
              <w:t>COMPARATIVE HR AUDIT AND ANALYSIS</w:t>
            </w:r>
          </w:p>
        </w:tc>
        <w:tc>
          <w:tcPr>
            <w:tcW w:w="1575" w:type="dxa"/>
            <w:vAlign w:val="center"/>
          </w:tcPr>
          <w:p>
            <w:pPr>
              <w:spacing w:before="20" w:after="20" w:line="240" w:lineRule="auto"/>
              <w:jc w:val="center"/>
            </w:pPr>
            <w:r>
              <w:fldChar w:fldCharType="begin"/>
            </w:r>
            <w:r>
              <w:instrText xml:space="preserve"> PAGEREF ch3_start \h </w:instrText>
            </w:r>
            <w:r>
              <w:fldChar w:fldCharType="separate"/>
            </w:r>
            <w:r>
              <w:rPr>
                <w:noProof/>
              </w:rPr>
              <w:t>22</w:t>
            </w:r>
            <w:r>
              <w:fldChar w:fldCharType="end"/>
            </w:r>
            <w:r>
              <w:rPr>
                <w:b/>
                <w:sz w:val="28"/>
                <w:szCs w:val="28"/>
              </w:rPr>
              <w:t>-</w:t>
            </w:r>
            <w:r>
              <w:fldChar w:fldCharType="begin"/>
            </w:r>
            <w:r>
              <w:instrText xml:space="preserve"> PAGEREF ch3_end \h </w:instrText>
            </w:r>
            <w:r>
              <w:fldChar w:fldCharType="separate"/>
            </w:r>
            <w:r>
              <w:rPr>
                <w:noProof/>
              </w:rPr>
              <w:t>41</w:t>
            </w:r>
            <w:r>
              <w:fldChar w:fldCharType="end"/>
            </w:r>
          </w:p>
        </w:tc>
      </w:tr>
      <w:tr>
        <w:trPr>
          <w:cantSplit/>
          <w:trHeight w:val="1550"/>
          <w:jc w:val="center"/>
        </w:trPr>
        <w:tc>
          <w:tcPr>
            <w:tcW w:w="1575" w:type="dxa"/>
            <w:vAlign w:val="center"/>
          </w:tcPr>
          <w:p>
            <w:pPr>
              <w:spacing w:before="20" w:after="20" w:line="240" w:lineRule="auto"/>
              <w:jc w:val="center"/>
            </w:pPr>
            <w:r>
              <w:rPr>
                <w:b/>
                <w:sz w:val="28"/>
                <w:szCs w:val="28"/>
              </w:rPr>
              <w:t>4</w:t>
            </w:r>
          </w:p>
        </w:tc>
        <w:tc>
          <w:tcPr>
            <w:tcW w:w="5514" w:type="dxa"/>
            <w:vAlign w:val="center"/>
          </w:tcPr>
          <w:p>
            <w:pPr>
              <w:spacing w:before="20" w:after="20" w:line="240" w:lineRule="auto"/>
              <w:jc w:val="center"/>
            </w:pPr>
            <w:r>
              <w:rPr>
                <w:b/>
                <w:sz w:val="28"/>
                <w:szCs w:val="28"/>
              </w:rPr>
              <w:t>LEARNING OUTCOMES</w:t>
            </w:r>
          </w:p>
        </w:tc>
        <w:tc>
          <w:tcPr>
            <w:tcW w:w="1575" w:type="dxa"/>
            <w:vAlign w:val="center"/>
          </w:tcPr>
          <w:p>
            <w:pPr>
              <w:spacing w:before="20" w:after="20" w:line="240" w:lineRule="auto"/>
              <w:jc w:val="center"/>
            </w:pPr>
            <w:r>
              <w:fldChar w:fldCharType="begin"/>
            </w:r>
            <w:r>
              <w:instrText xml:space="preserve"> PAGEREF ch4_start \h </w:instrText>
            </w:r>
            <w:r>
              <w:fldChar w:fldCharType="separate"/>
            </w:r>
            <w:r>
              <w:rPr>
                <w:noProof/>
              </w:rPr>
              <w:t>42</w:t>
            </w:r>
            <w:r>
              <w:fldChar w:fldCharType="end"/>
            </w:r>
            <w:r>
              <w:rPr>
                <w:b/>
                <w:sz w:val="28"/>
                <w:szCs w:val="28"/>
              </w:rPr>
              <w:t>-</w:t>
            </w:r>
            <w:r>
              <w:fldChar w:fldCharType="begin"/>
            </w:r>
            <w:r>
              <w:instrText xml:space="preserve"> PAGEREF ch4_end \h </w:instrText>
            </w:r>
            <w:r>
              <w:fldChar w:fldCharType="separate"/>
            </w:r>
            <w:r>
              <w:rPr>
                <w:noProof/>
              </w:rPr>
              <w:t>46</w:t>
            </w:r>
            <w:r>
              <w:fldChar w:fldCharType="end"/>
            </w:r>
          </w:p>
        </w:tc>
      </w:tr>
      <w:tr>
        <w:trPr>
          <w:cantSplit/>
          <w:trHeight w:val="1550"/>
          <w:jc w:val="center"/>
        </w:trPr>
        <w:tc>
          <w:tcPr>
            <w:tcW w:w="1575" w:type="dxa"/>
            <w:vAlign w:val="center"/>
          </w:tcPr>
          <w:p>
            <w:pPr>
              <w:spacing w:before="20" w:after="20" w:line="240" w:lineRule="auto"/>
              <w:jc w:val="center"/>
            </w:pPr>
            <w:r>
              <w:rPr>
                <w:b/>
                <w:sz w:val="28"/>
                <w:szCs w:val="28"/>
              </w:rPr>
              <w:t>5</w:t>
            </w:r>
          </w:p>
        </w:tc>
        <w:tc>
          <w:tcPr>
            <w:tcW w:w="5514" w:type="dxa"/>
            <w:vAlign w:val="center"/>
          </w:tcPr>
          <w:p>
            <w:pPr>
              <w:spacing w:before="20" w:after="20" w:line="240" w:lineRule="auto"/>
              <w:jc w:val="center"/>
            </w:pPr>
            <w:r>
              <w:rPr>
                <w:b/>
                <w:sz w:val="28"/>
                <w:szCs w:val="28"/>
              </w:rPr>
              <w:t>SUMMARY AND CONCLUSION</w:t>
            </w:r>
          </w:p>
        </w:tc>
        <w:tc>
          <w:tcPr>
            <w:tcW w:w="1575" w:type="dxa"/>
            <w:vAlign w:val="center"/>
          </w:tcPr>
          <w:p>
            <w:pPr>
              <w:spacing w:before="20" w:after="20" w:line="240" w:lineRule="auto"/>
              <w:jc w:val="center"/>
            </w:pPr>
            <w:r>
              <w:fldChar w:fldCharType="begin"/>
            </w:r>
            <w:r>
              <w:instrText xml:space="preserve"> PAGEREF ch5_start \h </w:instrText>
            </w:r>
            <w:r>
              <w:fldChar w:fldCharType="separate"/>
            </w:r>
            <w:r>
              <w:rPr>
                <w:noProof/>
              </w:rPr>
              <w:t>47</w:t>
            </w:r>
            <w:r>
              <w:fldChar w:fldCharType="end"/>
            </w:r>
            <w:r>
              <w:rPr>
                <w:b/>
                <w:sz w:val="28"/>
                <w:szCs w:val="28"/>
              </w:rPr>
              <w:t>-</w:t>
            </w:r>
            <w:r>
              <w:fldChar w:fldCharType="begin"/>
            </w:r>
            <w:r>
              <w:instrText xml:space="preserve"> PAGEREF ch5_end \h </w:instrText>
            </w:r>
            <w:r>
              <w:fldChar w:fldCharType="separate"/>
            </w:r>
            <w:r>
              <w:rPr>
                <w:noProof/>
              </w:rPr>
              <w:t>51</w:t>
            </w:r>
            <w:r>
              <w:fldChar w:fldCharType="end"/>
            </w:r>
          </w:p>
        </w:tc>
      </w:tr>
      <w:tr>
        <w:trPr>
          <w:cantSplit/>
          <w:trHeight w:val="1550"/>
          <w:jc w:val="center"/>
        </w:trPr>
        <w:tc>
          <w:tcPr>
            <w:tcW w:w="1575" w:type="dxa"/>
            <w:vAlign w:val="center"/>
          </w:tcPr>
          <w:p>
            <w:pPr>
              <w:spacing w:before="20" w:after="20" w:line="240" w:lineRule="auto"/>
              <w:jc w:val="center"/>
            </w:pPr>
            <w:r>
              <w:rPr>
                <w:b/>
                <w:sz w:val="28"/>
                <w:szCs w:val="28"/>
              </w:rPr>
              <w:t>6</w:t>
            </w:r>
          </w:p>
        </w:tc>
        <w:tc>
          <w:tcPr>
            <w:tcW w:w="5514" w:type="dxa"/>
            <w:vAlign w:val="center"/>
          </w:tcPr>
          <w:p>
            <w:pPr>
              <w:spacing w:before="20" w:after="20" w:line="240" w:lineRule="auto"/>
              <w:jc w:val="center"/>
            </w:pPr>
            <w:r>
              <w:rPr>
                <w:b/>
                <w:sz w:val="28"/>
                <w:szCs w:val="28"/>
              </w:rPr>
              <w:t>REFERENCES</w:t>
            </w:r>
          </w:p>
        </w:tc>
        <w:tc>
          <w:tcPr>
            <w:tcW w:w="1575" w:type="dxa"/>
            <w:vAlign w:val="center"/>
          </w:tcPr>
          <w:p>
            <w:pPr>
              <w:spacing w:before="20" w:after="20" w:line="240" w:lineRule="auto"/>
              <w:jc w:val="center"/>
            </w:pPr>
            <w:r>
              <w:fldChar w:fldCharType="begin"/>
            </w:r>
            <w:r>
              <w:instrText xml:space="preserve"> PAGEREF ch6_start \h </w:instrText>
            </w:r>
            <w:r>
              <w:fldChar w:fldCharType="separate"/>
            </w:r>
            <w:r>
              <w:rPr>
                <w:noProof/>
              </w:rPr>
              <w:t>52</w:t>
            </w:r>
            <w:r>
              <w:fldChar w:fldCharType="end"/>
            </w:r>
            <w:r>
              <w:rPr>
                <w:b/>
                <w:sz w:val="28"/>
                <w:szCs w:val="28"/>
              </w:rPr>
              <w:t>-</w:t>
            </w:r>
            <w:r>
              <w:fldChar w:fldCharType="begin"/>
            </w:r>
            <w:r>
              <w:instrText xml:space="preserve"> PAGEREF ch6_end \h </w:instrText>
            </w:r>
            <w:r>
              <w:fldChar w:fldCharType="separate"/>
            </w:r>
            <w:r>
              <w:rPr>
                <w:noProof/>
              </w:rPr>
              <w:t>56</w:t>
            </w:r>
            <w:r>
              <w:fldChar w:fldCharType="end"/>
            </w:r>
          </w:p>
        </w:tc>
      </w:tr>
    </w:tbl>
    <w:p>
      <w:pPr>
        <w:sectPr>
          <w:pgSz w:w="11906" w:h="16838"/>
          <w:pgMar w:top="1440" w:right="1440" w:bottom="1440" w:left="1800" w:header="720" w:footer="720" w:gutter="0"/>
          <w:cols w:space="720"/>
          <w:docGrid w:linePitch="360"/>
        </w:sectPr>
      </w:pPr>
    </w:p>
    <w:p>
      <w:pPr>
        <w:spacing w:after="0"/>
      </w:pPr>
      <w:bookmarkStart w:id="0" w:name="ch1_start"/>
      <w:bookmarkEnd w:id="0"/>
    </w:p>
    <w:p>
      <w:pPr>
        <w:spacing w:after="0"/>
      </w:pPr>
    </w:p>
    <w:p>
      <w:pPr>
        <w:spacing w:after="0"/>
      </w:pPr>
    </w:p>
    <w:p>
      <w:pPr>
        <w:spacing w:after="0"/>
      </w:pPr>
    </w:p>
    <w:p>
      <w:pPr>
        <w:spacing w:after="0"/>
      </w:pPr>
    </w:p>
    <w:p>
      <w:pPr>
        <w:spacing w:after="0"/>
      </w:pPr>
    </w:p>
    <w:p>
      <w:pPr>
        <w:spacing w:after="0"/>
      </w:pPr>
    </w:p>
    <w:p>
      <w:pPr>
        <w:spacing w:after="0"/>
      </w:pPr>
    </w:p>
    <w:p>
      <w:pPr>
        <w:spacing w:after="0"/>
      </w:pPr>
    </w:p>
    <w:p>
      <w:pPr>
        <w:spacing w:after="0"/>
      </w:pPr>
    </w:p>
    <w:p>
      <w:pPr>
        <w:spacing w:after="0"/>
      </w:pPr>
    </w:p>
    <w:p>
      <w:pPr>
        <w:spacing w:after="0"/>
      </w:pPr>
    </w:p>
    <w:p>
      <w:pPr>
        <w:spacing w:after="0"/>
      </w:pPr>
    </w:p>
    <w:p>
      <w:pPr>
        <w:spacing w:after="240"/>
        <w:jc w:val="center"/>
      </w:pPr>
      <w:r>
        <w:rPr>
          <w:b/>
          <w:sz w:val="32"/>
          <w:szCs w:val="32"/>
        </w:rPr>
        <w:t xml:space="preserve">CHAPTER  1</w:t>
      </w:r>
    </w:p>
    <w:p>
      <w:pPr>
        <w:spacing w:after="0"/>
        <w:jc w:val="center"/>
      </w:pPr>
      <w:r>
        <w:rPr>
          <w:b/>
          <w:sz w:val="32"/>
          <w:szCs w:val="32"/>
        </w:rPr>
        <w:t>INDUSTRY AND COMPANY OVERVIEW</w:t>
      </w:r>
    </w:p>
    <w:p>
      <w:pPr>
        <w:spacing w:after="0" w:line="240" w:lineRule="auto"/>
      </w:pPr>
      <w:r>
        <w:br w:type="page"/>
      </w:r>
    </w:p>
    <w:p>
      <w:pPr>
        <w:keepNext/>
        <w:keepLines/>
        <w:spacing w:after="240"/>
        <w:jc w:val="center"/>
      </w:pPr>
      <w:r>
        <w:rPr>
          <w:b/>
          <w:sz w:val="28"/>
          <w:szCs w:val="28"/>
        </w:rPr>
        <w:t>1. INDUSTRY AND COMPANY OVERVIEW</w:t>
      </w:r>
    </w:p>
    <w:p>
      <w:pPr>
        <w:keepNext/>
        <w:keepLines/>
        <w:spacing w:before="240"/>
        <w:jc w:val="left"/>
      </w:pPr>
      <w:r>
        <w:rPr>
          <w:b/>
          <w:sz w:val="28"/>
          <w:szCs w:val="28"/>
        </w:rPr>
        <w:t xml:space="preserve">1.1  THE CHANGING ROLE OF HUMAN RESOURCE MANAGEMENT IN INDIA</w:t>
      </w:r>
    </w:p>
    <w:p>
      <w:pPr>
        <w:spacing w:after="140"/>
      </w:pPr>
      <w:r>
        <w:t xml:space="preserve">Human resource management in India has moved a long way from its origins in personnel administration, factory welfare and statutory record-keeping. In most large organisations the people function is now expected to act as a strategic partner: to build capability ahead of business need, to shape culture, to protect the employer brand and to keep the talent the business cannot afford to lose. The shift has been driven by three forces acting at the same time: a far more competitive market for skilled people, rapid technological change that makes yesterday’s skills obsolete, and rising expectations from a younger workforce that measures an employer by growth, recognition and well-being as much as by pay.</w:t>
      </w:r>
    </w:p>
    <w:p>
      <w:pPr>
        <w:spacing w:after="140"/>
      </w:pPr>
      <w:r>
        <w:t xml:space="preserve">The regulatory environment has also changed. With effect from 21 November 2025 the Government of India brought the four Labour Codes into force, namely the Code on Wages, 2019, the Industrial Relations Code, 2020, the Code on Social Security, 2020 and the Occupational Safety, Health and Working Conditions Code, 2020, consolidating 29 earlier central labour laws (Press Information Bureau, 2025; The Hindu, 2025). For HR functions this means new definitions of wages, revised compliance on working hours, fixed-term employment and social security, and a renewed focus on safety and working conditions. Every organisation studied in this report is adjusting to the same legal framework, which makes the differences in their people practices all the more revealing.</w:t>
      </w:r>
    </w:p>
    <w:p>
      <w:pPr>
        <w:spacing w:after="140"/>
      </w:pPr>
      <w:r>
        <w:t xml:space="preserve">What this environment has made clear is that there is no single “best” HR system. A manufacturer, a hospital, a software firm and a business-services company all manage people, but the risks they manage, the skills they need and the promises they make to employees are quite different. Studying HR in the abstract can therefore mislead; it is far more instructive to examine how real companies in real sectors design their people practices, and why. That is the purpose of this project.</w:t>
      </w:r>
    </w:p>
    <w:p>
      <w:pPr>
        <w:keepNext/>
        <w:keepLines/>
        <w:spacing w:before="240"/>
        <w:jc w:val="left"/>
      </w:pPr>
      <w:r>
        <w:rPr>
          <w:b/>
          <w:sz w:val="28"/>
          <w:szCs w:val="28"/>
        </w:rPr>
        <w:t xml:space="preserve">1.2  THE INDIAN AUTOMOBILE INDUSTRY</w:t>
      </w:r>
    </w:p>
    <w:p>
      <w:pPr>
        <w:spacing w:after="140"/>
      </w:pPr>
      <w:r>
        <w:t xml:space="preserve">The automobile industry is one of the pillars of the Indian economy. It is estimated to contribute about 7.1 per cent of national GDP and close to 49 per cent of manufacturing GDP, and it accounts for roughly 15 per cent of total GST collections (Climate Policy Initiative, 2026). The Society of Indian Automobile Manufacturers (SIAM) places the sector’s employment at around 30 million jobs, of which about 4.2 million are direct and the rest indirect across component suppliers, dealerships, service and finance (Society of Indian Automobile Manufacturers [SIAM], n.d.).</w:t>
      </w:r>
    </w:p>
    <w:p>
      <w:pPr>
        <w:spacing w:after="140"/>
      </w:pPr>
      <w:r>
        <w:t xml:space="preserve">The industry is also at a record high. Domestic sales across all segments crossed about 2.83 crore units in FY 2025-26, and passenger-vehicle sales rose 7.9 per cent to 46.43 lakh units, the highest ever recorded (ETAuto, 2026; BusinessWorld, 2026). Tamil Nadu, where the principal plant of Hyundai Motor India is located, is among the five largest state markets for passenger vehicles and one of the country’s leading automobile manufacturing clusters.</w:t>
      </w:r>
    </w:p>
    <w:p>
      <w:pPr>
        <w:spacing w:after="140"/>
      </w:pPr>
      <w:r>
        <w:t xml:space="preserve">From an HR point of view, four features of the industry matter most. The first is the </w:t>
      </w:r>
      <w:r>
        <w:rPr>
          <w:b/>
        </w:rPr>
        <w:t xml:space="preserve">nature of work</w:t>
      </w:r>
      <w:r>
        <w:t xml:space="preserve">: production is capital-intensive, shift-based and interdependent, so safety, discipline and standardised processes are non-negotiable. The second is the </w:t>
      </w:r>
      <w:r>
        <w:rPr>
          <w:b/>
        </w:rPr>
        <w:t xml:space="preserve">technology transition</w:t>
      </w:r>
      <w:r>
        <w:t xml:space="preserve">: the move towards electric, connected and software-defined vehicles is forcing large-scale reskilling of engineers, technicians and shop-floor workers. The third is the </w:t>
      </w:r>
      <w:r>
        <w:rPr>
          <w:b/>
        </w:rPr>
        <w:t xml:space="preserve">talent market</w:t>
      </w:r>
      <w:r>
        <w:t xml:space="preserve">: manufacturers compete for scarce engineering, battery, software and design skills, while also managing a large, long-tenure workforce with collective-bargaining arrangements. The fourth is </w:t>
      </w:r>
      <w:r>
        <w:rPr>
          <w:b/>
        </w:rPr>
        <w:t xml:space="preserve">diversity</w:t>
      </w:r>
      <w:r>
        <w:t xml:space="preserve">: shop-floor manufacturing has historically been male-dominated, and most automobile companies are working from a low base of women’s representation.</w:t>
      </w:r>
    </w:p>
    <w:p>
      <w:pPr>
        <w:keepNext/>
        <w:keepLines/>
        <w:spacing w:before="240"/>
        <w:jc w:val="left"/>
      </w:pPr>
      <w:r>
        <w:rPr>
          <w:b/>
          <w:sz w:val="28"/>
          <w:szCs w:val="28"/>
        </w:rPr>
        <w:t xml:space="preserve">1.3  THE HEALTHCARE REVENUE CYCLE MANAGEMENT (RCM) SERVICES INDUSTRY</w:t>
      </w:r>
    </w:p>
    <w:p>
      <w:pPr>
        <w:spacing w:after="140"/>
      </w:pPr>
      <w:r>
        <w:t xml:space="preserve">Healthcare revenue cycle management covers the administrative and financial processes that allow a hospital or physician group to be paid for the care it provides: patient registration, insurance eligibility checks, medical coding, billing, claim submission, denial management and payment posting. Much of this work for United States providers is now delivered from India and other offshore locations. The global healthcare RCM outsourcing market is estimated at about USD 32 billion in 2024 and is projected to reach about USD 108.9 billion by 2033, a compound annual growth rate of roughly 14.6 per cent (Outsource Accelerator, 2026a). Within India, the domestic RCM market was estimated at about USD 5.4 billion in 2025 and is expected to reach USD 15.6 billion by 2034 (IMARC Group, n.d.).</w:t>
      </w:r>
    </w:p>
    <w:p>
      <w:pPr>
        <w:spacing w:after="140"/>
      </w:pPr>
      <w:r>
        <w:t xml:space="preserve">The RCM industry sits within India’s wider technology and business-process management (BPM) sector, which employs a workforce of around 5.8 million people (NASSCOM, as cited in Mihup, 2026). Attrition across the broader technology sector eased to about 14.6 per cent in late 2025 (Outsource Accelerator, 2026b), but frontline process roles have historically recorded far higher voluntary turnover, often in the range of 20 to 30 per cent or more each year (IJPREMS, n.d.).</w:t>
      </w:r>
    </w:p>
    <w:p>
      <w:pPr>
        <w:spacing w:after="140"/>
      </w:pPr>
      <w:r>
        <w:t xml:space="preserve">The HR implications of this industry are very different from those of manufacturing. Work is </w:t>
      </w:r>
      <w:r>
        <w:rPr>
          <w:b/>
        </w:rPr>
        <w:t xml:space="preserve">knowledge-based and digital</w:t>
      </w:r>
      <w:r>
        <w:t xml:space="preserve">, delivered round the clock to match United States time zones. Output is </w:t>
      </w:r>
      <w:r>
        <w:rPr>
          <w:b/>
        </w:rPr>
        <w:t xml:space="preserve">highly measurable at the individual level</w:t>
      </w:r>
      <w:r>
        <w:t xml:space="preserve">, through productivity, accuracy and turnaround metrics. Client contracts carry strict service levels and </w:t>
      </w:r>
      <w:r>
        <w:rPr>
          <w:b/>
        </w:rPr>
        <w:t xml:space="preserve">data-confidentiality obligations</w:t>
      </w:r>
      <w:r>
        <w:t xml:space="preserve"> under United States health-privacy rules, which makes compliance training a core HR activity. Above all, the business depends on </w:t>
      </w:r>
      <w:r>
        <w:rPr>
          <w:b/>
        </w:rPr>
        <w:t xml:space="preserve">retaining trained people</w:t>
      </w:r>
      <w:r>
        <w:t xml:space="preserve">: a medical coder or denial-management analyst takes months to become fully productive, so every early exit is a direct cost. Automation and artificial intelligence are also reshaping the work itself, with the industry increasingly combining AI tools with human expertise.</w:t>
      </w:r>
    </w:p>
    <w:p>
      <w:pPr>
        <w:keepNext/>
        <w:keepLines/>
        <w:spacing w:before="240"/>
        <w:jc w:val="left"/>
      </w:pPr>
      <w:r>
        <w:rPr>
          <w:b/>
          <w:sz w:val="28"/>
          <w:szCs w:val="28"/>
        </w:rPr>
        <w:t xml:space="preserve">1.4  COMPANY OVERVIEW: HYUNDAI MOTOR INDIA LIMITED</w:t>
      </w:r>
    </w:p>
    <w:p>
      <w:pPr>
        <w:keepNext/>
        <w:keepLines/>
        <w:spacing w:before="180" w:after="100"/>
        <w:jc w:val="left"/>
      </w:pPr>
      <w:r>
        <w:rPr>
          <w:b/>
        </w:rPr>
        <w:t xml:space="preserve">1.4.1  BACKGROUND AND OPERATIONS</w:t>
      </w:r>
    </w:p>
    <w:p>
      <w:pPr>
        <w:spacing w:after="140"/>
      </w:pPr>
      <w:r>
        <w:t xml:space="preserve">Hyundai Motor India Limited (HMIL) is the Indian subsidiary of the South Korean Hyundai Motor Company and one of India’s largest passenger-vehicle manufacturers and exporters. The company celebrated its 30th Foundation Day on 6 May 2026, by which time it had sold about 13.5 million vehicles since inception (Hyundai Motor India Limited, 2026a). Its registered office and principal manufacturing base is at the SIPCOT Industrial Park, Irungattukottai, Sriperumbudur, near Chennai, and its corporate office is in Gurugram.</w:t>
      </w:r>
    </w:p>
    <w:p>
      <w:pPr>
        <w:spacing w:after="140"/>
      </w:pPr>
      <w:r>
        <w:t xml:space="preserve">The company has been expanding its manufacturing footprint. Passenger-vehicle production commenced at its new Talegaon plant in Maharashtra, acquired from General Motors, on 1 October 2025 with an installed annual capacity of 1,70,000 units (Hyundai Motor India Limited, 2025a). In October 2024 HMIL completed one of the largest initial public offerings in Indian corporate history, a step that has intensified its focus on governance, disclosure and long-term leadership development. Its executive workforce stands at over 4,000 employees, alongside a large associate workforce on the shop floor (Hyundai Motor India Limited, 2026b).</w:t>
      </w:r>
    </w:p>
    <w:p>
      <w:pPr>
        <w:keepNext/>
        <w:keepLines/>
        <w:spacing w:before="180" w:after="100"/>
        <w:jc w:val="left"/>
      </w:pPr>
      <w:r>
        <w:rPr>
          <w:b/>
        </w:rPr>
        <w:t xml:space="preserve">1.4.2  THE HR FUNCTION AND PEOPLE PHILOSOPHY</w:t>
      </w:r>
    </w:p>
    <w:p>
      <w:pPr>
        <w:spacing w:after="140"/>
      </w:pPr>
      <w:r>
        <w:t xml:space="preserve">Hyundai’s people agenda operates under the group’s purpose statement, “Progress for Humanity”. Its most visible recent initiative is the move to a </w:t>
      </w:r>
      <w:r>
        <w:rPr>
          <w:b/>
        </w:rPr>
        <w:t xml:space="preserve">Role-Based Organisation</w:t>
      </w:r>
      <w:r>
        <w:t xml:space="preserve">, implemented with Deloitte India, which aims to create leaner responsibility levels, agile work networks and more fluid career streams (ETHRWorld, 2023). Learning is organised through a family of academies and regional training centres, and during FY 2025-26 the company trained 49,310 employees, dealer personnel and technicians through eight Regional Learning Centres, 15 Technical Training Academies and six Bodyshop Academies (ETHRWorld, 2026).</w:t>
      </w:r>
    </w:p>
    <w:p>
      <w:pPr>
        <w:spacing w:after="140"/>
      </w:pPr>
      <w:r>
        <w:t xml:space="preserve">External recognition has followed. In 2026 HMIL was certified as a Top Employer in India by the Top Employers Institute for the third consecutive year, ranking first in the automobile sector and fourth across all industries (Hyundai Motor India Limited, 2026c).</w:t>
      </w:r>
    </w:p>
    <w:p>
      <w:pPr>
        <w:keepNext/>
        <w:keepLines/>
        <w:spacing w:before="240"/>
        <w:jc w:val="left"/>
      </w:pPr>
      <w:r>
        <w:rPr>
          <w:b/>
          <w:sz w:val="28"/>
          <w:szCs w:val="28"/>
        </w:rPr>
        <w:t xml:space="preserve">1.5  COMPANY OVERVIEW: OMEGA HEALTHCARE MANAGEMENT SERVICES</w:t>
      </w:r>
    </w:p>
    <w:p>
      <w:pPr>
        <w:keepNext/>
        <w:keepLines/>
        <w:spacing w:before="180" w:after="100"/>
        <w:jc w:val="left"/>
      </w:pPr>
      <w:r>
        <w:rPr>
          <w:b/>
        </w:rPr>
        <w:t xml:space="preserve">1.5.1  BACKGROUND AND OPERATIONS</w:t>
      </w:r>
    </w:p>
    <w:p>
      <w:pPr>
        <w:spacing w:after="140"/>
      </w:pPr>
      <w:r>
        <w:t xml:space="preserve">Omega Healthcare Management Services was co-founded in 2003 and has grown into a leading global provider of healthcare revenue cycle management, medical coding and related clinical and administrative support services. It now describes itself as an AI-driven healthcare solutions company and serves more than 350 healthcare organisations with over 35,000 employees across the United States, India, Colombia and the Philippines, in about eleven cities (Omega Healthcare Management Services, n.d.-a; n.d.-b). Its large Indian delivery presence includes Chennai, Bengaluru, Tiruchirappalli and Hyderabad.</w:t>
      </w:r>
    </w:p>
    <w:p>
      <w:pPr>
        <w:spacing w:after="140"/>
      </w:pPr>
      <w:r>
        <w:t xml:space="preserve">The company is privately held, and its clients are United States hospitals, physician groups, payers and life-science firms, which means accuracy, confidentiality and service continuity are paramount. Its operational standing is reflected in industry recognition: it was named a “Leader” and the only “Star Performer” in the Everest Group RCM Operations PEAK Matrix 2026, a position it has held as Leader since 2017, and it received the 2026 Best in KLAS award for Ambulatory RCM Services (Omega Healthcare Management Services, 2026a; 2026b).</w:t>
      </w:r>
    </w:p>
    <w:p>
      <w:pPr>
        <w:keepNext/>
        <w:keepLines/>
        <w:spacing w:before="180" w:after="100"/>
        <w:jc w:val="left"/>
      </w:pPr>
      <w:r>
        <w:rPr>
          <w:b/>
        </w:rPr>
        <w:t xml:space="preserve">1.5.2  THE HR FUNCTION AND PEOPLE PHILOSOPHY</w:t>
      </w:r>
    </w:p>
    <w:p>
      <w:pPr>
        <w:spacing w:after="140"/>
      </w:pPr>
      <w:r>
        <w:t xml:space="preserve">Because it operates in an industry historically associated with high attrition, Omega has made retention and employee experience central to its strategy. Its distinctive practices include the </w:t>
      </w:r>
      <w:r>
        <w:rPr>
          <w:b/>
        </w:rPr>
        <w:t xml:space="preserve">Golden Brick</w:t>
      </w:r>
      <w:r>
        <w:t xml:space="preserve"> long-service awards, the </w:t>
      </w:r>
      <w:r>
        <w:rPr>
          <w:b/>
        </w:rPr>
        <w:t xml:space="preserve">Omega Career Lattice</w:t>
      </w:r>
      <w:r>
        <w:t xml:space="preserve">, which supports lateral and diagonal moves, and a </w:t>
      </w:r>
      <w:r>
        <w:rPr>
          <w:b/>
        </w:rPr>
        <w:t xml:space="preserve">Performance-Based Quarterly Merit Increase</w:t>
      </w:r>
      <w:r>
        <w:t xml:space="preserve"> for frontline employees (HRKatha, n.d.). The company has been named the “Most Preferred Workplace for Women 2024-2025” and has been recognised by Invest in Bogotá for its people practices (Omega Healthcare Management Services, 2024; n.d.-b).</w:t>
      </w:r>
    </w:p>
    <w:p>
      <w:pPr>
        <w:keepNext/>
        <w:keepLines/>
        <w:spacing w:before="240"/>
        <w:jc w:val="left"/>
      </w:pPr>
      <w:r>
        <w:rPr>
          <w:b/>
          <w:sz w:val="28"/>
          <w:szCs w:val="28"/>
        </w:rPr>
        <w:t xml:space="preserve">1.6  THE TWO ORGANISATIONS AT A GLANCE</w:t>
      </w:r>
    </w:p>
    <w:p>
      <w:pPr>
        <w:spacing w:after="140"/>
      </w:pPr>
      <w:r>
        <w:t xml:space="preserve">The table below summarises the basic profile of the two organisations selected for the audit.</w:t>
      </w:r>
    </w:p>
    <w:tbl>
      <w:tblPr>
        <w:tblStyle w:val="TableGrid"/>
        <w:tblW w:w="8666" w:type="dxa"/>
        <w:tblInd w:w="0" w:type="dxa"/>
        <w:tblLayout w:type="fixed"/>
        <w:tblCellMar>
          <w:top w:w="60" w:type="dxa"/>
          <w:left w:w="108" w:type="dxa"/>
          <w:bottom w:w="60" w:type="dxa"/>
          <w:right w:w="108" w:type="dxa"/>
        </w:tblCellMar>
        <w:tblLook w:val="04A0" w:firstRow="1" w:lastRow="0" w:firstColumn="1" w:lastColumn="0" w:noHBand="0" w:noVBand="1"/>
      </w:tblPr>
      <w:tblGrid>
        <w:gridCol w:w="2000"/>
        <w:gridCol w:w="3333"/>
        <w:gridCol w:w="3333"/>
      </w:tblGrid>
      <w:tr>
        <w:trPr>
          <w:cantSplit/>
          <w:tblHeader/>
        </w:trPr>
        <w:tc>
          <w:tcPr>
            <w:tcW w:w="2000" w:type="dxa"/>
            <w:vAlign w:val="center"/>
          </w:tcPr>
          <w:p>
            <w:pPr>
              <w:spacing w:before="20" w:after="20" w:line="240" w:lineRule="auto"/>
              <w:jc w:val="center"/>
            </w:pPr>
            <w:r>
              <w:rPr>
                <w:b/>
              </w:rPr>
              <w:t xml:space="preserve">Parameter</w:t>
            </w:r>
          </w:p>
        </w:tc>
        <w:tc>
          <w:tcPr>
            <w:tcW w:w="3333" w:type="dxa"/>
            <w:vAlign w:val="center"/>
          </w:tcPr>
          <w:p>
            <w:pPr>
              <w:spacing w:before="20" w:after="20" w:line="240" w:lineRule="auto"/>
              <w:jc w:val="center"/>
            </w:pPr>
            <w:r>
              <w:rPr>
                <w:b/>
              </w:rPr>
              <w:t xml:space="preserve">Hyundai Motor India Limited</w:t>
            </w:r>
          </w:p>
        </w:tc>
        <w:tc>
          <w:tcPr>
            <w:tcW w:w="3333" w:type="dxa"/>
            <w:vAlign w:val="center"/>
          </w:tcPr>
          <w:p>
            <w:pPr>
              <w:spacing w:before="20" w:after="20" w:line="240" w:lineRule="auto"/>
              <w:jc w:val="center"/>
            </w:pPr>
            <w:r>
              <w:rPr>
                <w:b/>
              </w:rPr>
              <w:t xml:space="preserve">Omega Healthcare</w:t>
            </w:r>
          </w:p>
        </w:tc>
      </w:tr>
      <w:tr>
        <w:trPr>
          <w:cantSplit/>
        </w:trPr>
        <w:tc>
          <w:tcPr>
            <w:tcW w:w="2000" w:type="dxa"/>
            <w:vAlign w:val="center"/>
          </w:tcPr>
          <w:p>
            <w:pPr>
              <w:spacing w:before="20" w:after="20" w:line="240" w:lineRule="auto"/>
              <w:jc w:val="left"/>
            </w:pPr>
            <w:r>
              <w:t xml:space="preserve">Sector</w:t>
            </w:r>
          </w:p>
        </w:tc>
        <w:tc>
          <w:tcPr>
            <w:tcW w:w="3333" w:type="dxa"/>
            <w:vAlign w:val="center"/>
          </w:tcPr>
          <w:p>
            <w:pPr>
              <w:spacing w:before="20" w:after="20" w:line="240" w:lineRule="auto"/>
              <w:jc w:val="left"/>
            </w:pPr>
            <w:r>
              <w:t xml:space="preserve">Automobile manufacturing (passenger vehicles)</w:t>
            </w:r>
          </w:p>
        </w:tc>
        <w:tc>
          <w:tcPr>
            <w:tcW w:w="3333" w:type="dxa"/>
            <w:vAlign w:val="center"/>
          </w:tcPr>
          <w:p>
            <w:pPr>
              <w:spacing w:before="20" w:after="20" w:line="240" w:lineRule="auto"/>
              <w:jc w:val="left"/>
            </w:pPr>
            <w:r>
              <w:t xml:space="preserve">Healthcare revenue cycle management and business services</w:t>
            </w:r>
          </w:p>
        </w:tc>
      </w:tr>
      <w:tr>
        <w:trPr>
          <w:cantSplit/>
        </w:trPr>
        <w:tc>
          <w:tcPr>
            <w:tcW w:w="2000" w:type="dxa"/>
            <w:vAlign w:val="center"/>
          </w:tcPr>
          <w:p>
            <w:pPr>
              <w:spacing w:before="20" w:after="20" w:line="240" w:lineRule="auto"/>
              <w:jc w:val="left"/>
            </w:pPr>
            <w:r>
              <w:t xml:space="preserve">Established in India</w:t>
            </w:r>
          </w:p>
        </w:tc>
        <w:tc>
          <w:tcPr>
            <w:tcW w:w="3333" w:type="dxa"/>
            <w:vAlign w:val="center"/>
          </w:tcPr>
          <w:p>
            <w:pPr>
              <w:spacing w:before="20" w:after="20" w:line="240" w:lineRule="auto"/>
              <w:jc w:val="left"/>
            </w:pPr>
            <w:r>
              <w:t xml:space="preserve">1996</w:t>
            </w:r>
          </w:p>
        </w:tc>
        <w:tc>
          <w:tcPr>
            <w:tcW w:w="3333" w:type="dxa"/>
            <w:vAlign w:val="center"/>
          </w:tcPr>
          <w:p>
            <w:pPr>
              <w:spacing w:before="20" w:after="20" w:line="240" w:lineRule="auto"/>
              <w:jc w:val="left"/>
            </w:pPr>
            <w:r>
              <w:t xml:space="preserve">2003</w:t>
            </w:r>
          </w:p>
        </w:tc>
      </w:tr>
      <w:tr>
        <w:trPr>
          <w:cantSplit/>
        </w:trPr>
        <w:tc>
          <w:tcPr>
            <w:tcW w:w="2000" w:type="dxa"/>
            <w:vAlign w:val="center"/>
          </w:tcPr>
          <w:p>
            <w:pPr>
              <w:spacing w:before="20" w:after="20" w:line="240" w:lineRule="auto"/>
              <w:jc w:val="left"/>
            </w:pPr>
            <w:r>
              <w:t xml:space="preserve">Ownership</w:t>
            </w:r>
          </w:p>
        </w:tc>
        <w:tc>
          <w:tcPr>
            <w:tcW w:w="3333" w:type="dxa"/>
            <w:vAlign w:val="center"/>
          </w:tcPr>
          <w:p>
            <w:pPr>
              <w:spacing w:before="20" w:after="20" w:line="240" w:lineRule="auto"/>
              <w:jc w:val="left"/>
            </w:pPr>
            <w:r>
              <w:t xml:space="preserve">Listed on Indian stock exchanges since October 2024; subsidiary of Hyundai Motor Company</w:t>
            </w:r>
          </w:p>
        </w:tc>
        <w:tc>
          <w:tcPr>
            <w:tcW w:w="3333" w:type="dxa"/>
            <w:vAlign w:val="center"/>
          </w:tcPr>
          <w:p>
            <w:pPr>
              <w:spacing w:before="20" w:after="20" w:line="240" w:lineRule="auto"/>
              <w:jc w:val="left"/>
            </w:pPr>
            <w:r>
              <w:t xml:space="preserve">Privately held</w:t>
            </w:r>
          </w:p>
        </w:tc>
      </w:tr>
      <w:tr>
        <w:trPr>
          <w:cantSplit/>
        </w:trPr>
        <w:tc>
          <w:tcPr>
            <w:tcW w:w="2000" w:type="dxa"/>
            <w:vAlign w:val="center"/>
          </w:tcPr>
          <w:p>
            <w:pPr>
              <w:spacing w:before="20" w:after="20" w:line="240" w:lineRule="auto"/>
              <w:jc w:val="left"/>
            </w:pPr>
            <w:r>
              <w:t xml:space="preserve">Workforce</w:t>
            </w:r>
          </w:p>
        </w:tc>
        <w:tc>
          <w:tcPr>
            <w:tcW w:w="3333" w:type="dxa"/>
            <w:vAlign w:val="center"/>
          </w:tcPr>
          <w:p>
            <w:pPr>
              <w:spacing w:before="20" w:after="20" w:line="240" w:lineRule="auto"/>
              <w:jc w:val="left"/>
            </w:pPr>
            <w:r>
              <w:t xml:space="preserve">Over 4,000 executives plus a large shop-floor associate workforce</w:t>
            </w:r>
          </w:p>
        </w:tc>
        <w:tc>
          <w:tcPr>
            <w:tcW w:w="3333" w:type="dxa"/>
            <w:vAlign w:val="center"/>
          </w:tcPr>
          <w:p>
            <w:pPr>
              <w:spacing w:before="20" w:after="20" w:line="240" w:lineRule="auto"/>
              <w:jc w:val="left"/>
            </w:pPr>
            <w:r>
              <w:t xml:space="preserve">More than 35,000 employees</w:t>
            </w:r>
          </w:p>
        </w:tc>
      </w:tr>
      <w:tr>
        <w:trPr>
          <w:cantSplit/>
        </w:trPr>
        <w:tc>
          <w:tcPr>
            <w:tcW w:w="2000" w:type="dxa"/>
            <w:vAlign w:val="center"/>
          </w:tcPr>
          <w:p>
            <w:pPr>
              <w:spacing w:before="20" w:after="20" w:line="240" w:lineRule="auto"/>
              <w:jc w:val="left"/>
            </w:pPr>
            <w:r>
              <w:t xml:space="preserve">Key locations</w:t>
            </w:r>
          </w:p>
        </w:tc>
        <w:tc>
          <w:tcPr>
            <w:tcW w:w="3333" w:type="dxa"/>
            <w:vAlign w:val="center"/>
          </w:tcPr>
          <w:p>
            <w:pPr>
              <w:spacing w:before="20" w:after="20" w:line="240" w:lineRule="auto"/>
              <w:jc w:val="left"/>
            </w:pPr>
            <w:r>
              <w:t xml:space="preserve">Sriperumbudur (Tamil Nadu), Talegaon (Maharashtra), Gurugram</w:t>
            </w:r>
          </w:p>
        </w:tc>
        <w:tc>
          <w:tcPr>
            <w:tcW w:w="3333" w:type="dxa"/>
            <w:vAlign w:val="center"/>
          </w:tcPr>
          <w:p>
            <w:pPr>
              <w:spacing w:before="20" w:after="20" w:line="240" w:lineRule="auto"/>
              <w:jc w:val="left"/>
            </w:pPr>
            <w:r>
              <w:t xml:space="preserve">Chennai, Bengaluru, Tiruchirappalli, Hyderabad; United States, Colombia, Philippines</w:t>
            </w:r>
          </w:p>
        </w:tc>
      </w:tr>
      <w:tr>
        <w:trPr>
          <w:cantSplit/>
        </w:trPr>
        <w:tc>
          <w:tcPr>
            <w:tcW w:w="2000" w:type="dxa"/>
            <w:vAlign w:val="center"/>
          </w:tcPr>
          <w:p>
            <w:pPr>
              <w:spacing w:before="20" w:after="20" w:line="240" w:lineRule="auto"/>
              <w:jc w:val="left"/>
            </w:pPr>
            <w:r>
              <w:t xml:space="preserve">Core workforce</w:t>
            </w:r>
          </w:p>
        </w:tc>
        <w:tc>
          <w:tcPr>
            <w:tcW w:w="3333" w:type="dxa"/>
            <w:vAlign w:val="center"/>
          </w:tcPr>
          <w:p>
            <w:pPr>
              <w:spacing w:before="20" w:after="20" w:line="240" w:lineRule="auto"/>
              <w:jc w:val="left"/>
            </w:pPr>
            <w:r>
              <w:t xml:space="preserve">Engineers, technicians, shop-floor operators, designers</w:t>
            </w:r>
          </w:p>
        </w:tc>
        <w:tc>
          <w:tcPr>
            <w:tcW w:w="3333" w:type="dxa"/>
            <w:vAlign w:val="center"/>
          </w:tcPr>
          <w:p>
            <w:pPr>
              <w:spacing w:before="20" w:after="20" w:line="240" w:lineRule="auto"/>
              <w:jc w:val="left"/>
            </w:pPr>
            <w:r>
              <w:t xml:space="preserve">Medical coders, billing and RCM analysts, quality specialists</w:t>
            </w:r>
          </w:p>
        </w:tc>
      </w:tr>
      <w:tr>
        <w:trPr>
          <w:cantSplit/>
        </w:trPr>
        <w:tc>
          <w:tcPr>
            <w:tcW w:w="2000" w:type="dxa"/>
            <w:vAlign w:val="center"/>
          </w:tcPr>
          <w:p>
            <w:pPr>
              <w:spacing w:before="20" w:after="20" w:line="240" w:lineRule="auto"/>
              <w:jc w:val="left"/>
            </w:pPr>
            <w:r>
              <w:t xml:space="preserve">Headline people recognition</w:t>
            </w:r>
          </w:p>
        </w:tc>
        <w:tc>
          <w:tcPr>
            <w:tcW w:w="3333" w:type="dxa"/>
            <w:vAlign w:val="center"/>
          </w:tcPr>
          <w:p>
            <w:pPr>
              <w:spacing w:before="20" w:after="20" w:line="240" w:lineRule="auto"/>
              <w:jc w:val="left"/>
            </w:pPr>
            <w:r>
              <w:t xml:space="preserve">Top Employer India 2026 (3rd year; #1 in auto sector)</w:t>
            </w:r>
          </w:p>
        </w:tc>
        <w:tc>
          <w:tcPr>
            <w:tcW w:w="3333" w:type="dxa"/>
            <w:vAlign w:val="center"/>
          </w:tcPr>
          <w:p>
            <w:pPr>
              <w:spacing w:before="20" w:after="20" w:line="240" w:lineRule="auto"/>
              <w:jc w:val="left"/>
            </w:pPr>
            <w:r>
              <w:t xml:space="preserve">Most Preferred Workplace for Women 2024-25; Invest in Bogotá recognition</w:t>
            </w:r>
          </w:p>
        </w:tc>
      </w:tr>
    </w:tbl>
    <w:p>
      <w:pPr>
        <w:spacing w:after="140"/>
      </w:pPr>
    </w:p>
    <w:p>
      <w:pPr>
        <w:keepNext/>
        <w:keepLines/>
        <w:spacing w:before="240"/>
        <w:jc w:val="left"/>
      </w:pPr>
      <w:r>
        <w:rPr>
          <w:b/>
          <w:sz w:val="28"/>
          <w:szCs w:val="28"/>
        </w:rPr>
        <w:t xml:space="preserve">1.7  WHY THESE TWO SECTORS?</w:t>
      </w:r>
    </w:p>
    <w:p>
      <w:pPr>
        <w:spacing w:after="140"/>
      </w:pPr>
      <w:r>
        <w:t xml:space="preserve">Placing an automobile manufacturer beside a healthcare-services provider is a deliberate choice. The two sectors differ on precisely the variables that most strongly shape HR strategy, and those differences are summarised below. As the audit in Chapter 3 shows, almost every difference in the two companies’ practices can be traced back to one or more of these structural factors.</w:t>
      </w:r>
    </w:p>
    <w:tbl>
      <w:tblPr>
        <w:tblStyle w:val="TableGrid"/>
        <w:tblW w:w="8666" w:type="dxa"/>
        <w:tblInd w:w="0" w:type="dxa"/>
        <w:tblLayout w:type="fixed"/>
        <w:tblCellMar>
          <w:top w:w="60" w:type="dxa"/>
          <w:left w:w="108" w:type="dxa"/>
          <w:bottom w:w="60" w:type="dxa"/>
          <w:right w:w="108" w:type="dxa"/>
        </w:tblCellMar>
        <w:tblLook w:val="04A0" w:firstRow="1" w:lastRow="0" w:firstColumn="1" w:lastColumn="0" w:noHBand="0" w:noVBand="1"/>
      </w:tblPr>
      <w:tblGrid>
        <w:gridCol w:w="2166"/>
        <w:gridCol w:w="3250"/>
        <w:gridCol w:w="3250"/>
      </w:tblGrid>
      <w:tr>
        <w:trPr>
          <w:cantSplit/>
          <w:tblHeader/>
        </w:trPr>
        <w:tc>
          <w:tcPr>
            <w:tcW w:w="2166" w:type="dxa"/>
            <w:vAlign w:val="center"/>
          </w:tcPr>
          <w:p>
            <w:pPr>
              <w:spacing w:before="20" w:after="20" w:line="240" w:lineRule="auto"/>
              <w:jc w:val="center"/>
            </w:pPr>
            <w:r>
              <w:rPr>
                <w:b/>
              </w:rPr>
              <w:t xml:space="preserve">Structural Factor</w:t>
            </w:r>
          </w:p>
        </w:tc>
        <w:tc>
          <w:tcPr>
            <w:tcW w:w="3250" w:type="dxa"/>
            <w:vAlign w:val="center"/>
          </w:tcPr>
          <w:p>
            <w:pPr>
              <w:spacing w:before="20" w:after="20" w:line="240" w:lineRule="auto"/>
              <w:jc w:val="center"/>
            </w:pPr>
            <w:r>
              <w:rPr>
                <w:b/>
              </w:rPr>
              <w:t xml:space="preserve">Hyundai (Automobile)</w:t>
            </w:r>
          </w:p>
        </w:tc>
        <w:tc>
          <w:tcPr>
            <w:tcW w:w="3250" w:type="dxa"/>
            <w:vAlign w:val="center"/>
          </w:tcPr>
          <w:p>
            <w:pPr>
              <w:spacing w:before="20" w:after="20" w:line="240" w:lineRule="auto"/>
              <w:jc w:val="center"/>
            </w:pPr>
            <w:r>
              <w:rPr>
                <w:b/>
              </w:rPr>
              <w:t xml:space="preserve">Omega (Healthcare Services)</w:t>
            </w:r>
          </w:p>
        </w:tc>
      </w:tr>
      <w:tr>
        <w:trPr>
          <w:cantSplit/>
        </w:trPr>
        <w:tc>
          <w:tcPr>
            <w:tcW w:w="2166" w:type="dxa"/>
            <w:vAlign w:val="center"/>
          </w:tcPr>
          <w:p>
            <w:pPr>
              <w:spacing w:before="20" w:after="20" w:line="240" w:lineRule="auto"/>
              <w:jc w:val="left"/>
            </w:pPr>
            <w:r>
              <w:t xml:space="preserve">Nature of output</w:t>
            </w:r>
          </w:p>
        </w:tc>
        <w:tc>
          <w:tcPr>
            <w:tcW w:w="3250" w:type="dxa"/>
            <w:vAlign w:val="center"/>
          </w:tcPr>
          <w:p>
            <w:pPr>
              <w:spacing w:before="20" w:after="20" w:line="240" w:lineRule="auto"/>
              <w:jc w:val="left"/>
            </w:pPr>
            <w:r>
              <w:t xml:space="preserve">Physical products made on capital-intensive assembly lines</w:t>
            </w:r>
          </w:p>
        </w:tc>
        <w:tc>
          <w:tcPr>
            <w:tcW w:w="3250" w:type="dxa"/>
            <w:vAlign w:val="center"/>
          </w:tcPr>
          <w:p>
            <w:pPr>
              <w:spacing w:before="20" w:after="20" w:line="240" w:lineRule="auto"/>
              <w:jc w:val="left"/>
            </w:pPr>
            <w:r>
              <w:t xml:space="preserve">Knowledge-based services delivered digitally to overseas clients</w:t>
            </w:r>
          </w:p>
        </w:tc>
      </w:tr>
      <w:tr>
        <w:trPr>
          <w:cantSplit/>
        </w:trPr>
        <w:tc>
          <w:tcPr>
            <w:tcW w:w="2166" w:type="dxa"/>
            <w:vAlign w:val="center"/>
          </w:tcPr>
          <w:p>
            <w:pPr>
              <w:spacing w:before="20" w:after="20" w:line="240" w:lineRule="auto"/>
              <w:jc w:val="left"/>
            </w:pPr>
            <w:r>
              <w:t xml:space="preserve">Core workforce</w:t>
            </w:r>
          </w:p>
        </w:tc>
        <w:tc>
          <w:tcPr>
            <w:tcW w:w="3250" w:type="dxa"/>
            <w:vAlign w:val="center"/>
          </w:tcPr>
          <w:p>
            <w:pPr>
              <w:spacing w:before="20" w:after="20" w:line="240" w:lineRule="auto"/>
              <w:jc w:val="left"/>
            </w:pPr>
            <w:r>
              <w:t xml:space="preserve">Engineers, skilled technicians, shop-floor operators</w:t>
            </w:r>
          </w:p>
        </w:tc>
        <w:tc>
          <w:tcPr>
            <w:tcW w:w="3250" w:type="dxa"/>
            <w:vAlign w:val="center"/>
          </w:tcPr>
          <w:p>
            <w:pPr>
              <w:spacing w:before="20" w:after="20" w:line="240" w:lineRule="auto"/>
              <w:jc w:val="left"/>
            </w:pPr>
            <w:r>
              <w:t xml:space="preserve">Medical coders, billing and RCM analysts, process specialists</w:t>
            </w:r>
          </w:p>
        </w:tc>
      </w:tr>
      <w:tr>
        <w:trPr>
          <w:cantSplit/>
        </w:trPr>
        <w:tc>
          <w:tcPr>
            <w:tcW w:w="2166" w:type="dxa"/>
            <w:vAlign w:val="center"/>
          </w:tcPr>
          <w:p>
            <w:pPr>
              <w:spacing w:before="20" w:after="20" w:line="240" w:lineRule="auto"/>
              <w:jc w:val="left"/>
            </w:pPr>
            <w:r>
              <w:t xml:space="preserve">Dominant risk</w:t>
            </w:r>
          </w:p>
        </w:tc>
        <w:tc>
          <w:tcPr>
            <w:tcW w:w="3250" w:type="dxa"/>
            <w:vAlign w:val="center"/>
          </w:tcPr>
          <w:p>
            <w:pPr>
              <w:spacing w:before="20" w:after="20" w:line="240" w:lineRule="auto"/>
              <w:jc w:val="left"/>
            </w:pPr>
            <w:r>
              <w:t xml:space="preserve">Safety, product quality and the EV technology shift</w:t>
            </w:r>
          </w:p>
        </w:tc>
        <w:tc>
          <w:tcPr>
            <w:tcW w:w="3250" w:type="dxa"/>
            <w:vAlign w:val="center"/>
          </w:tcPr>
          <w:p>
            <w:pPr>
              <w:spacing w:before="20" w:after="20" w:line="240" w:lineRule="auto"/>
              <w:jc w:val="left"/>
            </w:pPr>
            <w:r>
              <w:t xml:space="preserve">Data confidentiality, client service levels and attrition</w:t>
            </w:r>
          </w:p>
        </w:tc>
      </w:tr>
      <w:tr>
        <w:trPr>
          <w:cantSplit/>
        </w:trPr>
        <w:tc>
          <w:tcPr>
            <w:tcW w:w="2166" w:type="dxa"/>
            <w:vAlign w:val="center"/>
          </w:tcPr>
          <w:p>
            <w:pPr>
              <w:spacing w:before="20" w:after="20" w:line="240" w:lineRule="auto"/>
              <w:jc w:val="left"/>
            </w:pPr>
            <w:r>
              <w:t xml:space="preserve">Talent-market pressure</w:t>
            </w:r>
          </w:p>
        </w:tc>
        <w:tc>
          <w:tcPr>
            <w:tcW w:w="3250" w:type="dxa"/>
            <w:vAlign w:val="center"/>
          </w:tcPr>
          <w:p>
            <w:pPr>
              <w:spacing w:before="20" w:after="20" w:line="240" w:lineRule="auto"/>
              <w:jc w:val="left"/>
            </w:pPr>
            <w:r>
              <w:t xml:space="preserve">Competition for scarce engineering and EV skills</w:t>
            </w:r>
          </w:p>
        </w:tc>
        <w:tc>
          <w:tcPr>
            <w:tcW w:w="3250" w:type="dxa"/>
            <w:vAlign w:val="center"/>
          </w:tcPr>
          <w:p>
            <w:pPr>
              <w:spacing w:before="20" w:after="20" w:line="240" w:lineRule="auto"/>
              <w:jc w:val="left"/>
            </w:pPr>
            <w:r>
              <w:t xml:space="preserve">High-volume hiring and the constant threat of churn</w:t>
            </w:r>
          </w:p>
        </w:tc>
      </w:tr>
      <w:tr>
        <w:trPr>
          <w:cantSplit/>
        </w:trPr>
        <w:tc>
          <w:tcPr>
            <w:tcW w:w="2166" w:type="dxa"/>
            <w:vAlign w:val="center"/>
          </w:tcPr>
          <w:p>
            <w:pPr>
              <w:spacing w:before="20" w:after="20" w:line="240" w:lineRule="auto"/>
              <w:jc w:val="left"/>
            </w:pPr>
            <w:r>
              <w:t xml:space="preserve">Work pattern</w:t>
            </w:r>
          </w:p>
        </w:tc>
        <w:tc>
          <w:tcPr>
            <w:tcW w:w="3250" w:type="dxa"/>
            <w:vAlign w:val="center"/>
          </w:tcPr>
          <w:p>
            <w:pPr>
              <w:spacing w:before="20" w:after="20" w:line="240" w:lineRule="auto"/>
              <w:jc w:val="left"/>
            </w:pPr>
            <w:r>
              <w:t xml:space="preserve">Structured shifts, plant-based, long production cycles</w:t>
            </w:r>
          </w:p>
        </w:tc>
        <w:tc>
          <w:tcPr>
            <w:tcW w:w="3250" w:type="dxa"/>
            <w:vAlign w:val="center"/>
          </w:tcPr>
          <w:p>
            <w:pPr>
              <w:spacing w:before="20" w:after="20" w:line="240" w:lineRule="auto"/>
              <w:jc w:val="left"/>
            </w:pPr>
            <w:r>
              <w:t xml:space="preserve">Round-the-clock delivery aligned to US time zones</w:t>
            </w:r>
          </w:p>
        </w:tc>
      </w:tr>
    </w:tbl>
    <w:p>
      <w:pPr>
        <w:spacing w:after="140"/>
      </w:pPr>
    </w:p>
    <w:p>
      <w:pPr>
        <w:keepNext/>
        <w:keepLines/>
        <w:spacing w:before="240"/>
        <w:jc w:val="left"/>
      </w:pPr>
      <w:r>
        <w:rPr>
          <w:b/>
          <w:sz w:val="28"/>
          <w:szCs w:val="28"/>
        </w:rPr>
        <w:t xml:space="preserve">1.8  HR SWOT ANALYSIS</w:t>
      </w:r>
    </w:p>
    <w:p>
      <w:pPr>
        <w:spacing w:after="140"/>
      </w:pPr>
      <w:r>
        <w:t xml:space="preserve">The following SWOT analysis is my own assessment of each organisation’s people function, based on the secondary evidence gathered for this study. It evaluates HR capability rather than business performance.</w:t>
      </w:r>
    </w:p>
    <w:p>
      <w:pPr>
        <w:keepNext/>
        <w:keepLines/>
        <w:spacing w:before="180" w:after="100"/>
        <w:jc w:val="left"/>
      </w:pPr>
      <w:r>
        <w:rPr>
          <w:b/>
        </w:rPr>
        <w:t xml:space="preserve">1.8.1  HYUNDAI MOTOR INDIA LIMITED</w:t>
      </w:r>
    </w:p>
    <w:tbl>
      <w:tblPr>
        <w:tblStyle w:val="TableGrid"/>
        <w:tblW w:w="8666" w:type="dxa"/>
        <w:tblInd w:w="0" w:type="dxa"/>
        <w:tblLayout w:type="fixed"/>
        <w:tblCellMar>
          <w:top w:w="60" w:type="dxa"/>
          <w:left w:w="108" w:type="dxa"/>
          <w:bottom w:w="60" w:type="dxa"/>
          <w:right w:w="108" w:type="dxa"/>
        </w:tblCellMar>
        <w:tblLook w:val="04A0" w:firstRow="1" w:lastRow="0" w:firstColumn="1" w:lastColumn="0" w:noHBand="0" w:noVBand="1"/>
      </w:tblPr>
      <w:tblGrid>
        <w:gridCol w:w="1800"/>
        <w:gridCol w:w="6866"/>
      </w:tblGrid>
      <w:tr>
        <w:trPr>
          <w:cantSplit/>
          <w:tblHeader/>
        </w:trPr>
        <w:tc>
          <w:tcPr>
            <w:tcW w:w="1800" w:type="dxa"/>
            <w:vAlign w:val="center"/>
          </w:tcPr>
          <w:p>
            <w:pPr>
              <w:spacing w:before="20" w:after="20" w:line="240" w:lineRule="auto"/>
              <w:jc w:val="center"/>
            </w:pPr>
            <w:r>
              <w:rPr>
                <w:b/>
              </w:rPr>
              <w:t xml:space="preserve">Element</w:t>
            </w:r>
          </w:p>
        </w:tc>
        <w:tc>
          <w:tcPr>
            <w:tcW w:w="6866" w:type="dxa"/>
            <w:vAlign w:val="center"/>
          </w:tcPr>
          <w:p>
            <w:pPr>
              <w:spacing w:before="20" w:after="20" w:line="240" w:lineRule="auto"/>
              <w:jc w:val="center"/>
            </w:pPr>
            <w:r>
              <w:rPr>
                <w:b/>
              </w:rPr>
              <w:t xml:space="preserve">Assessment</w:t>
            </w:r>
          </w:p>
        </w:tc>
      </w:tr>
      <w:tr>
        <w:trPr>
          <w:cantSplit/>
        </w:trPr>
        <w:tc>
          <w:tcPr>
            <w:tcW w:w="1800" w:type="dxa"/>
            <w:vAlign w:val="center"/>
          </w:tcPr>
          <w:p>
            <w:pPr>
              <w:spacing w:before="20" w:after="20" w:line="240" w:lineRule="auto"/>
              <w:jc w:val="left"/>
            </w:pPr>
            <w:r>
              <w:t xml:space="preserve">Strengths</w:t>
            </w:r>
          </w:p>
        </w:tc>
        <w:tc>
          <w:tcPr>
            <w:tcW w:w="6866" w:type="dxa"/>
            <w:vAlign w:val="center"/>
          </w:tcPr>
          <w:p>
            <w:pPr>
              <w:spacing w:before="20" w:after="20" w:line="240" w:lineRule="auto"/>
              <w:jc w:val="left"/>
            </w:pPr>
            <w:r>
              <w:t xml:space="preserve">Structured academy-based learning linked to IITs, IIMs and XLRI; Top Employer certification for three consecutive years; low attrition and long tenure; safety-first culture; mentor-supported campus hiring.</w:t>
            </w:r>
          </w:p>
        </w:tc>
      </w:tr>
      <w:tr>
        <w:trPr>
          <w:cantSplit/>
        </w:trPr>
        <w:tc>
          <w:tcPr>
            <w:tcW w:w="1800" w:type="dxa"/>
            <w:vAlign w:val="center"/>
          </w:tcPr>
          <w:p>
            <w:pPr>
              <w:spacing w:before="20" w:after="20" w:line="240" w:lineRule="auto"/>
              <w:jc w:val="left"/>
            </w:pPr>
            <w:r>
              <w:t xml:space="preserve">Weaknesses</w:t>
            </w:r>
          </w:p>
        </w:tc>
        <w:tc>
          <w:tcPr>
            <w:tcW w:w="6866" w:type="dxa"/>
            <w:vAlign w:val="center"/>
          </w:tcPr>
          <w:p>
            <w:pPr>
              <w:spacing w:before="20" w:after="20" w:line="240" w:lineRule="auto"/>
              <w:jc w:val="left"/>
            </w:pPr>
            <w:r>
              <w:t xml:space="preserve">Low overall women’s representation (just over 8 per cent of the executive workforce); engagement inferred from attrition rather than measured and published; learning investment weighted towards engineers and leaders.</w:t>
            </w:r>
          </w:p>
        </w:tc>
      </w:tr>
      <w:tr>
        <w:trPr>
          <w:cantSplit/>
        </w:trPr>
        <w:tc>
          <w:tcPr>
            <w:tcW w:w="1800" w:type="dxa"/>
            <w:vAlign w:val="center"/>
          </w:tcPr>
          <w:p>
            <w:pPr>
              <w:spacing w:before="20" w:after="20" w:line="240" w:lineRule="auto"/>
              <w:jc w:val="left"/>
            </w:pPr>
            <w:r>
              <w:t xml:space="preserve">Opportunities</w:t>
            </w:r>
          </w:p>
        </w:tc>
        <w:tc>
          <w:tcPr>
            <w:tcW w:w="6866" w:type="dxa"/>
            <w:vAlign w:val="center"/>
          </w:tcPr>
          <w:p>
            <w:pPr>
              <w:spacing w:before="20" w:after="20" w:line="240" w:lineRule="auto"/>
              <w:jc w:val="left"/>
            </w:pPr>
            <w:r>
              <w:t xml:space="preserve">EV and software skills as a new basis of employer brand; target of 20 per cent women executives by 2030; post-IPO leadership pipeline building; new Talegaon workforce to shape from the start.</w:t>
            </w:r>
          </w:p>
        </w:tc>
      </w:tr>
      <w:tr>
        <w:trPr>
          <w:cantSplit/>
        </w:trPr>
        <w:tc>
          <w:tcPr>
            <w:tcW w:w="1800" w:type="dxa"/>
            <w:vAlign w:val="center"/>
          </w:tcPr>
          <w:p>
            <w:pPr>
              <w:spacing w:before="20" w:after="20" w:line="240" w:lineRule="auto"/>
              <w:jc w:val="left"/>
            </w:pPr>
            <w:r>
              <w:t xml:space="preserve">Threats</w:t>
            </w:r>
          </w:p>
        </w:tc>
        <w:tc>
          <w:tcPr>
            <w:tcW w:w="6866" w:type="dxa"/>
            <w:vAlign w:val="center"/>
          </w:tcPr>
          <w:p>
            <w:pPr>
              <w:spacing w:before="20" w:after="20" w:line="240" w:lineRule="auto"/>
              <w:jc w:val="left"/>
            </w:pPr>
            <w:r>
              <w:t xml:space="preserve">Intense competition for EV, battery and software talent from rival OEMs and start-ups; rapid skill obsolescence; industrial-relations sensitivities on the shop floor; Labour Code transition.</w:t>
            </w:r>
          </w:p>
        </w:tc>
      </w:tr>
    </w:tbl>
    <w:p>
      <w:pPr>
        <w:spacing w:after="140"/>
      </w:pPr>
    </w:p>
    <w:p>
      <w:pPr>
        <w:keepNext/>
        <w:keepLines/>
        <w:spacing w:before="180" w:after="100"/>
        <w:jc w:val="left"/>
      </w:pPr>
      <w:r>
        <w:rPr>
          <w:b/>
        </w:rPr>
        <w:t xml:space="preserve">1.8.2  OMEGA HEALTHCARE MANAGEMENT SERVICES</w:t>
      </w:r>
    </w:p>
    <w:tbl>
      <w:tblPr>
        <w:tblStyle w:val="TableGrid"/>
        <w:tblW w:w="8666" w:type="dxa"/>
        <w:tblInd w:w="0" w:type="dxa"/>
        <w:tblLayout w:type="fixed"/>
        <w:tblCellMar>
          <w:top w:w="60" w:type="dxa"/>
          <w:left w:w="108" w:type="dxa"/>
          <w:bottom w:w="60" w:type="dxa"/>
          <w:right w:w="108" w:type="dxa"/>
        </w:tblCellMar>
        <w:tblLook w:val="04A0" w:firstRow="1" w:lastRow="0" w:firstColumn="1" w:lastColumn="0" w:noHBand="0" w:noVBand="1"/>
      </w:tblPr>
      <w:tblGrid>
        <w:gridCol w:w="1800"/>
        <w:gridCol w:w="6866"/>
      </w:tblGrid>
      <w:tr>
        <w:trPr>
          <w:cantSplit/>
          <w:tblHeader/>
        </w:trPr>
        <w:tc>
          <w:tcPr>
            <w:tcW w:w="1800" w:type="dxa"/>
            <w:vAlign w:val="center"/>
          </w:tcPr>
          <w:p>
            <w:pPr>
              <w:spacing w:before="20" w:after="20" w:line="240" w:lineRule="auto"/>
              <w:jc w:val="center"/>
            </w:pPr>
            <w:r>
              <w:rPr>
                <w:b/>
              </w:rPr>
              <w:t xml:space="preserve">Element</w:t>
            </w:r>
          </w:p>
        </w:tc>
        <w:tc>
          <w:tcPr>
            <w:tcW w:w="6866" w:type="dxa"/>
            <w:vAlign w:val="center"/>
          </w:tcPr>
          <w:p>
            <w:pPr>
              <w:spacing w:before="20" w:after="20" w:line="240" w:lineRule="auto"/>
              <w:jc w:val="center"/>
            </w:pPr>
            <w:r>
              <w:rPr>
                <w:b/>
              </w:rPr>
              <w:t xml:space="preserve">Assessment</w:t>
            </w:r>
          </w:p>
        </w:tc>
      </w:tr>
      <w:tr>
        <w:trPr>
          <w:cantSplit/>
        </w:trPr>
        <w:tc>
          <w:tcPr>
            <w:tcW w:w="1800" w:type="dxa"/>
            <w:vAlign w:val="center"/>
          </w:tcPr>
          <w:p>
            <w:pPr>
              <w:spacing w:before="20" w:after="20" w:line="240" w:lineRule="auto"/>
              <w:jc w:val="left"/>
            </w:pPr>
            <w:r>
              <w:t xml:space="preserve">Strengths</w:t>
            </w:r>
          </w:p>
        </w:tc>
        <w:tc>
          <w:tcPr>
            <w:tcW w:w="6866" w:type="dxa"/>
            <w:vAlign w:val="center"/>
          </w:tcPr>
          <w:p>
            <w:pPr>
              <w:spacing w:before="20" w:after="20" w:line="240" w:lineRule="auto"/>
              <w:jc w:val="left"/>
            </w:pPr>
            <w:r>
              <w:t xml:space="preserve">Near gender-balanced workforce; innovative retention tools (Golden Brick, Career Lattice, quarterly merit increases); explicit engagement measurement; inclusive hiring of persons with disabilities and women returners.</w:t>
            </w:r>
          </w:p>
        </w:tc>
      </w:tr>
      <w:tr>
        <w:trPr>
          <w:cantSplit/>
        </w:trPr>
        <w:tc>
          <w:tcPr>
            <w:tcW w:w="1800" w:type="dxa"/>
            <w:vAlign w:val="center"/>
          </w:tcPr>
          <w:p>
            <w:pPr>
              <w:spacing w:before="20" w:after="20" w:line="240" w:lineRule="auto"/>
              <w:jc w:val="left"/>
            </w:pPr>
            <w:r>
              <w:t xml:space="preserve">Weaknesses</w:t>
            </w:r>
          </w:p>
        </w:tc>
        <w:tc>
          <w:tcPr>
            <w:tcW w:w="6866" w:type="dxa"/>
            <w:vAlign w:val="center"/>
          </w:tcPr>
          <w:p>
            <w:pPr>
              <w:spacing w:before="20" w:after="20" w:line="240" w:lineRule="auto"/>
              <w:jc w:val="left"/>
            </w:pPr>
            <w:r>
              <w:t xml:space="preserve">Structural exposure to sector-wide churn; volume hiring risks quality dilution; less formal external credentialing of learning; selective public disclosure as a private company.</w:t>
            </w:r>
          </w:p>
        </w:tc>
      </w:tr>
      <w:tr>
        <w:trPr>
          <w:cantSplit/>
        </w:trPr>
        <w:tc>
          <w:tcPr>
            <w:tcW w:w="1800" w:type="dxa"/>
            <w:vAlign w:val="center"/>
          </w:tcPr>
          <w:p>
            <w:pPr>
              <w:spacing w:before="20" w:after="20" w:line="240" w:lineRule="auto"/>
              <w:jc w:val="left"/>
            </w:pPr>
            <w:r>
              <w:t xml:space="preserve">Opportunities</w:t>
            </w:r>
          </w:p>
        </w:tc>
        <w:tc>
          <w:tcPr>
            <w:tcW w:w="6866" w:type="dxa"/>
            <w:vAlign w:val="center"/>
          </w:tcPr>
          <w:p>
            <w:pPr>
              <w:spacing w:before="20" w:after="20" w:line="240" w:lineRule="auto"/>
              <w:jc w:val="left"/>
            </w:pPr>
            <w:r>
              <w:t xml:space="preserve">AI-enabled productivity creating new higher-skill roles; growth of US healthcare outsourcing; expansion in Colombia and the Philippines; converting gender parity into leadership parity.</w:t>
            </w:r>
          </w:p>
        </w:tc>
      </w:tr>
      <w:tr>
        <w:trPr>
          <w:cantSplit/>
        </w:trPr>
        <w:tc>
          <w:tcPr>
            <w:tcW w:w="1800" w:type="dxa"/>
            <w:vAlign w:val="center"/>
          </w:tcPr>
          <w:p>
            <w:pPr>
              <w:spacing w:before="20" w:after="20" w:line="240" w:lineRule="auto"/>
              <w:jc w:val="left"/>
            </w:pPr>
            <w:r>
              <w:t xml:space="preserve">Threats</w:t>
            </w:r>
          </w:p>
        </w:tc>
        <w:tc>
          <w:tcPr>
            <w:tcW w:w="6866" w:type="dxa"/>
            <w:vAlign w:val="center"/>
          </w:tcPr>
          <w:p>
            <w:pPr>
              <w:spacing w:before="20" w:after="20" w:line="240" w:lineRule="auto"/>
              <w:jc w:val="left"/>
            </w:pPr>
            <w:r>
              <w:t xml:space="preserve">Poaching by competing RCM and BPM firms; automation displacing entry-level tasks; burnout risk in night-shift delivery; strict health-data privacy obligations.</w:t>
            </w:r>
          </w:p>
        </w:tc>
      </w:tr>
    </w:tbl>
    <w:p>
      <w:pPr>
        <w:spacing w:after="140"/>
      </w:pPr>
    </w:p>
    <w:p>
      <w:pPr>
        <w:keepNext/>
        <w:keepLines/>
        <w:spacing w:before="240"/>
        <w:jc w:val="left"/>
      </w:pPr>
      <w:r>
        <w:rPr>
          <w:b/>
          <w:sz w:val="28"/>
          <w:szCs w:val="28"/>
        </w:rPr>
        <w:t xml:space="preserve">1.9  KEY COMPETITORS FOR TALENT</w:t>
      </w:r>
    </w:p>
    <w:p>
      <w:pPr>
        <w:spacing w:after="140"/>
      </w:pPr>
      <w:r>
        <w:t xml:space="preserve">For an HR audit, the relevant competitors are not only firms that compete for customers but also those that compete for the same people. The tables below set out the principal talent competitors of each company.</w:t>
      </w:r>
    </w:p>
    <w:p>
      <w:pPr>
        <w:keepNext/>
        <w:keepLines/>
        <w:spacing w:before="180" w:after="100"/>
        <w:jc w:val="left"/>
      </w:pPr>
      <w:r>
        <w:rPr>
          <w:b/>
        </w:rPr>
        <w:t xml:space="preserve">1.9.1  HYUNDAI MOTOR INDIA: AUTOMOBILE AND MOBILITY EMPLOYERS</w:t>
      </w:r>
    </w:p>
    <w:tbl>
      <w:tblPr>
        <w:tblStyle w:val="TableGrid"/>
        <w:tblW w:w="8666" w:type="dxa"/>
        <w:tblInd w:w="0" w:type="dxa"/>
        <w:tblLayout w:type="fixed"/>
        <w:tblCellMar>
          <w:top w:w="60" w:type="dxa"/>
          <w:left w:w="108" w:type="dxa"/>
          <w:bottom w:w="60" w:type="dxa"/>
          <w:right w:w="108" w:type="dxa"/>
        </w:tblCellMar>
        <w:tblLook w:val="04A0" w:firstRow="1" w:lastRow="0" w:firstColumn="1" w:lastColumn="0" w:noHBand="0" w:noVBand="1"/>
      </w:tblPr>
      <w:tblGrid>
        <w:gridCol w:w="2900"/>
        <w:gridCol w:w="2883"/>
        <w:gridCol w:w="2883"/>
      </w:tblGrid>
      <w:tr>
        <w:trPr>
          <w:cantSplit/>
          <w:tblHeader/>
        </w:trPr>
        <w:tc>
          <w:tcPr>
            <w:tcW w:w="2900" w:type="dxa"/>
            <w:vAlign w:val="center"/>
          </w:tcPr>
          <w:p>
            <w:pPr>
              <w:spacing w:before="20" w:after="20" w:line="240" w:lineRule="auto"/>
              <w:jc w:val="center"/>
            </w:pPr>
            <w:r>
              <w:rPr>
                <w:b/>
              </w:rPr>
              <w:t xml:space="preserve">Competitor</w:t>
            </w:r>
          </w:p>
        </w:tc>
        <w:tc>
          <w:tcPr>
            <w:tcW w:w="2883" w:type="dxa"/>
            <w:vAlign w:val="center"/>
          </w:tcPr>
          <w:p>
            <w:pPr>
              <w:spacing w:before="20" w:after="20" w:line="240" w:lineRule="auto"/>
              <w:jc w:val="center"/>
            </w:pPr>
            <w:r>
              <w:rPr>
                <w:b/>
              </w:rPr>
              <w:t xml:space="preserve">Talent Overlap</w:t>
            </w:r>
          </w:p>
        </w:tc>
        <w:tc>
          <w:tcPr>
            <w:tcW w:w="2883" w:type="dxa"/>
            <w:vAlign w:val="center"/>
          </w:tcPr>
          <w:p>
            <w:pPr>
              <w:spacing w:before="20" w:after="20" w:line="240" w:lineRule="auto"/>
              <w:jc w:val="center"/>
            </w:pPr>
            <w:r>
              <w:rPr>
                <w:b/>
              </w:rPr>
              <w:t xml:space="preserve">HR Implication for Hyundai</w:t>
            </w:r>
          </w:p>
        </w:tc>
      </w:tr>
      <w:tr>
        <w:trPr>
          <w:cantSplit/>
        </w:trPr>
        <w:tc>
          <w:tcPr>
            <w:tcW w:w="2900" w:type="dxa"/>
            <w:vAlign w:val="center"/>
          </w:tcPr>
          <w:p>
            <w:pPr>
              <w:spacing w:before="20" w:after="20" w:line="240" w:lineRule="auto"/>
              <w:jc w:val="left"/>
            </w:pPr>
            <w:r>
              <w:t xml:space="preserve">Maruti Suzuki, Tata Motors, Mahindra &amp; Mahindra</w:t>
            </w:r>
          </w:p>
        </w:tc>
        <w:tc>
          <w:tcPr>
            <w:tcW w:w="2883" w:type="dxa"/>
            <w:vAlign w:val="center"/>
          </w:tcPr>
          <w:p>
            <w:pPr>
              <w:spacing w:before="20" w:after="20" w:line="240" w:lineRule="auto"/>
              <w:jc w:val="left"/>
            </w:pPr>
            <w:r>
              <w:t xml:space="preserve">Engineers, plant supervisors, sales and service talent</w:t>
            </w:r>
          </w:p>
        </w:tc>
        <w:tc>
          <w:tcPr>
            <w:tcW w:w="2883" w:type="dxa"/>
            <w:vAlign w:val="center"/>
          </w:tcPr>
          <w:p>
            <w:pPr>
              <w:spacing w:before="20" w:after="20" w:line="240" w:lineRule="auto"/>
              <w:jc w:val="left"/>
            </w:pPr>
            <w:r>
              <w:t xml:space="preserve">Pressure on pay, campus brand and career speed</w:t>
            </w:r>
          </w:p>
        </w:tc>
      </w:tr>
      <w:tr>
        <w:trPr>
          <w:cantSplit/>
        </w:trPr>
        <w:tc>
          <w:tcPr>
            <w:tcW w:w="2900" w:type="dxa"/>
            <w:vAlign w:val="center"/>
          </w:tcPr>
          <w:p>
            <w:pPr>
              <w:spacing w:before="20" w:after="20" w:line="240" w:lineRule="auto"/>
              <w:jc w:val="left"/>
            </w:pPr>
            <w:r>
              <w:t xml:space="preserve">Kia India, Toyota Kirloskar, other global OEMs</w:t>
            </w:r>
          </w:p>
        </w:tc>
        <w:tc>
          <w:tcPr>
            <w:tcW w:w="2883" w:type="dxa"/>
            <w:vAlign w:val="center"/>
          </w:tcPr>
          <w:p>
            <w:pPr>
              <w:spacing w:before="20" w:after="20" w:line="240" w:lineRule="auto"/>
              <w:jc w:val="left"/>
            </w:pPr>
            <w:r>
              <w:t xml:space="preserve">Experienced manufacturing and quality professionals</w:t>
            </w:r>
          </w:p>
        </w:tc>
        <w:tc>
          <w:tcPr>
            <w:tcW w:w="2883" w:type="dxa"/>
            <w:vAlign w:val="center"/>
          </w:tcPr>
          <w:p>
            <w:pPr>
              <w:spacing w:before="20" w:after="20" w:line="240" w:lineRule="auto"/>
              <w:jc w:val="left"/>
            </w:pPr>
            <w:r>
              <w:t xml:space="preserve">Need for strong retention of mid-career talent</w:t>
            </w:r>
          </w:p>
        </w:tc>
      </w:tr>
      <w:tr>
        <w:trPr>
          <w:cantSplit/>
        </w:trPr>
        <w:tc>
          <w:tcPr>
            <w:tcW w:w="2900" w:type="dxa"/>
            <w:vAlign w:val="center"/>
          </w:tcPr>
          <w:p>
            <w:pPr>
              <w:spacing w:before="20" w:after="20" w:line="240" w:lineRule="auto"/>
              <w:jc w:val="left"/>
            </w:pPr>
            <w:r>
              <w:t xml:space="preserve">EV and mobility start-ups</w:t>
            </w:r>
          </w:p>
        </w:tc>
        <w:tc>
          <w:tcPr>
            <w:tcW w:w="2883" w:type="dxa"/>
            <w:vAlign w:val="center"/>
          </w:tcPr>
          <w:p>
            <w:pPr>
              <w:spacing w:before="20" w:after="20" w:line="240" w:lineRule="auto"/>
              <w:jc w:val="left"/>
            </w:pPr>
            <w:r>
              <w:t xml:space="preserve">Battery, software and electronics engineers</w:t>
            </w:r>
          </w:p>
        </w:tc>
        <w:tc>
          <w:tcPr>
            <w:tcW w:w="2883" w:type="dxa"/>
            <w:vAlign w:val="center"/>
          </w:tcPr>
          <w:p>
            <w:pPr>
              <w:spacing w:before="20" w:after="20" w:line="240" w:lineRule="auto"/>
              <w:jc w:val="left"/>
            </w:pPr>
            <w:r>
              <w:t xml:space="preserve">Competition on innovation, purpose and flexibility</w:t>
            </w:r>
          </w:p>
        </w:tc>
      </w:tr>
    </w:tbl>
    <w:p>
      <w:pPr>
        <w:spacing w:after="140"/>
      </w:pPr>
    </w:p>
    <w:p>
      <w:pPr>
        <w:keepNext/>
        <w:keepLines/>
        <w:spacing w:before="180" w:after="100"/>
        <w:jc w:val="left"/>
      </w:pPr>
      <w:r>
        <w:rPr>
          <w:b/>
        </w:rPr>
        <w:t xml:space="preserve">1.9.2  OMEGA HEALTHCARE: RCM AND HEALTHCARE BPM EMPLOYERS</w:t>
      </w:r>
    </w:p>
    <w:tbl>
      <w:tblPr>
        <w:tblStyle w:val="TableGrid"/>
        <w:tblW w:w="8666" w:type="dxa"/>
        <w:tblInd w:w="0" w:type="dxa"/>
        <w:tblLayout w:type="fixed"/>
        <w:tblCellMar>
          <w:top w:w="60" w:type="dxa"/>
          <w:left w:w="108" w:type="dxa"/>
          <w:bottom w:w="60" w:type="dxa"/>
          <w:right w:w="108" w:type="dxa"/>
        </w:tblCellMar>
        <w:tblLook w:val="04A0" w:firstRow="1" w:lastRow="0" w:firstColumn="1" w:lastColumn="0" w:noHBand="0" w:noVBand="1"/>
      </w:tblPr>
      <w:tblGrid>
        <w:gridCol w:w="2900"/>
        <w:gridCol w:w="2883"/>
        <w:gridCol w:w="2883"/>
      </w:tblGrid>
      <w:tr>
        <w:trPr>
          <w:cantSplit/>
          <w:tblHeader/>
        </w:trPr>
        <w:tc>
          <w:tcPr>
            <w:tcW w:w="2900" w:type="dxa"/>
            <w:vAlign w:val="center"/>
          </w:tcPr>
          <w:p>
            <w:pPr>
              <w:spacing w:before="20" w:after="20" w:line="240" w:lineRule="auto"/>
              <w:jc w:val="center"/>
            </w:pPr>
            <w:r>
              <w:rPr>
                <w:b/>
              </w:rPr>
              <w:t xml:space="preserve">Competitor</w:t>
            </w:r>
          </w:p>
        </w:tc>
        <w:tc>
          <w:tcPr>
            <w:tcW w:w="2883" w:type="dxa"/>
            <w:vAlign w:val="center"/>
          </w:tcPr>
          <w:p>
            <w:pPr>
              <w:spacing w:before="20" w:after="20" w:line="240" w:lineRule="auto"/>
              <w:jc w:val="center"/>
            </w:pPr>
            <w:r>
              <w:rPr>
                <w:b/>
              </w:rPr>
              <w:t xml:space="preserve">Talent Overlap</w:t>
            </w:r>
          </w:p>
        </w:tc>
        <w:tc>
          <w:tcPr>
            <w:tcW w:w="2883" w:type="dxa"/>
            <w:vAlign w:val="center"/>
          </w:tcPr>
          <w:p>
            <w:pPr>
              <w:spacing w:before="20" w:after="20" w:line="240" w:lineRule="auto"/>
              <w:jc w:val="center"/>
            </w:pPr>
            <w:r>
              <w:rPr>
                <w:b/>
              </w:rPr>
              <w:t xml:space="preserve">HR Implication for Omega</w:t>
            </w:r>
          </w:p>
        </w:tc>
      </w:tr>
      <w:tr>
        <w:trPr>
          <w:cantSplit/>
        </w:trPr>
        <w:tc>
          <w:tcPr>
            <w:tcW w:w="2900" w:type="dxa"/>
            <w:vAlign w:val="center"/>
          </w:tcPr>
          <w:p>
            <w:pPr>
              <w:spacing w:before="20" w:after="20" w:line="240" w:lineRule="auto"/>
              <w:jc w:val="left"/>
            </w:pPr>
            <w:r>
              <w:t xml:space="preserve">R1 RCM, Access Healthcare, AGS Health, GeBBS Healthcare</w:t>
            </w:r>
          </w:p>
        </w:tc>
        <w:tc>
          <w:tcPr>
            <w:tcW w:w="2883" w:type="dxa"/>
            <w:vAlign w:val="center"/>
          </w:tcPr>
          <w:p>
            <w:pPr>
              <w:spacing w:before="20" w:after="20" w:line="240" w:lineRule="auto"/>
              <w:jc w:val="left"/>
            </w:pPr>
            <w:r>
              <w:t xml:space="preserve">Certified medical coders, AR and denial analysts</w:t>
            </w:r>
          </w:p>
        </w:tc>
        <w:tc>
          <w:tcPr>
            <w:tcW w:w="2883" w:type="dxa"/>
            <w:vAlign w:val="center"/>
          </w:tcPr>
          <w:p>
            <w:pPr>
              <w:spacing w:before="20" w:after="20" w:line="240" w:lineRule="auto"/>
              <w:jc w:val="left"/>
            </w:pPr>
            <w:r>
              <w:t xml:space="preserve">Direct poaching risk; pressure on quarterly rewards</w:t>
            </w:r>
          </w:p>
        </w:tc>
      </w:tr>
      <w:tr>
        <w:trPr>
          <w:cantSplit/>
        </w:trPr>
        <w:tc>
          <w:tcPr>
            <w:tcW w:w="2900" w:type="dxa"/>
            <w:vAlign w:val="center"/>
          </w:tcPr>
          <w:p>
            <w:pPr>
              <w:spacing w:before="20" w:after="20" w:line="240" w:lineRule="auto"/>
              <w:jc w:val="left"/>
            </w:pPr>
            <w:r>
              <w:t xml:space="preserve">Large BPM firms (e.g. Sutherland, Firstsource, Cognizant)</w:t>
            </w:r>
          </w:p>
        </w:tc>
        <w:tc>
          <w:tcPr>
            <w:tcW w:w="2883" w:type="dxa"/>
            <w:vAlign w:val="center"/>
          </w:tcPr>
          <w:p>
            <w:pPr>
              <w:spacing w:before="20" w:after="20" w:line="240" w:lineRule="auto"/>
              <w:jc w:val="left"/>
            </w:pPr>
            <w:r>
              <w:t xml:space="preserve">Graduates for process and quality roles</w:t>
            </w:r>
          </w:p>
        </w:tc>
        <w:tc>
          <w:tcPr>
            <w:tcW w:w="2883" w:type="dxa"/>
            <w:vAlign w:val="center"/>
          </w:tcPr>
          <w:p>
            <w:pPr>
              <w:spacing w:before="20" w:after="20" w:line="240" w:lineRule="auto"/>
              <w:jc w:val="left"/>
            </w:pPr>
            <w:r>
              <w:t xml:space="preserve">Competition on brand, stability and growth</w:t>
            </w:r>
          </w:p>
        </w:tc>
      </w:tr>
      <w:tr>
        <w:trPr>
          <w:cantSplit/>
        </w:trPr>
        <w:tc>
          <w:tcPr>
            <w:tcW w:w="2900" w:type="dxa"/>
            <w:vAlign w:val="center"/>
          </w:tcPr>
          <w:p>
            <w:pPr>
              <w:spacing w:before="20" w:after="20" w:line="240" w:lineRule="auto"/>
              <w:jc w:val="left"/>
            </w:pPr>
            <w:r>
              <w:t xml:space="preserve">Hospitals and health-technology firms</w:t>
            </w:r>
          </w:p>
        </w:tc>
        <w:tc>
          <w:tcPr>
            <w:tcW w:w="2883" w:type="dxa"/>
            <w:vAlign w:val="center"/>
          </w:tcPr>
          <w:p>
            <w:pPr>
              <w:spacing w:before="20" w:after="20" w:line="240" w:lineRule="auto"/>
              <w:jc w:val="left"/>
            </w:pPr>
            <w:r>
              <w:t xml:space="preserve">Domain experts, clinical and analytics talent</w:t>
            </w:r>
          </w:p>
        </w:tc>
        <w:tc>
          <w:tcPr>
            <w:tcW w:w="2883" w:type="dxa"/>
            <w:vAlign w:val="center"/>
          </w:tcPr>
          <w:p>
            <w:pPr>
              <w:spacing w:before="20" w:after="20" w:line="240" w:lineRule="auto"/>
              <w:jc w:val="left"/>
            </w:pPr>
            <w:r>
              <w:t xml:space="preserve">Need for visible internal career paths</w:t>
            </w:r>
          </w:p>
        </w:tc>
      </w:tr>
    </w:tbl>
    <w:p>
      <w:pPr>
        <w:spacing w:after="140"/>
      </w:pPr>
    </w:p>
    <w:p>
      <w:pPr>
        <w:keepNext/>
        <w:keepLines/>
        <w:spacing w:before="240"/>
        <w:jc w:val="left"/>
      </w:pPr>
      <w:r>
        <w:rPr>
          <w:b/>
          <w:sz w:val="28"/>
          <w:szCs w:val="28"/>
        </w:rPr>
        <w:t xml:space="preserve">1.10  THE REGULATORY AND LABOUR ENVIRONMENT</w:t>
      </w:r>
    </w:p>
    <w:p>
      <w:pPr>
        <w:spacing w:after="140"/>
      </w:pPr>
      <w:r>
        <w:t xml:space="preserve">Both organisations operate under the same national labour framework, but it affects them differently. For Hyundai, the Industrial Relations Code and the Occupational Safety, Health and Working Conditions Code are the most significant, because they govern shop-floor employment, standing orders, fixed-term work and plant safety. For Omega, the provisions on working hours, night-shift employment of women with consent and safeguards, and social-security coverage are more relevant to a round-the-clock services workforce.</w:t>
      </w:r>
    </w:p>
    <w:p>
      <w:pPr>
        <w:spacing w:after="140"/>
      </w:pPr>
      <w:r>
        <w:t xml:space="preserve">Omega also carries an additional layer of obligation that has no equivalent in manufacturing: because it handles protected health information of United States patients, every employee must be trained in data confidentiality and privacy compliance, and lapses carry severe contractual and reputational consequences. Hyundai’s equivalent non-negotiable is physical safety, reinforced by training for employees who work on high-voltage electric-vehicle systems. In each case, the dominant compliance risk of the industry becomes a core part of the HR agenda, a pattern that appears repeatedly in the audit that follows.</w:t>
      </w:r>
    </w:p>
    <w:p>
      <w:pPr>
        <w:spacing w:after="0" w:line="240" w:lineRule="auto"/>
      </w:pPr>
      <w:bookmarkStart w:id="1" w:name="ch1_end"/>
      <w:bookmarkEnd w:id="1"/>
    </w:p>
    <w:p>
      <w:pPr>
        <w:sectPr>
          <w:headerReference w:type="default" r:id="rId8"/>
          <w:footerReference w:type="default" r:id="rId9"/>
          <w:pgSz w:w="11906" w:h="16838"/>
          <w:pgMar w:top="1440" w:right="1440" w:bottom="1440" w:left="1800" w:header="720" w:footer="720" w:gutter="0"/>
          <w:pgNumType w:start="1"/>
          <w:cols w:space="720"/>
          <w:docGrid w:linePitch="360"/>
        </w:sectPr>
      </w:pPr>
    </w:p>
    <w:p>
      <w:pPr>
        <w:spacing w:after="0"/>
      </w:pPr>
      <w:bookmarkStart w:id="2" w:name="ch2_start"/>
      <w:bookmarkEnd w:id="2"/>
    </w:p>
    <w:p>
      <w:pPr>
        <w:spacing w:after="0"/>
      </w:pPr>
    </w:p>
    <w:p>
      <w:pPr>
        <w:spacing w:after="0"/>
      </w:pPr>
    </w:p>
    <w:p>
      <w:pPr>
        <w:spacing w:after="0"/>
      </w:pPr>
    </w:p>
    <w:p>
      <w:pPr>
        <w:spacing w:after="0"/>
      </w:pPr>
    </w:p>
    <w:p>
      <w:pPr>
        <w:spacing w:after="0"/>
      </w:pPr>
    </w:p>
    <w:p>
      <w:pPr>
        <w:spacing w:after="0"/>
      </w:pPr>
    </w:p>
    <w:p>
      <w:pPr>
        <w:spacing w:after="0"/>
      </w:pPr>
    </w:p>
    <w:p>
      <w:pPr>
        <w:spacing w:after="0"/>
      </w:pPr>
    </w:p>
    <w:p>
      <w:pPr>
        <w:spacing w:after="0"/>
      </w:pPr>
    </w:p>
    <w:p>
      <w:pPr>
        <w:spacing w:after="0"/>
      </w:pPr>
    </w:p>
    <w:p>
      <w:pPr>
        <w:spacing w:after="0"/>
      </w:pPr>
    </w:p>
    <w:p>
      <w:pPr>
        <w:spacing w:after="0"/>
      </w:pPr>
    </w:p>
    <w:p>
      <w:pPr>
        <w:spacing w:after="240"/>
        <w:jc w:val="center"/>
      </w:pPr>
      <w:r>
        <w:rPr>
          <w:b/>
          <w:sz w:val="32"/>
          <w:szCs w:val="32"/>
        </w:rPr>
        <w:t xml:space="preserve">CHAPTER  2</w:t>
      </w:r>
    </w:p>
    <w:p>
      <w:pPr>
        <w:spacing w:after="0"/>
        <w:jc w:val="center"/>
      </w:pPr>
      <w:r>
        <w:rPr>
          <w:b/>
          <w:sz w:val="32"/>
          <w:szCs w:val="32"/>
        </w:rPr>
        <w:t>PROJECT DESCRIPTION AND METHODOLOGY</w:t>
      </w:r>
    </w:p>
    <w:p>
      <w:pPr>
        <w:spacing w:after="0" w:line="240" w:lineRule="auto"/>
      </w:pPr>
      <w:r>
        <w:br w:type="page"/>
      </w:r>
    </w:p>
    <w:p>
      <w:pPr>
        <w:keepNext/>
        <w:keepLines/>
        <w:spacing w:after="240"/>
        <w:jc w:val="center"/>
      </w:pPr>
      <w:r>
        <w:rPr>
          <w:b/>
          <w:sz w:val="28"/>
          <w:szCs w:val="28"/>
        </w:rPr>
        <w:t>2. PROJECT DESCRIPTION AND METHODOLOGY</w:t>
      </w:r>
    </w:p>
    <w:p>
      <w:pPr>
        <w:keepNext/>
        <w:keepLines/>
        <w:spacing w:before="240"/>
        <w:jc w:val="left"/>
      </w:pPr>
      <w:r>
        <w:rPr>
          <w:b/>
          <w:sz w:val="28"/>
          <w:szCs w:val="28"/>
        </w:rPr>
        <w:t xml:space="preserve">2.1  OBJECTIVES OF THE STUDY</w:t>
      </w:r>
    </w:p>
    <w:p>
      <w:pPr>
        <w:spacing w:after="140"/>
      </w:pPr>
      <w:r>
        <w:t xml:space="preserve">The purpose of this project was to apply the human resource management concepts studied in the first year of the MBA programme to a real, evidence-based comparison of two organisations. In place of an organisational internship, the project took the form of a comparative HR audit of Hyundai Motor India Limited (automobile sector) and Omega Healthcare Management Services (healthcare services sector), carried out between January and June 2026.</w:t>
      </w:r>
    </w:p>
    <w:p>
      <w:pPr>
        <w:spacing w:after="140"/>
      </w:pPr>
      <w:r>
        <w:t xml:space="preserve">The specific objectives of the study were as follows:</w:t>
      </w:r>
    </w:p>
    <w:p>
      <w:pPr>
        <w:numPr>
          <w:ilvl w:val="0"/>
          <w:numId w:val="1"/>
        </w:numPr>
        <w:spacing w:after="80"/>
      </w:pPr>
      <w:r>
        <w:t xml:space="preserve">To compare the HR practices of Hyundai and Omega Healthcare across ten defined HR functions.</w:t>
      </w:r>
    </w:p>
    <w:p>
      <w:pPr>
        <w:numPr>
          <w:ilvl w:val="0"/>
          <w:numId w:val="1"/>
        </w:numPr>
        <w:spacing w:after="80"/>
      </w:pPr>
      <w:r>
        <w:t xml:space="preserve">To identify the similarities and differences in how each organisation approaches these functions.</w:t>
      </w:r>
    </w:p>
    <w:p>
      <w:pPr>
        <w:numPr>
          <w:ilvl w:val="0"/>
          <w:numId w:val="1"/>
        </w:numPr>
        <w:spacing w:after="80"/>
      </w:pPr>
      <w:r>
        <w:t xml:space="preserve">To explain how the characteristics of the automobile and healthcare-services industries influence those practices.</w:t>
      </w:r>
    </w:p>
    <w:p>
      <w:pPr>
        <w:numPr>
          <w:ilvl w:val="0"/>
          <w:numId w:val="1"/>
        </w:numPr>
        <w:spacing w:after="80"/>
      </w:pPr>
      <w:r>
        <w:t xml:space="preserve">To evaluate the effectiveness of the practices and identify each organisation’s strengths and areas for improvement.</w:t>
      </w:r>
    </w:p>
    <w:p>
      <w:pPr>
        <w:numPr>
          <w:ilvl w:val="0"/>
          <w:numId w:val="1"/>
        </w:numPr>
        <w:spacing w:after="80"/>
      </w:pPr>
      <w:r>
        <w:t xml:space="preserve">To highlight best practices from each company that the other could realistically adopt.</w:t>
      </w:r>
    </w:p>
    <w:p>
      <w:pPr>
        <w:numPr>
          <w:ilvl w:val="0"/>
          <w:numId w:val="1"/>
        </w:numPr>
        <w:spacing w:after="80"/>
      </w:pPr>
      <w:r>
        <w:t xml:space="preserve">To relate the observations to established HR concepts and theories, demonstrating their application in real organisational settings.</w:t>
      </w:r>
    </w:p>
    <w:p>
      <w:pPr>
        <w:spacing w:after="60" w:line="120" w:lineRule="auto"/>
      </w:pPr>
    </w:p>
    <w:p>
      <w:pPr>
        <w:keepNext/>
        <w:keepLines/>
        <w:spacing w:before="180" w:after="100"/>
        <w:jc w:val="left"/>
      </w:pPr>
      <w:r>
        <w:rPr>
          <w:b/>
        </w:rPr>
        <w:t xml:space="preserve">2.1.1  Approach of the Study</w:t>
      </w:r>
    </w:p>
    <w:p>
      <w:pPr>
        <w:spacing w:after="140"/>
      </w:pPr>
      <w:r>
        <w:t xml:space="preserve">The study followed a structured, function-by-function approach rather than a narrative one. For each HR function, the same four questions were asked of both organisations: what does the company actually do; how does this compare with the other company; how does the industry explain the difference; and how effective is the practice, including what the other company could learn from it. Holding both organisations against the same template made the comparison fair and kept the analysis focused on explanation rather than description.</w:t>
      </w:r>
    </w:p>
    <w:p>
      <w:pPr>
        <w:keepNext/>
        <w:keepLines/>
        <w:spacing w:before="240"/>
        <w:jc w:val="left"/>
      </w:pPr>
      <w:r>
        <w:rPr>
          <w:b/>
          <w:sz w:val="28"/>
          <w:szCs w:val="28"/>
        </w:rPr>
        <w:t xml:space="preserve">2.2  SCOPE OF THE STUDY</w:t>
      </w:r>
    </w:p>
    <w:p>
      <w:pPr>
        <w:spacing w:after="140"/>
      </w:pPr>
      <w:r>
        <w:t xml:space="preserve">The audit is confined to ten HR domains: employer branding; recruitment and selection; learning and development; performance management; compensation and benefits; employee engagement; diversity, equity and inclusion; career development; HR technology; and employee well-being and workplace culture. The emphasis throughout is analytical. The commercial history and financial performance of the companies are discussed only where they are needed to understand an HR decision. The data collection period was January to June 2026, drawing largely on the most recent public disclosures of each company, and the analysis was updated with disclosures available up to September 2026.</w:t>
      </w:r>
    </w:p>
    <w:p>
      <w:pPr>
        <w:keepNext/>
        <w:keepLines/>
        <w:spacing w:before="240"/>
        <w:jc w:val="left"/>
      </w:pPr>
      <w:r>
        <w:rPr>
          <w:b/>
          <w:sz w:val="28"/>
          <w:szCs w:val="28"/>
        </w:rPr>
        <w:t xml:space="preserve">2.3  RESEARCH DESIGN AND METHODOLOGY</w:t>
      </w:r>
    </w:p>
    <w:p>
      <w:pPr>
        <w:spacing w:after="140"/>
      </w:pPr>
      <w:r>
        <w:t xml:space="preserve">This is a qualitative, descriptive-analytical study based on secondary data. No surveys or interviews were conducted, because primary data collection from employees of listed and private companies was outside the scope and access of a student project. The design is comparative: two organisations were deliberately selected from sectors that differ on the structural variables that most shape HR strategy, so that the influence of industry could be observed clearly.</w:t>
      </w:r>
    </w:p>
    <w:p>
      <w:pPr>
        <w:keepNext/>
        <w:keepLines/>
        <w:spacing w:before="180" w:after="100"/>
        <w:jc w:val="left"/>
      </w:pPr>
      <w:r>
        <w:rPr>
          <w:b/>
        </w:rPr>
        <w:t xml:space="preserve">2.3.1  Selection of Organisations</w:t>
      </w:r>
    </w:p>
    <w:p>
      <w:pPr>
        <w:spacing w:after="140"/>
      </w:pPr>
      <w:r>
        <w:t xml:space="preserve">The two organisations were selected on four criteria: they belong to clearly different industry sectors; both are large employers with a significant presence in Tamil Nadu; both have received external recognition for their people practices, so that the comparison is between two strong HR functions rather than a strong and a weak one; and both publish or are covered by enough credible information to support a function-by-function audit.</w:t>
      </w:r>
    </w:p>
    <w:p>
      <w:pPr>
        <w:keepNext/>
        <w:keepLines/>
        <w:spacing w:before="180" w:after="100"/>
        <w:jc w:val="left"/>
      </w:pPr>
      <w:r>
        <w:rPr>
          <w:b/>
        </w:rPr>
        <w:t xml:space="preserve">2.3.2  Sources of Secondary Data</w:t>
      </w:r>
    </w:p>
    <w:p>
      <w:pPr>
        <w:spacing w:after="140"/>
      </w:pPr>
      <w:r>
        <w:t xml:space="preserve">Information was gathered from a range of credible, publicly accessible sources, summarised below.</w:t>
      </w:r>
    </w:p>
    <w:tbl>
      <w:tblPr>
        <w:tblStyle w:val="TableGrid"/>
        <w:tblW w:w="8666" w:type="dxa"/>
        <w:tblInd w:w="0" w:type="dxa"/>
        <w:tblLayout w:type="fixed"/>
        <w:tblCellMar>
          <w:top w:w="60" w:type="dxa"/>
          <w:left w:w="108" w:type="dxa"/>
          <w:bottom w:w="60" w:type="dxa"/>
          <w:right w:w="108" w:type="dxa"/>
        </w:tblCellMar>
        <w:tblLook w:val="04A0" w:firstRow="1" w:lastRow="0" w:firstColumn="1" w:lastColumn="0" w:noHBand="0" w:noVBand="1"/>
      </w:tblPr>
      <w:tblGrid>
        <w:gridCol w:w="2300"/>
        <w:gridCol w:w="3183"/>
        <w:gridCol w:w="3183"/>
      </w:tblGrid>
      <w:tr>
        <w:trPr>
          <w:cantSplit/>
          <w:tblHeader/>
        </w:trPr>
        <w:tc>
          <w:tcPr>
            <w:tcW w:w="2300" w:type="dxa"/>
            <w:vAlign w:val="center"/>
          </w:tcPr>
          <w:p>
            <w:pPr>
              <w:spacing w:before="20" w:after="20" w:line="240" w:lineRule="auto"/>
              <w:jc w:val="center"/>
            </w:pPr>
            <w:r>
              <w:rPr>
                <w:b/>
              </w:rPr>
              <w:t xml:space="preserve">Source Category</w:t>
            </w:r>
          </w:p>
        </w:tc>
        <w:tc>
          <w:tcPr>
            <w:tcW w:w="3183" w:type="dxa"/>
            <w:vAlign w:val="center"/>
          </w:tcPr>
          <w:p>
            <w:pPr>
              <w:spacing w:before="20" w:after="20" w:line="240" w:lineRule="auto"/>
              <w:jc w:val="center"/>
            </w:pPr>
            <w:r>
              <w:rPr>
                <w:b/>
              </w:rPr>
              <w:t xml:space="preserve">Examples Used</w:t>
            </w:r>
          </w:p>
        </w:tc>
        <w:tc>
          <w:tcPr>
            <w:tcW w:w="3183" w:type="dxa"/>
            <w:vAlign w:val="center"/>
          </w:tcPr>
          <w:p>
            <w:pPr>
              <w:spacing w:before="20" w:after="20" w:line="240" w:lineRule="auto"/>
              <w:jc w:val="center"/>
            </w:pPr>
            <w:r>
              <w:rPr>
                <w:b/>
              </w:rPr>
              <w:t xml:space="preserve">Type of Information Obtained</w:t>
            </w:r>
          </w:p>
        </w:tc>
      </w:tr>
      <w:tr>
        <w:trPr>
          <w:cantSplit/>
        </w:trPr>
        <w:tc>
          <w:tcPr>
            <w:tcW w:w="2300" w:type="dxa"/>
            <w:vAlign w:val="center"/>
          </w:tcPr>
          <w:p>
            <w:pPr>
              <w:spacing w:before="20" w:after="20" w:line="240" w:lineRule="auto"/>
              <w:jc w:val="left"/>
            </w:pPr>
            <w:r>
              <w:t xml:space="preserve">Company disclosures</w:t>
            </w:r>
          </w:p>
        </w:tc>
        <w:tc>
          <w:tcPr>
            <w:tcW w:w="3183" w:type="dxa"/>
            <w:vAlign w:val="center"/>
          </w:tcPr>
          <w:p>
            <w:pPr>
              <w:spacing w:before="20" w:after="20" w:line="240" w:lineRule="auto"/>
              <w:jc w:val="left"/>
            </w:pPr>
            <w:r>
              <w:t xml:space="preserve">Integrated Annual Report, BRSR, investor announcements, press releases</w:t>
            </w:r>
          </w:p>
        </w:tc>
        <w:tc>
          <w:tcPr>
            <w:tcW w:w="3183" w:type="dxa"/>
            <w:vAlign w:val="center"/>
          </w:tcPr>
          <w:p>
            <w:pPr>
              <w:spacing w:before="20" w:after="20" w:line="240" w:lineRule="auto"/>
              <w:jc w:val="left"/>
            </w:pPr>
            <w:r>
              <w:t xml:space="preserve">Workforce size, training, diversity, well-being and governance data</w:t>
            </w:r>
          </w:p>
        </w:tc>
      </w:tr>
      <w:tr>
        <w:trPr>
          <w:cantSplit/>
        </w:trPr>
        <w:tc>
          <w:tcPr>
            <w:tcW w:w="2300" w:type="dxa"/>
            <w:vAlign w:val="center"/>
          </w:tcPr>
          <w:p>
            <w:pPr>
              <w:spacing w:before="20" w:after="20" w:line="240" w:lineRule="auto"/>
              <w:jc w:val="left"/>
            </w:pPr>
            <w:r>
              <w:t xml:space="preserve">Corporate websites and career portals</w:t>
            </w:r>
          </w:p>
        </w:tc>
        <w:tc>
          <w:tcPr>
            <w:tcW w:w="3183" w:type="dxa"/>
            <w:vAlign w:val="center"/>
          </w:tcPr>
          <w:p>
            <w:pPr>
              <w:spacing w:before="20" w:after="20" w:line="240" w:lineRule="auto"/>
              <w:jc w:val="left"/>
            </w:pPr>
            <w:r>
              <w:t xml:space="preserve">Hyundai careers pages; “Life at Omega” and Careers India pages</w:t>
            </w:r>
          </w:p>
        </w:tc>
        <w:tc>
          <w:tcPr>
            <w:tcW w:w="3183" w:type="dxa"/>
            <w:vAlign w:val="center"/>
          </w:tcPr>
          <w:p>
            <w:pPr>
              <w:spacing w:before="20" w:after="20" w:line="240" w:lineRule="auto"/>
              <w:jc w:val="left"/>
            </w:pPr>
            <w:r>
              <w:t xml:space="preserve">Employer-branding messages, stated policies, career paths</w:t>
            </w:r>
          </w:p>
        </w:tc>
      </w:tr>
      <w:tr>
        <w:trPr>
          <w:cantSplit/>
        </w:trPr>
        <w:tc>
          <w:tcPr>
            <w:tcW w:w="2300" w:type="dxa"/>
            <w:vAlign w:val="center"/>
          </w:tcPr>
          <w:p>
            <w:pPr>
              <w:spacing w:before="20" w:after="20" w:line="240" w:lineRule="auto"/>
              <w:jc w:val="left"/>
            </w:pPr>
            <w:r>
              <w:t xml:space="preserve">Employer-recognition platforms</w:t>
            </w:r>
          </w:p>
        </w:tc>
        <w:tc>
          <w:tcPr>
            <w:tcW w:w="3183" w:type="dxa"/>
            <w:vAlign w:val="center"/>
          </w:tcPr>
          <w:p>
            <w:pPr>
              <w:spacing w:before="20" w:after="20" w:line="240" w:lineRule="auto"/>
              <w:jc w:val="left"/>
            </w:pPr>
            <w:r>
              <w:t xml:space="preserve">Top Employers Institute, Great Place to Work, industry awards</w:t>
            </w:r>
          </w:p>
        </w:tc>
        <w:tc>
          <w:tcPr>
            <w:tcW w:w="3183" w:type="dxa"/>
            <w:vAlign w:val="center"/>
          </w:tcPr>
          <w:p>
            <w:pPr>
              <w:spacing w:before="20" w:after="20" w:line="240" w:lineRule="auto"/>
              <w:jc w:val="left"/>
            </w:pPr>
            <w:r>
              <w:t xml:space="preserve">External validation of people practices</w:t>
            </w:r>
          </w:p>
        </w:tc>
      </w:tr>
      <w:tr>
        <w:trPr>
          <w:cantSplit/>
        </w:trPr>
        <w:tc>
          <w:tcPr>
            <w:tcW w:w="2300" w:type="dxa"/>
            <w:vAlign w:val="center"/>
          </w:tcPr>
          <w:p>
            <w:pPr>
              <w:spacing w:before="20" w:after="20" w:line="240" w:lineRule="auto"/>
              <w:jc w:val="left"/>
            </w:pPr>
            <w:r>
              <w:t xml:space="preserve">HR and business publications</w:t>
            </w:r>
          </w:p>
        </w:tc>
        <w:tc>
          <w:tcPr>
            <w:tcW w:w="3183" w:type="dxa"/>
            <w:vAlign w:val="center"/>
          </w:tcPr>
          <w:p>
            <w:pPr>
              <w:spacing w:before="20" w:after="20" w:line="240" w:lineRule="auto"/>
              <w:jc w:val="left"/>
            </w:pPr>
            <w:r>
              <w:t xml:space="preserve">People Matters, HRKatha, ETHRWorld, BW People, Economic Times</w:t>
            </w:r>
          </w:p>
        </w:tc>
        <w:tc>
          <w:tcPr>
            <w:tcW w:w="3183" w:type="dxa"/>
            <w:vAlign w:val="center"/>
          </w:tcPr>
          <w:p>
            <w:pPr>
              <w:spacing w:before="20" w:after="20" w:line="240" w:lineRule="auto"/>
              <w:jc w:val="left"/>
            </w:pPr>
            <w:r>
              <w:t xml:space="preserve">Interviews with HR leaders, descriptions of initiatives</w:t>
            </w:r>
          </w:p>
        </w:tc>
      </w:tr>
      <w:tr>
        <w:trPr>
          <w:cantSplit/>
        </w:trPr>
        <w:tc>
          <w:tcPr>
            <w:tcW w:w="2300" w:type="dxa"/>
            <w:vAlign w:val="center"/>
          </w:tcPr>
          <w:p>
            <w:pPr>
              <w:spacing w:before="20" w:after="20" w:line="240" w:lineRule="auto"/>
              <w:jc w:val="left"/>
            </w:pPr>
            <w:r>
              <w:t xml:space="preserve">Industry bodies and market research</w:t>
            </w:r>
          </w:p>
        </w:tc>
        <w:tc>
          <w:tcPr>
            <w:tcW w:w="3183" w:type="dxa"/>
            <w:vAlign w:val="center"/>
          </w:tcPr>
          <w:p>
            <w:pPr>
              <w:spacing w:before="20" w:after="20" w:line="240" w:lineRule="auto"/>
              <w:jc w:val="left"/>
            </w:pPr>
            <w:r>
              <w:t xml:space="preserve">SIAM, Press Information Bureau, NASSCOM, IMARC Group</w:t>
            </w:r>
          </w:p>
        </w:tc>
        <w:tc>
          <w:tcPr>
            <w:tcW w:w="3183" w:type="dxa"/>
            <w:vAlign w:val="center"/>
          </w:tcPr>
          <w:p>
            <w:pPr>
              <w:spacing w:before="20" w:after="20" w:line="240" w:lineRule="auto"/>
              <w:jc w:val="left"/>
            </w:pPr>
            <w:r>
              <w:t xml:space="preserve">Industry size, employment and attrition context</w:t>
            </w:r>
          </w:p>
        </w:tc>
      </w:tr>
      <w:tr>
        <w:trPr>
          <w:cantSplit/>
        </w:trPr>
        <w:tc>
          <w:tcPr>
            <w:tcW w:w="2300" w:type="dxa"/>
            <w:vAlign w:val="center"/>
          </w:tcPr>
          <w:p>
            <w:pPr>
              <w:spacing w:before="20" w:after="20" w:line="240" w:lineRule="auto"/>
              <w:jc w:val="left"/>
            </w:pPr>
            <w:r>
              <w:t xml:space="preserve">Academic literature</w:t>
            </w:r>
          </w:p>
        </w:tc>
        <w:tc>
          <w:tcPr>
            <w:tcW w:w="3183" w:type="dxa"/>
            <w:vAlign w:val="center"/>
          </w:tcPr>
          <w:p>
            <w:pPr>
              <w:spacing w:before="20" w:after="20" w:line="240" w:lineRule="auto"/>
              <w:jc w:val="left"/>
            </w:pPr>
            <w:r>
              <w:t xml:space="preserve">Armstrong’s Handbook of HRM; Herzberg; Ulrich; Barney</w:t>
            </w:r>
          </w:p>
        </w:tc>
        <w:tc>
          <w:tcPr>
            <w:tcW w:w="3183" w:type="dxa"/>
            <w:vAlign w:val="center"/>
          </w:tcPr>
          <w:p>
            <w:pPr>
              <w:spacing w:before="20" w:after="20" w:line="240" w:lineRule="auto"/>
              <w:jc w:val="left"/>
            </w:pPr>
            <w:r>
              <w:t xml:space="preserve">Conceptual frameworks for interpretation</w:t>
            </w:r>
          </w:p>
        </w:tc>
      </w:tr>
    </w:tbl>
    <w:p>
      <w:pPr>
        <w:spacing w:after="140"/>
      </w:pPr>
    </w:p>
    <w:p>
      <w:pPr>
        <w:keepNext/>
        <w:keepLines/>
        <w:spacing w:before="180" w:after="100"/>
        <w:jc w:val="left"/>
      </w:pPr>
      <w:r>
        <w:rPr>
          <w:b/>
        </w:rPr>
        <w:t xml:space="preserve">2.3.3  Method of Analysis</w:t>
      </w:r>
    </w:p>
    <w:p>
      <w:pPr>
        <w:spacing w:after="140"/>
      </w:pPr>
      <w:r>
        <w:t xml:space="preserve">The data were organised in a common audit template, function by function, for both companies. Each practice was then interpreted through recognised HR frameworks, so that the conclusions rest on theory rather than opinion. Wherever possible, a claim was cross-checked against at least two independent sources, and practices that were repeatedly reported were given more weight than one-off announcements.</w:t>
      </w:r>
    </w:p>
    <w:p>
      <w:pPr>
        <w:keepNext/>
        <w:keepLines/>
        <w:spacing w:before="240"/>
        <w:jc w:val="left"/>
      </w:pPr>
      <w:r>
        <w:rPr>
          <w:b/>
          <w:sz w:val="28"/>
          <w:szCs w:val="28"/>
        </w:rPr>
        <w:t xml:space="preserve">2.4  CONCEPTUAL FRAMEWORK</w:t>
      </w:r>
    </w:p>
    <w:p>
      <w:pPr>
        <w:spacing w:after="140"/>
      </w:pPr>
      <w:r>
        <w:t xml:space="preserve">A comparative audit is only as good as the framework behind it; without theory, a list of practices is simply a list. The following frameworks were used to read the evidence.</w:t>
      </w:r>
    </w:p>
    <w:p>
      <w:pPr>
        <w:keepNext/>
        <w:keepLines/>
        <w:spacing w:before="180" w:after="100"/>
        <w:jc w:val="left"/>
      </w:pPr>
      <w:r>
        <w:rPr>
          <w:b/>
        </w:rPr>
        <w:t xml:space="preserve">2.4.1  Strategic Human Resource Management (SHRM)</w:t>
      </w:r>
    </w:p>
    <w:p>
      <w:pPr>
        <w:spacing w:after="140"/>
      </w:pPr>
      <w:r>
        <w:t xml:space="preserve">SHRM holds that people practices should be aligned with, and actively support, the organisation’s strategy. Its key insight is that HR policies work best as a coherent </w:t>
      </w:r>
      <w:r>
        <w:rPr>
          <w:b/>
        </w:rPr>
        <w:t xml:space="preserve">bundle</w:t>
      </w:r>
      <w:r>
        <w:t xml:space="preserve">: recruitment, training, appraisal and reward should all pull in the same direction. Both companies illustrate this bundling logic, though they bundle around different priorities: manufacturing quality and safety at Hyundai, service continuity and retention at Omega (Armstrong &amp; Taylor, 2023).</w:t>
      </w:r>
    </w:p>
    <w:p>
      <w:pPr>
        <w:keepNext/>
        <w:keepLines/>
        <w:spacing w:before="180" w:after="100"/>
        <w:jc w:val="left"/>
      </w:pPr>
      <w:r>
        <w:rPr>
          <w:b/>
        </w:rPr>
        <w:t xml:space="preserve">2.4.2  The Harvard Model and Ulrich’s HR Roles</w:t>
      </w:r>
    </w:p>
    <w:p>
      <w:pPr>
        <w:spacing w:after="140"/>
      </w:pPr>
      <w:r>
        <w:t xml:space="preserve">The Harvard model stresses that stakeholders such as employees, management, unions and the community shape HR outcomes, and that situational factors such as the labour market and technology condition what is possible. This is directly relevant here, because the labour markets for automobile engineers and healthcare coders behave very differently (Beer et al., 1984). Dave Ulrich’s model of HR roles, namely strategic partner, administrative expert, employee champion and change agent, offers a further lens: both firms are visibly moving their HR teams towards the strategic-partner and change-agent roles (Ulrich, 1997).</w:t>
      </w:r>
    </w:p>
    <w:p>
      <w:pPr>
        <w:keepNext/>
        <w:keepLines/>
        <w:spacing w:before="180" w:after="100"/>
        <w:jc w:val="left"/>
      </w:pPr>
      <w:r>
        <w:rPr>
          <w:b/>
        </w:rPr>
        <w:t xml:space="preserve">2.4.3  The AMO Model and the Resource-Based View</w:t>
      </w:r>
    </w:p>
    <w:p>
      <w:pPr>
        <w:spacing w:after="140"/>
      </w:pPr>
      <w:r>
        <w:t xml:space="preserve">The AMO framework proposes that performance is a function of employees’ </w:t>
      </w:r>
      <w:r>
        <w:rPr>
          <w:b/>
        </w:rPr>
        <w:t xml:space="preserve">Ability, Motivation and Opportunity</w:t>
      </w:r>
      <w:r>
        <w:t xml:space="preserve">. It is a convenient structure for an audit: learning builds Ability; compensation, engagement and recognition drive Motivation; and job design, career mobility and involvement create Opportunity (Appelbaum et al., 2000). The resource-based view (RBV) adds that people become a source of sustainable advantage when their capabilities are valuable, rare, hard to imitate and supported by the organisation (Barney, 1991).</w:t>
      </w:r>
    </w:p>
    <w:p>
      <w:pPr>
        <w:keepNext/>
        <w:keepLines/>
        <w:spacing w:before="180" w:after="100"/>
        <w:jc w:val="left"/>
      </w:pPr>
      <w:r>
        <w:rPr>
          <w:b/>
        </w:rPr>
        <w:t xml:space="preserve">2.4.4  Herzberg’s Two-Factor Theory and the Psychological Contract</w:t>
      </w:r>
    </w:p>
    <w:p>
      <w:pPr>
        <w:spacing w:after="140"/>
      </w:pPr>
      <w:r>
        <w:t xml:space="preserve">Herzberg’s distinction between hygiene factors, which prevent dissatisfaction, and motivators, which create genuine engagement, explains why neither company relies on pay alone (Herzberg, 1968). The psychological contract, the unwritten set of mutual expectations between employer and employee, is particularly useful for interpreting Omega’s loyalty-building practices and Hyundai’s long-tenure culture (Rousseau, 1995).</w:t>
      </w:r>
    </w:p>
    <w:p>
      <w:pPr>
        <w:keepNext/>
        <w:keepLines/>
        <w:spacing w:before="240"/>
        <w:jc w:val="left"/>
      </w:pPr>
      <w:r>
        <w:rPr>
          <w:b/>
          <w:sz w:val="28"/>
          <w:szCs w:val="28"/>
        </w:rPr>
        <w:t xml:space="preserve">2.5  AUDIT PARAMETERS</w:t>
      </w:r>
    </w:p>
    <w:p>
      <w:pPr>
        <w:spacing w:after="140"/>
      </w:pPr>
      <w:r>
        <w:t xml:space="preserve">The ten HR functions examined, and the questions asked of each, are summarised below.</w:t>
      </w:r>
    </w:p>
    <w:tbl>
      <w:tblPr>
        <w:tblStyle w:val="TableGrid"/>
        <w:tblW w:w="8666" w:type="dxa"/>
        <w:tblInd w:w="0" w:type="dxa"/>
        <w:tblLayout w:type="fixed"/>
        <w:tblCellMar>
          <w:top w:w="60" w:type="dxa"/>
          <w:left w:w="108" w:type="dxa"/>
          <w:bottom w:w="60" w:type="dxa"/>
          <w:right w:w="108" w:type="dxa"/>
        </w:tblCellMar>
        <w:tblLook w:val="04A0" w:firstRow="1" w:lastRow="0" w:firstColumn="1" w:lastColumn="0" w:noHBand="0" w:noVBand="1"/>
      </w:tblPr>
      <w:tblGrid>
        <w:gridCol w:w="1000"/>
        <w:gridCol w:w="2866"/>
        <w:gridCol w:w="4800"/>
      </w:tblGrid>
      <w:tr>
        <w:trPr>
          <w:cantSplit/>
          <w:tblHeader/>
        </w:trPr>
        <w:tc>
          <w:tcPr>
            <w:tcW w:w="1000" w:type="dxa"/>
            <w:vAlign w:val="center"/>
          </w:tcPr>
          <w:p>
            <w:pPr>
              <w:spacing w:before="20" w:after="20" w:line="240" w:lineRule="auto"/>
              <w:jc w:val="center"/>
            </w:pPr>
            <w:r>
              <w:rPr>
                <w:b/>
              </w:rPr>
              <w:t xml:space="preserve">S. No.</w:t>
            </w:r>
          </w:p>
        </w:tc>
        <w:tc>
          <w:tcPr>
            <w:tcW w:w="2866" w:type="dxa"/>
            <w:vAlign w:val="center"/>
          </w:tcPr>
          <w:p>
            <w:pPr>
              <w:spacing w:before="20" w:after="20" w:line="240" w:lineRule="auto"/>
              <w:jc w:val="center"/>
            </w:pPr>
            <w:r>
              <w:rPr>
                <w:b/>
              </w:rPr>
              <w:t xml:space="preserve">HR Function</w:t>
            </w:r>
          </w:p>
        </w:tc>
        <w:tc>
          <w:tcPr>
            <w:tcW w:w="4800" w:type="dxa"/>
            <w:vAlign w:val="center"/>
          </w:tcPr>
          <w:p>
            <w:pPr>
              <w:spacing w:before="20" w:after="20" w:line="240" w:lineRule="auto"/>
              <w:jc w:val="center"/>
            </w:pPr>
            <w:r>
              <w:rPr>
                <w:b/>
              </w:rPr>
              <w:t xml:space="preserve">Key Audit Question</w:t>
            </w:r>
          </w:p>
        </w:tc>
      </w:tr>
      <w:tr>
        <w:trPr>
          <w:cantSplit/>
        </w:trPr>
        <w:tc>
          <w:tcPr>
            <w:tcW w:w="1000" w:type="dxa"/>
            <w:vAlign w:val="center"/>
          </w:tcPr>
          <w:p>
            <w:pPr>
              <w:spacing w:before="20" w:after="20" w:line="240" w:lineRule="auto"/>
              <w:jc w:val="left"/>
            </w:pPr>
            <w:r>
              <w:t xml:space="preserve">1</w:t>
            </w:r>
          </w:p>
        </w:tc>
        <w:tc>
          <w:tcPr>
            <w:tcW w:w="2866" w:type="dxa"/>
            <w:vAlign w:val="center"/>
          </w:tcPr>
          <w:p>
            <w:pPr>
              <w:spacing w:before="20" w:after="20" w:line="240" w:lineRule="auto"/>
              <w:jc w:val="left"/>
            </w:pPr>
            <w:r>
              <w:t xml:space="preserve">Employer Branding</w:t>
            </w:r>
          </w:p>
        </w:tc>
        <w:tc>
          <w:tcPr>
            <w:tcW w:w="4800" w:type="dxa"/>
            <w:vAlign w:val="center"/>
          </w:tcPr>
          <w:p>
            <w:pPr>
              <w:spacing w:before="20" w:after="20" w:line="240" w:lineRule="auto"/>
              <w:jc w:val="left"/>
            </w:pPr>
            <w:r>
              <w:t xml:space="preserve">What promise does the company make to potential employees, and how is it validated?</w:t>
            </w:r>
          </w:p>
        </w:tc>
      </w:tr>
      <w:tr>
        <w:trPr>
          <w:cantSplit/>
        </w:trPr>
        <w:tc>
          <w:tcPr>
            <w:tcW w:w="1000" w:type="dxa"/>
            <w:vAlign w:val="center"/>
          </w:tcPr>
          <w:p>
            <w:pPr>
              <w:spacing w:before="20" w:after="20" w:line="240" w:lineRule="auto"/>
              <w:jc w:val="left"/>
            </w:pPr>
            <w:r>
              <w:t xml:space="preserve">2</w:t>
            </w:r>
          </w:p>
        </w:tc>
        <w:tc>
          <w:tcPr>
            <w:tcW w:w="2866" w:type="dxa"/>
            <w:vAlign w:val="center"/>
          </w:tcPr>
          <w:p>
            <w:pPr>
              <w:spacing w:before="20" w:after="20" w:line="240" w:lineRule="auto"/>
              <w:jc w:val="left"/>
            </w:pPr>
            <w:r>
              <w:t xml:space="preserve">Recruitment and Selection</w:t>
            </w:r>
          </w:p>
        </w:tc>
        <w:tc>
          <w:tcPr>
            <w:tcW w:w="4800" w:type="dxa"/>
            <w:vAlign w:val="center"/>
          </w:tcPr>
          <w:p>
            <w:pPr>
              <w:spacing w:before="20" w:after="20" w:line="240" w:lineRule="auto"/>
              <w:jc w:val="left"/>
            </w:pPr>
            <w:r>
              <w:t xml:space="preserve">How, and for what qualities, does the company hire?</w:t>
            </w:r>
          </w:p>
        </w:tc>
      </w:tr>
      <w:tr>
        <w:trPr>
          <w:cantSplit/>
        </w:trPr>
        <w:tc>
          <w:tcPr>
            <w:tcW w:w="1000" w:type="dxa"/>
            <w:vAlign w:val="center"/>
          </w:tcPr>
          <w:p>
            <w:pPr>
              <w:spacing w:before="20" w:after="20" w:line="240" w:lineRule="auto"/>
              <w:jc w:val="left"/>
            </w:pPr>
            <w:r>
              <w:t xml:space="preserve">3</w:t>
            </w:r>
          </w:p>
        </w:tc>
        <w:tc>
          <w:tcPr>
            <w:tcW w:w="2866" w:type="dxa"/>
            <w:vAlign w:val="center"/>
          </w:tcPr>
          <w:p>
            <w:pPr>
              <w:spacing w:before="20" w:after="20" w:line="240" w:lineRule="auto"/>
              <w:jc w:val="left"/>
            </w:pPr>
            <w:r>
              <w:t xml:space="preserve">Learning and Development</w:t>
            </w:r>
          </w:p>
        </w:tc>
        <w:tc>
          <w:tcPr>
            <w:tcW w:w="4800" w:type="dxa"/>
            <w:vAlign w:val="center"/>
          </w:tcPr>
          <w:p>
            <w:pPr>
              <w:spacing w:before="20" w:after="20" w:line="240" w:lineRule="auto"/>
              <w:jc w:val="left"/>
            </w:pPr>
            <w:r>
              <w:t xml:space="preserve">How is capability built, and for what strategic purpose?</w:t>
            </w:r>
          </w:p>
        </w:tc>
      </w:tr>
      <w:tr>
        <w:trPr>
          <w:cantSplit/>
        </w:trPr>
        <w:tc>
          <w:tcPr>
            <w:tcW w:w="1000" w:type="dxa"/>
            <w:vAlign w:val="center"/>
          </w:tcPr>
          <w:p>
            <w:pPr>
              <w:spacing w:before="20" w:after="20" w:line="240" w:lineRule="auto"/>
              <w:jc w:val="left"/>
            </w:pPr>
            <w:r>
              <w:t xml:space="preserve">4</w:t>
            </w:r>
          </w:p>
        </w:tc>
        <w:tc>
          <w:tcPr>
            <w:tcW w:w="2866" w:type="dxa"/>
            <w:vAlign w:val="center"/>
          </w:tcPr>
          <w:p>
            <w:pPr>
              <w:spacing w:before="20" w:after="20" w:line="240" w:lineRule="auto"/>
              <w:jc w:val="left"/>
            </w:pPr>
            <w:r>
              <w:t xml:space="preserve">Performance Management</w:t>
            </w:r>
          </w:p>
        </w:tc>
        <w:tc>
          <w:tcPr>
            <w:tcW w:w="4800" w:type="dxa"/>
            <w:vAlign w:val="center"/>
          </w:tcPr>
          <w:p>
            <w:pPr>
              <w:spacing w:before="20" w:after="20" w:line="240" w:lineRule="auto"/>
              <w:jc w:val="left"/>
            </w:pPr>
            <w:r>
              <w:t xml:space="preserve">How is contribution defined, measured and rewarded, and how often?</w:t>
            </w:r>
          </w:p>
        </w:tc>
      </w:tr>
      <w:tr>
        <w:trPr>
          <w:cantSplit/>
        </w:trPr>
        <w:tc>
          <w:tcPr>
            <w:tcW w:w="1000" w:type="dxa"/>
            <w:vAlign w:val="center"/>
          </w:tcPr>
          <w:p>
            <w:pPr>
              <w:spacing w:before="20" w:after="20" w:line="240" w:lineRule="auto"/>
              <w:jc w:val="left"/>
            </w:pPr>
            <w:r>
              <w:t xml:space="preserve">5</w:t>
            </w:r>
          </w:p>
        </w:tc>
        <w:tc>
          <w:tcPr>
            <w:tcW w:w="2866" w:type="dxa"/>
            <w:vAlign w:val="center"/>
          </w:tcPr>
          <w:p>
            <w:pPr>
              <w:spacing w:before="20" w:after="20" w:line="240" w:lineRule="auto"/>
              <w:jc w:val="left"/>
            </w:pPr>
            <w:r>
              <w:t xml:space="preserve">Compensation and Benefits</w:t>
            </w:r>
          </w:p>
        </w:tc>
        <w:tc>
          <w:tcPr>
            <w:tcW w:w="4800" w:type="dxa"/>
            <w:vAlign w:val="center"/>
          </w:tcPr>
          <w:p>
            <w:pPr>
              <w:spacing w:before="20" w:after="20" w:line="240" w:lineRule="auto"/>
              <w:jc w:val="left"/>
            </w:pPr>
            <w:r>
              <w:t xml:space="preserve">What is the reward philosophy and structure?</w:t>
            </w:r>
          </w:p>
        </w:tc>
      </w:tr>
      <w:tr>
        <w:trPr>
          <w:cantSplit/>
        </w:trPr>
        <w:tc>
          <w:tcPr>
            <w:tcW w:w="1000" w:type="dxa"/>
            <w:vAlign w:val="center"/>
          </w:tcPr>
          <w:p>
            <w:pPr>
              <w:spacing w:before="20" w:after="20" w:line="240" w:lineRule="auto"/>
              <w:jc w:val="left"/>
            </w:pPr>
            <w:r>
              <w:t xml:space="preserve">6</w:t>
            </w:r>
          </w:p>
        </w:tc>
        <w:tc>
          <w:tcPr>
            <w:tcW w:w="2866" w:type="dxa"/>
            <w:vAlign w:val="center"/>
          </w:tcPr>
          <w:p>
            <w:pPr>
              <w:spacing w:before="20" w:after="20" w:line="240" w:lineRule="auto"/>
              <w:jc w:val="left"/>
            </w:pPr>
            <w:r>
              <w:t xml:space="preserve">Employee Engagement</w:t>
            </w:r>
          </w:p>
        </w:tc>
        <w:tc>
          <w:tcPr>
            <w:tcW w:w="4800" w:type="dxa"/>
            <w:vAlign w:val="center"/>
          </w:tcPr>
          <w:p>
            <w:pPr>
              <w:spacing w:before="20" w:after="20" w:line="240" w:lineRule="auto"/>
              <w:jc w:val="left"/>
            </w:pPr>
            <w:r>
              <w:t xml:space="preserve">How is engagement created, measured and acted upon?</w:t>
            </w:r>
          </w:p>
        </w:tc>
      </w:tr>
      <w:tr>
        <w:trPr>
          <w:cantSplit/>
        </w:trPr>
        <w:tc>
          <w:tcPr>
            <w:tcW w:w="1000" w:type="dxa"/>
            <w:vAlign w:val="center"/>
          </w:tcPr>
          <w:p>
            <w:pPr>
              <w:spacing w:before="20" w:after="20" w:line="240" w:lineRule="auto"/>
              <w:jc w:val="left"/>
            </w:pPr>
            <w:r>
              <w:t xml:space="preserve">7</w:t>
            </w:r>
          </w:p>
        </w:tc>
        <w:tc>
          <w:tcPr>
            <w:tcW w:w="2866" w:type="dxa"/>
            <w:vAlign w:val="center"/>
          </w:tcPr>
          <w:p>
            <w:pPr>
              <w:spacing w:before="20" w:after="20" w:line="240" w:lineRule="auto"/>
              <w:jc w:val="left"/>
            </w:pPr>
            <w:r>
              <w:t xml:space="preserve">Diversity, Equity and Inclusion</w:t>
            </w:r>
          </w:p>
        </w:tc>
        <w:tc>
          <w:tcPr>
            <w:tcW w:w="4800" w:type="dxa"/>
            <w:vAlign w:val="center"/>
          </w:tcPr>
          <w:p>
            <w:pPr>
              <w:spacing w:before="20" w:after="20" w:line="240" w:lineRule="auto"/>
              <w:jc w:val="left"/>
            </w:pPr>
            <w:r>
              <w:t xml:space="preserve">Who is represented, and what is done to widen inclusion?</w:t>
            </w:r>
          </w:p>
        </w:tc>
      </w:tr>
      <w:tr>
        <w:trPr>
          <w:cantSplit/>
        </w:trPr>
        <w:tc>
          <w:tcPr>
            <w:tcW w:w="1000" w:type="dxa"/>
            <w:vAlign w:val="center"/>
          </w:tcPr>
          <w:p>
            <w:pPr>
              <w:spacing w:before="20" w:after="20" w:line="240" w:lineRule="auto"/>
              <w:jc w:val="left"/>
            </w:pPr>
            <w:r>
              <w:t xml:space="preserve">8</w:t>
            </w:r>
          </w:p>
        </w:tc>
        <w:tc>
          <w:tcPr>
            <w:tcW w:w="2866" w:type="dxa"/>
            <w:vAlign w:val="center"/>
          </w:tcPr>
          <w:p>
            <w:pPr>
              <w:spacing w:before="20" w:after="20" w:line="240" w:lineRule="auto"/>
              <w:jc w:val="left"/>
            </w:pPr>
            <w:r>
              <w:t xml:space="preserve">Career Development</w:t>
            </w:r>
          </w:p>
        </w:tc>
        <w:tc>
          <w:tcPr>
            <w:tcW w:w="4800" w:type="dxa"/>
            <w:vAlign w:val="center"/>
          </w:tcPr>
          <w:p>
            <w:pPr>
              <w:spacing w:before="20" w:after="20" w:line="240" w:lineRule="auto"/>
              <w:jc w:val="left"/>
            </w:pPr>
            <w:r>
              <w:t xml:space="preserve">How do people progress, vertically and laterally?</w:t>
            </w:r>
          </w:p>
        </w:tc>
      </w:tr>
      <w:tr>
        <w:trPr>
          <w:cantSplit/>
        </w:trPr>
        <w:tc>
          <w:tcPr>
            <w:tcW w:w="1000" w:type="dxa"/>
            <w:vAlign w:val="center"/>
          </w:tcPr>
          <w:p>
            <w:pPr>
              <w:spacing w:before="20" w:after="20" w:line="240" w:lineRule="auto"/>
              <w:jc w:val="left"/>
            </w:pPr>
            <w:r>
              <w:t xml:space="preserve">9</w:t>
            </w:r>
          </w:p>
        </w:tc>
        <w:tc>
          <w:tcPr>
            <w:tcW w:w="2866" w:type="dxa"/>
            <w:vAlign w:val="center"/>
          </w:tcPr>
          <w:p>
            <w:pPr>
              <w:spacing w:before="20" w:after="20" w:line="240" w:lineRule="auto"/>
              <w:jc w:val="left"/>
            </w:pPr>
            <w:r>
              <w:t xml:space="preserve">HR Technology</w:t>
            </w:r>
          </w:p>
        </w:tc>
        <w:tc>
          <w:tcPr>
            <w:tcW w:w="4800" w:type="dxa"/>
            <w:vAlign w:val="center"/>
          </w:tcPr>
          <w:p>
            <w:pPr>
              <w:spacing w:before="20" w:after="20" w:line="240" w:lineRule="auto"/>
              <w:jc w:val="left"/>
            </w:pPr>
            <w:r>
              <w:t xml:space="preserve">Where is technology applied in the people function?</w:t>
            </w:r>
          </w:p>
        </w:tc>
      </w:tr>
      <w:tr>
        <w:trPr>
          <w:cantSplit/>
        </w:trPr>
        <w:tc>
          <w:tcPr>
            <w:tcW w:w="1000" w:type="dxa"/>
            <w:vAlign w:val="center"/>
          </w:tcPr>
          <w:p>
            <w:pPr>
              <w:spacing w:before="20" w:after="20" w:line="240" w:lineRule="auto"/>
              <w:jc w:val="left"/>
            </w:pPr>
            <w:r>
              <w:t xml:space="preserve">10</w:t>
            </w:r>
          </w:p>
        </w:tc>
        <w:tc>
          <w:tcPr>
            <w:tcW w:w="2866" w:type="dxa"/>
            <w:vAlign w:val="center"/>
          </w:tcPr>
          <w:p>
            <w:pPr>
              <w:spacing w:before="20" w:after="20" w:line="240" w:lineRule="auto"/>
              <w:jc w:val="left"/>
            </w:pPr>
            <w:r>
              <w:t xml:space="preserve">Well-being and Workplace Culture</w:t>
            </w:r>
          </w:p>
        </w:tc>
        <w:tc>
          <w:tcPr>
            <w:tcW w:w="4800" w:type="dxa"/>
            <w:vAlign w:val="center"/>
          </w:tcPr>
          <w:p>
            <w:pPr>
              <w:spacing w:before="20" w:after="20" w:line="240" w:lineRule="auto"/>
              <w:jc w:val="left"/>
            </w:pPr>
            <w:r>
              <w:t xml:space="preserve">How does the company protect and support its people?</w:t>
            </w:r>
          </w:p>
        </w:tc>
      </w:tr>
    </w:tbl>
    <w:p>
      <w:pPr>
        <w:spacing w:after="140"/>
      </w:pPr>
    </w:p>
    <w:p>
      <w:pPr>
        <w:keepNext/>
        <w:keepLines/>
        <w:spacing w:before="240"/>
        <w:jc w:val="left"/>
      </w:pPr>
      <w:r>
        <w:rPr>
          <w:b/>
          <w:sz w:val="28"/>
          <w:szCs w:val="28"/>
        </w:rPr>
        <w:t xml:space="preserve">2.6  WORK PLAN AND TIMELINE OF ACTIVITIES</w:t>
      </w:r>
    </w:p>
    <w:p>
      <w:pPr>
        <w:spacing w:after="140"/>
      </w:pPr>
      <w:r>
        <w:t xml:space="preserve">The project ran from January to June 2026 and was structured so that each phase built on the previous one, beginning with the choice of organisations and ending with the final report.</w:t>
      </w:r>
    </w:p>
    <w:p>
      <w:pPr>
        <w:keepNext/>
        <w:keepLines/>
        <w:spacing w:before="180" w:after="100"/>
        <w:jc w:val="left"/>
      </w:pPr>
      <w:r>
        <w:rPr>
          <w:b/>
        </w:rPr>
        <w:t xml:space="preserve">Phase 1 (January 2026): Topic Finalisation and Selection of Organisations</w:t>
      </w:r>
    </w:p>
    <w:p>
      <w:pPr>
        <w:numPr>
          <w:ilvl w:val="0"/>
          <w:numId w:val="1"/>
        </w:numPr>
        <w:spacing w:after="80"/>
      </w:pPr>
      <w:r>
        <w:t xml:space="preserve">Discussed possible project routes with the faculty guide and finalised the comparative HR audit as the project topic.</w:t>
      </w:r>
    </w:p>
    <w:p>
      <w:pPr>
        <w:numPr>
          <w:ilvl w:val="0"/>
          <w:numId w:val="1"/>
        </w:numPr>
        <w:spacing w:after="80"/>
      </w:pPr>
      <w:r>
        <w:t xml:space="preserve">Shortlisted organisations from different sectors and selected Hyundai Motor India and Omega Healthcare using the criteria in Section 2.3.1.</w:t>
      </w:r>
    </w:p>
    <w:p>
      <w:pPr>
        <w:numPr>
          <w:ilvl w:val="0"/>
          <w:numId w:val="1"/>
        </w:numPr>
        <w:spacing w:after="80"/>
      </w:pPr>
      <w:r>
        <w:t xml:space="preserve">Drafted the objectives and scope of the study and obtained the guide’s approval.</w:t>
      </w:r>
    </w:p>
    <w:p>
      <w:pPr>
        <w:spacing w:after="60" w:line="120" w:lineRule="auto"/>
      </w:pPr>
    </w:p>
    <w:p>
      <w:pPr>
        <w:keepNext/>
        <w:keepLines/>
        <w:spacing w:before="180" w:after="100"/>
        <w:jc w:val="left"/>
      </w:pPr>
      <w:r>
        <w:rPr>
          <w:b/>
        </w:rPr>
        <w:t xml:space="preserve">Phase 2 (February 2026): Literature Review and Audit Framework</w:t>
      </w:r>
    </w:p>
    <w:p>
      <w:pPr>
        <w:numPr>
          <w:ilvl w:val="0"/>
          <w:numId w:val="1"/>
        </w:numPr>
        <w:spacing w:after="80"/>
      </w:pPr>
      <w:r>
        <w:t xml:space="preserve">Revised the SHRM, Harvard, Ulrich, AMO, RBV and Herzberg frameworks from coursework and the recommended texts.</w:t>
      </w:r>
    </w:p>
    <w:p>
      <w:pPr>
        <w:numPr>
          <w:ilvl w:val="0"/>
          <w:numId w:val="1"/>
        </w:numPr>
        <w:spacing w:after="80"/>
      </w:pPr>
      <w:r>
        <w:t xml:space="preserve">Defined the ten audit functions and the common four-step template of describe, compare, explain and evaluate.</w:t>
      </w:r>
    </w:p>
    <w:p>
      <w:pPr>
        <w:numPr>
          <w:ilvl w:val="0"/>
          <w:numId w:val="1"/>
        </w:numPr>
        <w:spacing w:after="80"/>
      </w:pPr>
      <w:r>
        <w:t xml:space="preserve">Prepared an evidence log in Excel to record each source, its date and the HR function it related to.</w:t>
      </w:r>
    </w:p>
    <w:p>
      <w:pPr>
        <w:spacing w:after="60" w:line="120" w:lineRule="auto"/>
      </w:pPr>
    </w:p>
    <w:p>
      <w:pPr>
        <w:keepNext/>
        <w:keepLines/>
        <w:spacing w:before="180" w:after="100"/>
        <w:jc w:val="left"/>
      </w:pPr>
      <w:r>
        <w:rPr>
          <w:b/>
        </w:rPr>
        <w:t xml:space="preserve">Phase 3 (March 2026): Data Collection – Hyundai Motor India</w:t>
      </w:r>
    </w:p>
    <w:p>
      <w:pPr>
        <w:numPr>
          <w:ilvl w:val="0"/>
          <w:numId w:val="1"/>
        </w:numPr>
        <w:spacing w:after="80"/>
      </w:pPr>
      <w:r>
        <w:t xml:space="preserve">Studied the Integrated Annual Report, BRSR, press releases and investor disclosures of HMIL.</w:t>
      </w:r>
    </w:p>
    <w:p>
      <w:pPr>
        <w:numPr>
          <w:ilvl w:val="0"/>
          <w:numId w:val="1"/>
        </w:numPr>
        <w:spacing w:after="80"/>
      </w:pPr>
      <w:r>
        <w:t xml:space="preserve">Collected interviews and features on Hyundai’s HR leadership from People Matters, ETHRWorld and BW People.</w:t>
      </w:r>
    </w:p>
    <w:p>
      <w:pPr>
        <w:numPr>
          <w:ilvl w:val="0"/>
          <w:numId w:val="1"/>
        </w:numPr>
        <w:spacing w:after="80"/>
      </w:pPr>
      <w:r>
        <w:t xml:space="preserve">Recorded evidence on the academy system, Role-Based Organisation, Young Talent Program, TrailBlazHER and Samarth.</w:t>
      </w:r>
    </w:p>
    <w:p>
      <w:pPr>
        <w:spacing w:after="60" w:line="120" w:lineRule="auto"/>
      </w:pPr>
    </w:p>
    <w:p>
      <w:pPr>
        <w:keepNext/>
        <w:keepLines/>
        <w:spacing w:before="180" w:after="100"/>
        <w:jc w:val="left"/>
      </w:pPr>
      <w:r>
        <w:rPr>
          <w:b/>
        </w:rPr>
        <w:t xml:space="preserve">Phase 4 (April 2026): Data Collection – Omega Healthcare</w:t>
      </w:r>
    </w:p>
    <w:p>
      <w:pPr>
        <w:numPr>
          <w:ilvl w:val="0"/>
          <w:numId w:val="1"/>
        </w:numPr>
        <w:spacing w:after="80"/>
      </w:pPr>
      <w:r>
        <w:t xml:space="preserve">Studied Omega’s corporate website, “Life at Omega” and careers pages, and newsroom announcements.</w:t>
      </w:r>
    </w:p>
    <w:p>
      <w:pPr>
        <w:numPr>
          <w:ilvl w:val="0"/>
          <w:numId w:val="1"/>
        </w:numPr>
        <w:spacing w:after="80"/>
      </w:pPr>
      <w:r>
        <w:t xml:space="preserve">Collected features on Omega’s people practices, including the Golden Brick awards, Career Lattice and quarterly merit increases.</w:t>
      </w:r>
    </w:p>
    <w:p>
      <w:pPr>
        <w:numPr>
          <w:ilvl w:val="0"/>
          <w:numId w:val="1"/>
        </w:numPr>
        <w:spacing w:after="80"/>
      </w:pPr>
      <w:r>
        <w:t xml:space="preserve">Cross-checked employee-experience claims against employer-recognition platforms and independent coverage.</w:t>
      </w:r>
    </w:p>
    <w:p>
      <w:pPr>
        <w:spacing w:after="60" w:line="120" w:lineRule="auto"/>
      </w:pPr>
    </w:p>
    <w:p>
      <w:pPr>
        <w:keepNext/>
        <w:keepLines/>
        <w:spacing w:before="180" w:after="100"/>
        <w:jc w:val="left"/>
      </w:pPr>
      <w:r>
        <w:rPr>
          <w:b/>
        </w:rPr>
        <w:t xml:space="preserve">Phase 5 (May 2026): Comparative Analysis</w:t>
      </w:r>
    </w:p>
    <w:p>
      <w:pPr>
        <w:numPr>
          <w:ilvl w:val="0"/>
          <w:numId w:val="1"/>
        </w:numPr>
        <w:spacing w:after="80"/>
      </w:pPr>
      <w:r>
        <w:t xml:space="preserve">Completed the function-by-function comparison and prepared a summary table for each of the ten functions.</w:t>
      </w:r>
    </w:p>
    <w:p>
      <w:pPr>
        <w:numPr>
          <w:ilvl w:val="0"/>
          <w:numId w:val="1"/>
        </w:numPr>
        <w:spacing w:after="80"/>
      </w:pPr>
      <w:r>
        <w:t xml:space="preserve">Identified the industry factors behind each difference and mapped the findings to the AMO model and RBV.</w:t>
      </w:r>
    </w:p>
    <w:p>
      <w:pPr>
        <w:numPr>
          <w:ilvl w:val="0"/>
          <w:numId w:val="1"/>
        </w:numPr>
        <w:spacing w:after="80"/>
      </w:pPr>
      <w:r>
        <w:t xml:space="preserve">Drafted the cross-cutting analysis, key findings and recommendations, and reviewed them with the faculty guide.</w:t>
      </w:r>
    </w:p>
    <w:p>
      <w:pPr>
        <w:spacing w:after="60" w:line="120" w:lineRule="auto"/>
      </w:pPr>
    </w:p>
    <w:p>
      <w:pPr>
        <w:keepNext/>
        <w:keepLines/>
        <w:spacing w:before="180" w:after="100"/>
        <w:jc w:val="left"/>
      </w:pPr>
      <w:r>
        <w:rPr>
          <w:b/>
        </w:rPr>
        <w:t xml:space="preserve">Phase 6 (June 2026): Report Writing and Review</w:t>
      </w:r>
    </w:p>
    <w:p>
      <w:pPr>
        <w:numPr>
          <w:ilvl w:val="0"/>
          <w:numId w:val="1"/>
        </w:numPr>
        <w:spacing w:after="80"/>
      </w:pPr>
      <w:r>
        <w:t xml:space="preserve">Wrote the full report in the prescribed SIP format and incorporated the guide’s review comments.</w:t>
      </w:r>
    </w:p>
    <w:p>
      <w:pPr>
        <w:numPr>
          <w:ilvl w:val="0"/>
          <w:numId w:val="1"/>
        </w:numPr>
        <w:spacing w:after="80"/>
      </w:pPr>
      <w:r>
        <w:t xml:space="preserve">Verified all figures and references, and updated them with the latest public disclosures available at the time of final submission.</w:t>
      </w:r>
    </w:p>
    <w:p>
      <w:pPr>
        <w:numPr>
          <w:ilvl w:val="0"/>
          <w:numId w:val="1"/>
        </w:numPr>
        <w:spacing w:after="80"/>
      </w:pPr>
      <w:r>
        <w:t xml:space="preserve">Prepared the final document for submission and viva voce.</w:t>
      </w:r>
    </w:p>
    <w:p>
      <w:pPr>
        <w:spacing w:after="60" w:line="120" w:lineRule="auto"/>
      </w:pPr>
    </w:p>
    <w:p>
      <w:pPr>
        <w:keepNext/>
        <w:keepLines/>
        <w:spacing w:before="240"/>
        <w:jc w:val="left"/>
      </w:pPr>
      <w:r>
        <w:rPr>
          <w:b/>
          <w:sz w:val="28"/>
          <w:szCs w:val="28"/>
        </w:rPr>
        <w:t xml:space="preserve">2.7  TOOLS AND RESOURCES USED</w:t>
      </w:r>
    </w:p>
    <w:p>
      <w:pPr>
        <w:keepNext/>
        <w:keepLines/>
        <w:spacing w:before="180" w:after="100"/>
        <w:jc w:val="left"/>
      </w:pPr>
      <w:r>
        <w:rPr>
          <w:b/>
        </w:rPr>
        <w:t xml:space="preserve">2.7.1  Company Reports and Regulatory Disclosures</w:t>
      </w:r>
    </w:p>
    <w:p>
      <w:pPr>
        <w:spacing w:after="140"/>
      </w:pPr>
      <w:r>
        <w:t xml:space="preserve">Annual reports and Business Responsibility and Sustainability Reports were the most reliable sources for Hyundai, because they are regulated disclosures. Learning to read the BRSR sections on employees, training, diversity and well-being was itself a valuable skill, since these reports present people data in a standardised format.</w:t>
      </w:r>
    </w:p>
    <w:p>
      <w:pPr>
        <w:keepNext/>
        <w:keepLines/>
        <w:spacing w:before="180" w:after="100"/>
        <w:jc w:val="left"/>
      </w:pPr>
      <w:r>
        <w:rPr>
          <w:b/>
        </w:rPr>
        <w:t xml:space="preserve">2.7.2  HR Publications and Leadership Interviews</w:t>
      </w:r>
    </w:p>
    <w:p>
      <w:pPr>
        <w:spacing w:after="140"/>
      </w:pPr>
      <w:r>
        <w:t xml:space="preserve">HR publications such as People Matters, HRKatha, ETHRWorld and BW People provided the qualitative detail that annual reports lack: the reasoning of HR leaders behind a practice, and how it works in daily operation. These were especially important for Omega, which as a private company discloses less formally.</w:t>
      </w:r>
    </w:p>
    <w:p>
      <w:pPr>
        <w:keepNext/>
        <w:keepLines/>
        <w:spacing w:before="180" w:after="100"/>
        <w:jc w:val="left"/>
      </w:pPr>
      <w:r>
        <w:rPr>
          <w:b/>
        </w:rPr>
        <w:t xml:space="preserve">2.7.3  Microsoft Excel</w:t>
      </w:r>
    </w:p>
    <w:p>
      <w:pPr>
        <w:spacing w:after="140"/>
      </w:pPr>
      <w:r>
        <w:t xml:space="preserve">Excel was used to build the evidence log and the comparison matrix, with one row per practice and columns for company, HR function, source and date. Filtering and sorting made it possible to see gaps in the evidence and to ensure that every conclusion was supported by at least one documented source.</w:t>
      </w:r>
    </w:p>
    <w:p>
      <w:pPr>
        <w:keepNext/>
        <w:keepLines/>
        <w:spacing w:before="180" w:after="100"/>
        <w:jc w:val="left"/>
      </w:pPr>
      <w:r>
        <w:rPr>
          <w:b/>
        </w:rPr>
        <w:t xml:space="preserve">2.7.4  Microsoft Word</w:t>
      </w:r>
    </w:p>
    <w:p>
      <w:pPr>
        <w:spacing w:after="140"/>
      </w:pPr>
      <w:r>
        <w:t xml:space="preserve">Word was used to draft the report in the prescribed SIP format, including the summary tables for each function. Preparing a document to be read by faculty and examiners taught me to write concisely and in a consistent structure.</w:t>
      </w:r>
    </w:p>
    <w:p>
      <w:pPr>
        <w:keepNext/>
        <w:keepLines/>
        <w:spacing w:before="240"/>
        <w:jc w:val="left"/>
      </w:pPr>
      <w:r>
        <w:rPr>
          <w:b/>
          <w:sz w:val="28"/>
          <w:szCs w:val="28"/>
        </w:rPr>
        <w:t xml:space="preserve">2.8  APPLICATION OF ACADEMIC KNOWLEDGE</w:t>
      </w:r>
    </w:p>
    <w:p>
      <w:pPr>
        <w:spacing w:after="140"/>
      </w:pPr>
      <w:r>
        <w:t xml:space="preserve">One of the most satisfying aspects of the project was recognising classroom concepts in the real practices of two large employers. The main areas of application were as follows.</w:t>
      </w:r>
    </w:p>
    <w:p>
      <w:pPr>
        <w:keepNext/>
        <w:keepLines/>
        <w:spacing w:before="180" w:after="100"/>
        <w:jc w:val="left"/>
      </w:pPr>
      <w:r>
        <w:rPr>
          <w:b/>
        </w:rPr>
        <w:t xml:space="preserve">2.8.1  Human Resource Management</w:t>
      </w:r>
    </w:p>
    <w:p>
      <w:pPr>
        <w:spacing w:after="140"/>
      </w:pPr>
      <w:r>
        <w:t xml:space="preserve">Applied the core HR functions of acquisition, development, reward and retention as the backbone of the audit framework, and used the concept of HR bundles to judge whether each company’s practices were internally consistent.</w:t>
      </w:r>
    </w:p>
    <w:p>
      <w:pPr>
        <w:keepNext/>
        <w:keepLines/>
        <w:spacing w:before="180" w:after="100"/>
        <w:jc w:val="left"/>
      </w:pPr>
      <w:r>
        <w:rPr>
          <w:b/>
        </w:rPr>
        <w:t xml:space="preserve">2.8.2  Organisational Behaviour</w:t>
      </w:r>
    </w:p>
    <w:p>
      <w:pPr>
        <w:spacing w:after="140"/>
      </w:pPr>
      <w:r>
        <w:t xml:space="preserve">Applied motivation theories, particularly Herzberg’s two-factor theory, and the concepts of engagement, organisational culture and the psychological contract to interpret recognition, well-being and retention practices.</w:t>
      </w:r>
    </w:p>
    <w:p>
      <w:pPr>
        <w:keepNext/>
        <w:keepLines/>
        <w:spacing w:before="180" w:after="100"/>
        <w:jc w:val="left"/>
      </w:pPr>
      <w:r>
        <w:rPr>
          <w:b/>
        </w:rPr>
        <w:t xml:space="preserve">2.8.3  Strategic Management</w:t>
      </w:r>
    </w:p>
    <w:p>
      <w:pPr>
        <w:spacing w:after="140"/>
      </w:pPr>
      <w:r>
        <w:t xml:space="preserve">Applied the resource-based view and SWOT analysis to understand how people practices support competitive advantage, and how each company’s HR strategy follows from its business strategy.</w:t>
      </w:r>
    </w:p>
    <w:p>
      <w:pPr>
        <w:keepNext/>
        <w:keepLines/>
        <w:spacing w:before="180" w:after="100"/>
        <w:jc w:val="left"/>
      </w:pPr>
      <w:r>
        <w:rPr>
          <w:b/>
        </w:rPr>
        <w:t xml:space="preserve">2.8.4  Business Research Methods</w:t>
      </w:r>
    </w:p>
    <w:p>
      <w:pPr>
        <w:spacing w:after="140"/>
      </w:pPr>
      <w:r>
        <w:t xml:space="preserve">Applied the principles of research design, secondary data collection, source evaluation and triangulation, and learned to state the limitations of a secondary-data study honestly.</w:t>
      </w:r>
    </w:p>
    <w:p>
      <w:pPr>
        <w:keepNext/>
        <w:keepLines/>
        <w:spacing w:before="180" w:after="100"/>
        <w:jc w:val="left"/>
      </w:pPr>
      <w:r>
        <w:rPr>
          <w:b/>
        </w:rPr>
        <w:t xml:space="preserve">2.8.5  Labour Laws and Industrial Relations</w:t>
      </w:r>
    </w:p>
    <w:p>
      <w:pPr>
        <w:spacing w:after="140"/>
      </w:pPr>
      <w:r>
        <w:t xml:space="preserve">Applied knowledge of Indian labour legislation, including the four Labour Codes that came into force in November 2025, to understand the regulatory context of shop-floor manufacturing and round-the-clock services employment.</w:t>
      </w:r>
    </w:p>
    <w:p>
      <w:pPr>
        <w:keepNext/>
        <w:keepLines/>
        <w:spacing w:before="240"/>
        <w:jc w:val="left"/>
      </w:pPr>
      <w:r>
        <w:rPr>
          <w:b/>
          <w:sz w:val="28"/>
          <w:szCs w:val="28"/>
        </w:rPr>
        <w:t xml:space="preserve">2.9  SKILLS DEVELOPED DURING THE PROJECT</w:t>
      </w:r>
    </w:p>
    <w:p>
      <w:pPr>
        <w:keepNext/>
        <w:keepLines/>
        <w:spacing w:before="180" w:after="100"/>
        <w:jc w:val="left"/>
      </w:pPr>
      <w:r>
        <w:rPr>
          <w:b/>
        </w:rPr>
        <w:t xml:space="preserve">2.9.1  Research and Source Evaluation</w:t>
      </w:r>
    </w:p>
    <w:p>
      <w:pPr>
        <w:spacing w:after="140"/>
      </w:pPr>
      <w:r>
        <w:t xml:space="preserve">I learned to distinguish regulated disclosures from promotional content, to check the date of every figure, and to prefer repeatedly reported practices over one-off announcements.</w:t>
      </w:r>
    </w:p>
    <w:p>
      <w:pPr>
        <w:keepNext/>
        <w:keepLines/>
        <w:spacing w:before="180" w:after="100"/>
        <w:jc w:val="left"/>
      </w:pPr>
      <w:r>
        <w:rPr>
          <w:b/>
        </w:rPr>
        <w:t xml:space="preserve">2.9.2  Comparative and Analytical Thinking</w:t>
      </w:r>
    </w:p>
    <w:p>
      <w:pPr>
        <w:spacing w:after="140"/>
      </w:pPr>
      <w:r>
        <w:t xml:space="preserve">Comparing two very different companies taught me to ask why a difference exists rather than which company is “better”, which is the central analytical habit of this report.</w:t>
      </w:r>
    </w:p>
    <w:p>
      <w:pPr>
        <w:keepNext/>
        <w:keepLines/>
        <w:spacing w:before="180" w:after="100"/>
        <w:jc w:val="left"/>
      </w:pPr>
      <w:r>
        <w:rPr>
          <w:b/>
        </w:rPr>
        <w:t xml:space="preserve">2.9.3  Application of Theory</w:t>
      </w:r>
    </w:p>
    <w:p>
      <w:pPr>
        <w:spacing w:after="140"/>
      </w:pPr>
      <w:r>
        <w:t xml:space="preserve">I became confident in using frameworks such as AMO and RBV as tools of explanation rather than as definitions to be memorised.</w:t>
      </w:r>
    </w:p>
    <w:p>
      <w:pPr>
        <w:keepNext/>
        <w:keepLines/>
        <w:spacing w:before="180" w:after="100"/>
        <w:jc w:val="left"/>
      </w:pPr>
      <w:r>
        <w:rPr>
          <w:b/>
        </w:rPr>
        <w:t xml:space="preserve">2.9.4  Structured Report Writing</w:t>
      </w:r>
    </w:p>
    <w:p>
      <w:pPr>
        <w:spacing w:after="140"/>
      </w:pPr>
      <w:r>
        <w:t xml:space="preserve">Writing ten parallel sections with a common template taught me the value of consistent structure for a reader.</w:t>
      </w:r>
    </w:p>
    <w:p>
      <w:pPr>
        <w:keepNext/>
        <w:keepLines/>
        <w:spacing w:before="180" w:after="100"/>
        <w:jc w:val="left"/>
      </w:pPr>
      <w:r>
        <w:rPr>
          <w:b/>
        </w:rPr>
        <w:t xml:space="preserve">2.9.5  Time Management</w:t>
      </w:r>
    </w:p>
    <w:p>
      <w:pPr>
        <w:spacing w:after="140"/>
      </w:pPr>
      <w:r>
        <w:t xml:space="preserve">Working to a six-month plan with monthly milestones, alongside coursework, taught me to break a large task into manageable phases and to keep each one on schedule.</w:t>
      </w:r>
    </w:p>
    <w:p>
      <w:pPr>
        <w:keepNext/>
        <w:keepLines/>
        <w:spacing w:before="180" w:after="100"/>
        <w:jc w:val="left"/>
      </w:pPr>
      <w:r>
        <w:rPr>
          <w:b/>
        </w:rPr>
        <w:t xml:space="preserve">2.9.6  Excel and Data Organisation</w:t>
      </w:r>
    </w:p>
    <w:p>
      <w:pPr>
        <w:spacing w:after="140"/>
      </w:pPr>
      <w:r>
        <w:t xml:space="preserve">Building and maintaining the evidence log improved my ability to organise large amounts of qualitative information.</w:t>
      </w:r>
    </w:p>
    <w:p>
      <w:pPr>
        <w:keepNext/>
        <w:keepLines/>
        <w:spacing w:before="240"/>
        <w:jc w:val="left"/>
      </w:pPr>
      <w:r>
        <w:rPr>
          <w:b/>
          <w:sz w:val="28"/>
          <w:szCs w:val="28"/>
        </w:rPr>
        <w:t xml:space="preserve">2.10  CHALLENGES ENCOUNTERED DURING THE PROJECT</w:t>
      </w:r>
    </w:p>
    <w:p>
      <w:pPr>
        <w:spacing w:after="140"/>
      </w:pPr>
      <w:r>
        <w:t xml:space="preserve">The project presented challenges that were quite different from those of an organisational internship, and each contributed something to the learning.</w:t>
      </w:r>
    </w:p>
    <w:p>
      <w:pPr>
        <w:keepNext/>
        <w:keepLines/>
        <w:spacing w:before="180" w:after="100"/>
        <w:jc w:val="left"/>
      </w:pPr>
      <w:r>
        <w:rPr>
          <w:b/>
        </w:rPr>
        <w:t xml:space="preserve">2.10.1  Absence of Primary Data</w:t>
      </w:r>
    </w:p>
    <w:p>
      <w:pPr>
        <w:spacing w:after="140"/>
      </w:pPr>
      <w:r>
        <w:t xml:space="preserve">Without access to employees or HR managers, I could not verify how practices are experienced on the ground. I managed this by relying on multiple independent sources, including leadership interviews and employer-recognition platforms, and by stating this limitation clearly.</w:t>
      </w:r>
    </w:p>
    <w:p>
      <w:pPr>
        <w:keepNext/>
        <w:keepLines/>
        <w:spacing w:before="180" w:after="100"/>
        <w:jc w:val="left"/>
      </w:pPr>
      <w:r>
        <w:rPr>
          <w:b/>
        </w:rPr>
        <w:t xml:space="preserve">2.10.2  Uneven Levels of Disclosure</w:t>
      </w:r>
    </w:p>
    <w:p>
      <w:pPr>
        <w:spacing w:after="140"/>
      </w:pPr>
      <w:r>
        <w:t xml:space="preserve">Hyundai, as a listed company, publishes extensive regulated disclosures, whereas Omega, as a private company, communicates more selectively. Like-for-like comparison was therefore uneven in places, and I had to be careful not to mistake a lack of disclosure for a lack of practice.</w:t>
      </w:r>
    </w:p>
    <w:p>
      <w:pPr>
        <w:keepNext/>
        <w:keepLines/>
        <w:spacing w:before="180" w:after="100"/>
        <w:jc w:val="left"/>
      </w:pPr>
      <w:r>
        <w:rPr>
          <w:b/>
        </w:rPr>
        <w:t xml:space="preserve">2.10.3  Favourable Self-Presentation</w:t>
      </w:r>
    </w:p>
    <w:p>
      <w:pPr>
        <w:spacing w:after="140"/>
      </w:pPr>
      <w:r>
        <w:t xml:space="preserve">Companies naturally present their people practices positively. I learned to read corporate material critically, to separate stated intentions from reported outcomes, and to give more weight to quantified and independently verified information.</w:t>
      </w:r>
    </w:p>
    <w:p>
      <w:pPr>
        <w:keepNext/>
        <w:keepLines/>
        <w:spacing w:before="180" w:after="100"/>
        <w:jc w:val="left"/>
      </w:pPr>
      <w:r>
        <w:rPr>
          <w:b/>
        </w:rPr>
        <w:t xml:space="preserve">2.10.4  Rapidly Changing Information</w:t>
      </w:r>
    </w:p>
    <w:p>
      <w:pPr>
        <w:spacing w:after="140"/>
      </w:pPr>
      <w:r>
        <w:t xml:space="preserve">Several figures changed during the project; for example, Hyundai announced a new women’s representation target in September 2026. Keeping the report current required revisiting sources before final submission.</w:t>
      </w:r>
    </w:p>
    <w:p>
      <w:pPr>
        <w:keepNext/>
        <w:keepLines/>
        <w:spacing w:before="240"/>
        <w:jc w:val="left"/>
      </w:pPr>
      <w:r>
        <w:rPr>
          <w:b/>
          <w:sz w:val="28"/>
          <w:szCs w:val="28"/>
        </w:rPr>
        <w:t xml:space="preserve">2.11  SUMMARY OF TASKS UNDERTAKEN</w:t>
      </w:r>
    </w:p>
    <w:p>
      <w:pPr>
        <w:spacing w:after="140"/>
      </w:pPr>
      <w:r>
        <w:t xml:space="preserve">The tasks undertaken during the project are summarised below.</w:t>
      </w:r>
    </w:p>
    <w:tbl>
      <w:tblPr>
        <w:tblStyle w:val="TableGrid"/>
        <w:tblW w:w="8666" w:type="dxa"/>
        <w:tblInd w:w="0" w:type="dxa"/>
        <w:tblLayout w:type="fixed"/>
        <w:tblCellMar>
          <w:top w:w="60" w:type="dxa"/>
          <w:left w:w="108" w:type="dxa"/>
          <w:bottom w:w="60" w:type="dxa"/>
          <w:right w:w="108" w:type="dxa"/>
        </w:tblCellMar>
        <w:tblLook w:val="04A0" w:firstRow="1" w:lastRow="0" w:firstColumn="1" w:lastColumn="0" w:noHBand="0" w:noVBand="1"/>
      </w:tblPr>
      <w:tblGrid>
        <w:gridCol w:w="1000"/>
        <w:gridCol w:w="2866"/>
        <w:gridCol w:w="4800"/>
      </w:tblGrid>
      <w:tr>
        <w:trPr>
          <w:cantSplit/>
          <w:tblHeader/>
        </w:trPr>
        <w:tc>
          <w:tcPr>
            <w:tcW w:w="1000" w:type="dxa"/>
            <w:vAlign w:val="center"/>
          </w:tcPr>
          <w:p>
            <w:pPr>
              <w:spacing w:before="20" w:after="20" w:line="240" w:lineRule="auto"/>
              <w:jc w:val="center"/>
            </w:pPr>
            <w:r>
              <w:rPr>
                <w:b/>
              </w:rPr>
              <w:t xml:space="preserve">S. No.</w:t>
            </w:r>
          </w:p>
        </w:tc>
        <w:tc>
          <w:tcPr>
            <w:tcW w:w="2866" w:type="dxa"/>
            <w:vAlign w:val="center"/>
          </w:tcPr>
          <w:p>
            <w:pPr>
              <w:spacing w:before="20" w:after="20" w:line="240" w:lineRule="auto"/>
              <w:jc w:val="center"/>
            </w:pPr>
            <w:r>
              <w:rPr>
                <w:b/>
              </w:rPr>
              <w:t xml:space="preserve">Area of Work</w:t>
            </w:r>
          </w:p>
        </w:tc>
        <w:tc>
          <w:tcPr>
            <w:tcW w:w="4800" w:type="dxa"/>
            <w:vAlign w:val="center"/>
          </w:tcPr>
          <w:p>
            <w:pPr>
              <w:spacing w:before="20" w:after="20" w:line="240" w:lineRule="auto"/>
              <w:jc w:val="center"/>
            </w:pPr>
            <w:r>
              <w:rPr>
                <w:b/>
              </w:rPr>
              <w:t xml:space="preserve">Major Task</w:t>
            </w:r>
          </w:p>
        </w:tc>
      </w:tr>
      <w:tr>
        <w:trPr>
          <w:cantSplit/>
        </w:trPr>
        <w:tc>
          <w:tcPr>
            <w:tcW w:w="1000" w:type="dxa"/>
            <w:vAlign w:val="center"/>
          </w:tcPr>
          <w:p>
            <w:pPr>
              <w:spacing w:before="20" w:after="20" w:line="240" w:lineRule="auto"/>
              <w:jc w:val="left"/>
            </w:pPr>
            <w:r>
              <w:t xml:space="preserve">1</w:t>
            </w:r>
          </w:p>
        </w:tc>
        <w:tc>
          <w:tcPr>
            <w:tcW w:w="2866" w:type="dxa"/>
            <w:vAlign w:val="center"/>
          </w:tcPr>
          <w:p>
            <w:pPr>
              <w:spacing w:before="20" w:after="20" w:line="240" w:lineRule="auto"/>
              <w:jc w:val="left"/>
            </w:pPr>
            <w:r>
              <w:t xml:space="preserve">Topic Finalisation</w:t>
            </w:r>
          </w:p>
        </w:tc>
        <w:tc>
          <w:tcPr>
            <w:tcW w:w="4800" w:type="dxa"/>
            <w:vAlign w:val="center"/>
          </w:tcPr>
          <w:p>
            <w:pPr>
              <w:spacing w:before="20" w:after="20" w:line="240" w:lineRule="auto"/>
              <w:jc w:val="left"/>
            </w:pPr>
            <w:r>
              <w:t xml:space="preserve">Selection of project route, organisations, objectives and scope with the faculty guide</w:t>
            </w:r>
          </w:p>
        </w:tc>
      </w:tr>
      <w:tr>
        <w:trPr>
          <w:cantSplit/>
        </w:trPr>
        <w:tc>
          <w:tcPr>
            <w:tcW w:w="1000" w:type="dxa"/>
            <w:vAlign w:val="center"/>
          </w:tcPr>
          <w:p>
            <w:pPr>
              <w:spacing w:before="20" w:after="20" w:line="240" w:lineRule="auto"/>
              <w:jc w:val="left"/>
            </w:pPr>
            <w:r>
              <w:t xml:space="preserve">2</w:t>
            </w:r>
          </w:p>
        </w:tc>
        <w:tc>
          <w:tcPr>
            <w:tcW w:w="2866" w:type="dxa"/>
            <w:vAlign w:val="center"/>
          </w:tcPr>
          <w:p>
            <w:pPr>
              <w:spacing w:before="20" w:after="20" w:line="240" w:lineRule="auto"/>
              <w:jc w:val="left"/>
            </w:pPr>
            <w:r>
              <w:t xml:space="preserve">Literature Review</w:t>
            </w:r>
          </w:p>
        </w:tc>
        <w:tc>
          <w:tcPr>
            <w:tcW w:w="4800" w:type="dxa"/>
            <w:vAlign w:val="center"/>
          </w:tcPr>
          <w:p>
            <w:pPr>
              <w:spacing w:before="20" w:after="20" w:line="240" w:lineRule="auto"/>
              <w:jc w:val="left"/>
            </w:pPr>
            <w:r>
              <w:t xml:space="preserve">Revision of SHRM, Harvard, Ulrich, AMO, RBV and Herzberg frameworks</w:t>
            </w:r>
          </w:p>
        </w:tc>
      </w:tr>
      <w:tr>
        <w:trPr>
          <w:cantSplit/>
        </w:trPr>
        <w:tc>
          <w:tcPr>
            <w:tcW w:w="1000" w:type="dxa"/>
            <w:vAlign w:val="center"/>
          </w:tcPr>
          <w:p>
            <w:pPr>
              <w:spacing w:before="20" w:after="20" w:line="240" w:lineRule="auto"/>
              <w:jc w:val="left"/>
            </w:pPr>
            <w:r>
              <w:t xml:space="preserve">3</w:t>
            </w:r>
          </w:p>
        </w:tc>
        <w:tc>
          <w:tcPr>
            <w:tcW w:w="2866" w:type="dxa"/>
            <w:vAlign w:val="center"/>
          </w:tcPr>
          <w:p>
            <w:pPr>
              <w:spacing w:before="20" w:after="20" w:line="240" w:lineRule="auto"/>
              <w:jc w:val="left"/>
            </w:pPr>
            <w:r>
              <w:t xml:space="preserve">Audit Design</w:t>
            </w:r>
          </w:p>
        </w:tc>
        <w:tc>
          <w:tcPr>
            <w:tcW w:w="4800" w:type="dxa"/>
            <w:vAlign w:val="center"/>
          </w:tcPr>
          <w:p>
            <w:pPr>
              <w:spacing w:before="20" w:after="20" w:line="240" w:lineRule="auto"/>
              <w:jc w:val="left"/>
            </w:pPr>
            <w:r>
              <w:t xml:space="preserve">Definition of ten HR functions and a common four-step audit template</w:t>
            </w:r>
          </w:p>
        </w:tc>
      </w:tr>
      <w:tr>
        <w:trPr>
          <w:cantSplit/>
        </w:trPr>
        <w:tc>
          <w:tcPr>
            <w:tcW w:w="1000" w:type="dxa"/>
            <w:vAlign w:val="center"/>
          </w:tcPr>
          <w:p>
            <w:pPr>
              <w:spacing w:before="20" w:after="20" w:line="240" w:lineRule="auto"/>
              <w:jc w:val="left"/>
            </w:pPr>
            <w:r>
              <w:t xml:space="preserve">4</w:t>
            </w:r>
          </w:p>
        </w:tc>
        <w:tc>
          <w:tcPr>
            <w:tcW w:w="2866" w:type="dxa"/>
            <w:vAlign w:val="center"/>
          </w:tcPr>
          <w:p>
            <w:pPr>
              <w:spacing w:before="20" w:after="20" w:line="240" w:lineRule="auto"/>
              <w:jc w:val="left"/>
            </w:pPr>
            <w:r>
              <w:t xml:space="preserve">Evidence Log</w:t>
            </w:r>
          </w:p>
        </w:tc>
        <w:tc>
          <w:tcPr>
            <w:tcW w:w="4800" w:type="dxa"/>
            <w:vAlign w:val="center"/>
          </w:tcPr>
          <w:p>
            <w:pPr>
              <w:spacing w:before="20" w:after="20" w:line="240" w:lineRule="auto"/>
              <w:jc w:val="left"/>
            </w:pPr>
            <w:r>
              <w:t xml:space="preserve">Excel log of sources, dates and HR functions for both companies</w:t>
            </w:r>
          </w:p>
        </w:tc>
      </w:tr>
      <w:tr>
        <w:trPr>
          <w:cantSplit/>
        </w:trPr>
        <w:tc>
          <w:tcPr>
            <w:tcW w:w="1000" w:type="dxa"/>
            <w:vAlign w:val="center"/>
          </w:tcPr>
          <w:p>
            <w:pPr>
              <w:spacing w:before="20" w:after="20" w:line="240" w:lineRule="auto"/>
              <w:jc w:val="left"/>
            </w:pPr>
            <w:r>
              <w:t xml:space="preserve">5</w:t>
            </w:r>
          </w:p>
        </w:tc>
        <w:tc>
          <w:tcPr>
            <w:tcW w:w="2866" w:type="dxa"/>
            <w:vAlign w:val="center"/>
          </w:tcPr>
          <w:p>
            <w:pPr>
              <w:spacing w:before="20" w:after="20" w:line="240" w:lineRule="auto"/>
              <w:jc w:val="left"/>
            </w:pPr>
            <w:r>
              <w:t xml:space="preserve">Data Collection – Hyundai</w:t>
            </w:r>
          </w:p>
        </w:tc>
        <w:tc>
          <w:tcPr>
            <w:tcW w:w="4800" w:type="dxa"/>
            <w:vAlign w:val="center"/>
          </w:tcPr>
          <w:p>
            <w:pPr>
              <w:spacing w:before="20" w:after="20" w:line="240" w:lineRule="auto"/>
              <w:jc w:val="left"/>
            </w:pPr>
            <w:r>
              <w:t xml:space="preserve">Study of annual report, BRSR, press releases and HR leadership interviews</w:t>
            </w:r>
          </w:p>
        </w:tc>
      </w:tr>
      <w:tr>
        <w:trPr>
          <w:cantSplit/>
        </w:trPr>
        <w:tc>
          <w:tcPr>
            <w:tcW w:w="1000" w:type="dxa"/>
            <w:vAlign w:val="center"/>
          </w:tcPr>
          <w:p>
            <w:pPr>
              <w:spacing w:before="20" w:after="20" w:line="240" w:lineRule="auto"/>
              <w:jc w:val="left"/>
            </w:pPr>
            <w:r>
              <w:t xml:space="preserve">6</w:t>
            </w:r>
          </w:p>
        </w:tc>
        <w:tc>
          <w:tcPr>
            <w:tcW w:w="2866" w:type="dxa"/>
            <w:vAlign w:val="center"/>
          </w:tcPr>
          <w:p>
            <w:pPr>
              <w:spacing w:before="20" w:after="20" w:line="240" w:lineRule="auto"/>
              <w:jc w:val="left"/>
            </w:pPr>
            <w:r>
              <w:t xml:space="preserve">Data Collection – Omega</w:t>
            </w:r>
          </w:p>
        </w:tc>
        <w:tc>
          <w:tcPr>
            <w:tcW w:w="4800" w:type="dxa"/>
            <w:vAlign w:val="center"/>
          </w:tcPr>
          <w:p>
            <w:pPr>
              <w:spacing w:before="20" w:after="20" w:line="240" w:lineRule="auto"/>
              <w:jc w:val="left"/>
            </w:pPr>
            <w:r>
              <w:t xml:space="preserve">Study of corporate website, careers pages, newsroom and HR features</w:t>
            </w:r>
          </w:p>
        </w:tc>
      </w:tr>
      <w:tr>
        <w:trPr>
          <w:cantSplit/>
        </w:trPr>
        <w:tc>
          <w:tcPr>
            <w:tcW w:w="1000" w:type="dxa"/>
            <w:vAlign w:val="center"/>
          </w:tcPr>
          <w:p>
            <w:pPr>
              <w:spacing w:before="20" w:after="20" w:line="240" w:lineRule="auto"/>
              <w:jc w:val="left"/>
            </w:pPr>
            <w:r>
              <w:t xml:space="preserve">7</w:t>
            </w:r>
          </w:p>
        </w:tc>
        <w:tc>
          <w:tcPr>
            <w:tcW w:w="2866" w:type="dxa"/>
            <w:vAlign w:val="center"/>
          </w:tcPr>
          <w:p>
            <w:pPr>
              <w:spacing w:before="20" w:after="20" w:line="240" w:lineRule="auto"/>
              <w:jc w:val="left"/>
            </w:pPr>
            <w:r>
              <w:t xml:space="preserve">Industry Analysis</w:t>
            </w:r>
          </w:p>
        </w:tc>
        <w:tc>
          <w:tcPr>
            <w:tcW w:w="4800" w:type="dxa"/>
            <w:vAlign w:val="center"/>
          </w:tcPr>
          <w:p>
            <w:pPr>
              <w:spacing w:before="20" w:after="20" w:line="240" w:lineRule="auto"/>
              <w:jc w:val="left"/>
            </w:pPr>
            <w:r>
              <w:t xml:space="preserve">Automobile and healthcare RCM industry context, SWOT and talent competitors</w:t>
            </w:r>
          </w:p>
        </w:tc>
      </w:tr>
      <w:tr>
        <w:trPr>
          <w:cantSplit/>
        </w:trPr>
        <w:tc>
          <w:tcPr>
            <w:tcW w:w="1000" w:type="dxa"/>
            <w:vAlign w:val="center"/>
          </w:tcPr>
          <w:p>
            <w:pPr>
              <w:spacing w:before="20" w:after="20" w:line="240" w:lineRule="auto"/>
              <w:jc w:val="left"/>
            </w:pPr>
            <w:r>
              <w:t xml:space="preserve">8</w:t>
            </w:r>
          </w:p>
        </w:tc>
        <w:tc>
          <w:tcPr>
            <w:tcW w:w="2866" w:type="dxa"/>
            <w:vAlign w:val="center"/>
          </w:tcPr>
          <w:p>
            <w:pPr>
              <w:spacing w:before="20" w:after="20" w:line="240" w:lineRule="auto"/>
              <w:jc w:val="left"/>
            </w:pPr>
            <w:r>
              <w:t xml:space="preserve">Comparative Analysis</w:t>
            </w:r>
          </w:p>
        </w:tc>
        <w:tc>
          <w:tcPr>
            <w:tcW w:w="4800" w:type="dxa"/>
            <w:vAlign w:val="center"/>
          </w:tcPr>
          <w:p>
            <w:pPr>
              <w:spacing w:before="20" w:after="20" w:line="240" w:lineRule="auto"/>
              <w:jc w:val="left"/>
            </w:pPr>
            <w:r>
              <w:t xml:space="preserve">Function-by-function comparison with summary tables</w:t>
            </w:r>
          </w:p>
        </w:tc>
      </w:tr>
      <w:tr>
        <w:trPr>
          <w:cantSplit/>
        </w:trPr>
        <w:tc>
          <w:tcPr>
            <w:tcW w:w="1000" w:type="dxa"/>
            <w:vAlign w:val="center"/>
          </w:tcPr>
          <w:p>
            <w:pPr>
              <w:spacing w:before="20" w:after="20" w:line="240" w:lineRule="auto"/>
              <w:jc w:val="left"/>
            </w:pPr>
            <w:r>
              <w:t xml:space="preserve">9</w:t>
            </w:r>
          </w:p>
        </w:tc>
        <w:tc>
          <w:tcPr>
            <w:tcW w:w="2866" w:type="dxa"/>
            <w:vAlign w:val="center"/>
          </w:tcPr>
          <w:p>
            <w:pPr>
              <w:spacing w:before="20" w:after="20" w:line="240" w:lineRule="auto"/>
              <w:jc w:val="left"/>
            </w:pPr>
            <w:r>
              <w:t xml:space="preserve">Theoretical Interpretation</w:t>
            </w:r>
          </w:p>
        </w:tc>
        <w:tc>
          <w:tcPr>
            <w:tcW w:w="4800" w:type="dxa"/>
            <w:vAlign w:val="center"/>
          </w:tcPr>
          <w:p>
            <w:pPr>
              <w:spacing w:before="20" w:after="20" w:line="240" w:lineRule="auto"/>
              <w:jc w:val="left"/>
            </w:pPr>
            <w:r>
              <w:t xml:space="preserve">Mapping of findings to AMO, RBV, Ulrich and Herzberg</w:t>
            </w:r>
          </w:p>
        </w:tc>
      </w:tr>
      <w:tr>
        <w:trPr>
          <w:cantSplit/>
        </w:trPr>
        <w:tc>
          <w:tcPr>
            <w:tcW w:w="1000" w:type="dxa"/>
            <w:vAlign w:val="center"/>
          </w:tcPr>
          <w:p>
            <w:pPr>
              <w:spacing w:before="20" w:after="20" w:line="240" w:lineRule="auto"/>
              <w:jc w:val="left"/>
            </w:pPr>
            <w:r>
              <w:t xml:space="preserve">10</w:t>
            </w:r>
          </w:p>
        </w:tc>
        <w:tc>
          <w:tcPr>
            <w:tcW w:w="2866" w:type="dxa"/>
            <w:vAlign w:val="center"/>
          </w:tcPr>
          <w:p>
            <w:pPr>
              <w:spacing w:before="20" w:after="20" w:line="240" w:lineRule="auto"/>
              <w:jc w:val="left"/>
            </w:pPr>
            <w:r>
              <w:t xml:space="preserve">Findings and Recommendations</w:t>
            </w:r>
          </w:p>
        </w:tc>
        <w:tc>
          <w:tcPr>
            <w:tcW w:w="4800" w:type="dxa"/>
            <w:vAlign w:val="center"/>
          </w:tcPr>
          <w:p>
            <w:pPr>
              <w:spacing w:before="20" w:after="20" w:line="240" w:lineRule="auto"/>
              <w:jc w:val="left"/>
            </w:pPr>
            <w:r>
              <w:t xml:space="preserve">Key findings and realistic, mutually informed recommendations</w:t>
            </w:r>
          </w:p>
        </w:tc>
      </w:tr>
      <w:tr>
        <w:trPr>
          <w:cantSplit/>
        </w:trPr>
        <w:tc>
          <w:tcPr>
            <w:tcW w:w="1000" w:type="dxa"/>
            <w:vAlign w:val="center"/>
          </w:tcPr>
          <w:p>
            <w:pPr>
              <w:spacing w:before="20" w:after="20" w:line="240" w:lineRule="auto"/>
              <w:jc w:val="left"/>
            </w:pPr>
            <w:r>
              <w:t xml:space="preserve">11</w:t>
            </w:r>
          </w:p>
        </w:tc>
        <w:tc>
          <w:tcPr>
            <w:tcW w:w="2866" w:type="dxa"/>
            <w:vAlign w:val="center"/>
          </w:tcPr>
          <w:p>
            <w:pPr>
              <w:spacing w:before="20" w:after="20" w:line="240" w:lineRule="auto"/>
              <w:jc w:val="left"/>
            </w:pPr>
            <w:r>
              <w:t xml:space="preserve">Report Writing</w:t>
            </w:r>
          </w:p>
        </w:tc>
        <w:tc>
          <w:tcPr>
            <w:tcW w:w="4800" w:type="dxa"/>
            <w:vAlign w:val="center"/>
          </w:tcPr>
          <w:p>
            <w:pPr>
              <w:spacing w:before="20" w:after="20" w:line="240" w:lineRule="auto"/>
              <w:jc w:val="left"/>
            </w:pPr>
            <w:r>
              <w:t xml:space="preserve">Drafting in the prescribed SIP format and incorporation of review comments</w:t>
            </w:r>
          </w:p>
        </w:tc>
      </w:tr>
    </w:tbl>
    <w:p>
      <w:pPr>
        <w:spacing w:after="140"/>
      </w:pPr>
    </w:p>
    <w:p>
      <w:pPr>
        <w:keepNext/>
        <w:keepLines/>
        <w:spacing w:before="240"/>
        <w:jc w:val="left"/>
      </w:pPr>
      <w:r>
        <w:rPr>
          <w:b/>
          <w:sz w:val="28"/>
          <w:szCs w:val="28"/>
        </w:rPr>
        <w:t xml:space="preserve">2.12  CONCLUSION OF PROJECT DESCRIPTION</w:t>
      </w:r>
    </w:p>
    <w:p>
      <w:pPr>
        <w:spacing w:after="140"/>
      </w:pPr>
      <w:r>
        <w:t xml:space="preserve">The work described in this chapter covered the full sequence of a comparative HR audit: framing the question, selecting the organisations, building a theoretical framework, collecting and verifying secondary evidence, and organising it into a structure that allows fair comparison. Although the project did not involve working inside an organisation, it required the same discipline of evidence and documentation that professional HR work demands, and it provided the foundation for the comparative analysis presented in the next chapter.</w:t>
      </w:r>
    </w:p>
    <w:p>
      <w:pPr>
        <w:spacing w:after="0" w:line="240" w:lineRule="auto"/>
      </w:pPr>
      <w:bookmarkStart w:id="3" w:name="ch2_end"/>
      <w:bookmarkEnd w:id="3"/>
    </w:p>
    <w:p>
      <w:pPr>
        <w:sectPr>
          <w:headerReference w:type="default" r:id="rId10"/>
          <w:footerReference w:type="default" r:id="rId11"/>
          <w:pgSz w:w="11906" w:h="16838"/>
          <w:pgMar w:top="1440" w:right="1440" w:bottom="1440" w:left="1800" w:header="720" w:footer="720" w:gutter="0"/>
          <w:cols w:space="720"/>
          <w:docGrid w:linePitch="360"/>
        </w:sectPr>
      </w:pPr>
    </w:p>
    <w:p>
      <w:pPr>
        <w:spacing w:after="0"/>
      </w:pPr>
      <w:bookmarkStart w:id="4" w:name="ch3_start"/>
      <w:bookmarkEnd w:id="4"/>
    </w:p>
    <w:p>
      <w:pPr>
        <w:spacing w:after="0"/>
      </w:pPr>
    </w:p>
    <w:p>
      <w:pPr>
        <w:spacing w:after="0"/>
      </w:pPr>
    </w:p>
    <w:p>
      <w:pPr>
        <w:spacing w:after="0"/>
      </w:pPr>
    </w:p>
    <w:p>
      <w:pPr>
        <w:spacing w:after="0"/>
      </w:pPr>
    </w:p>
    <w:p>
      <w:pPr>
        <w:spacing w:after="0"/>
      </w:pPr>
    </w:p>
    <w:p>
      <w:pPr>
        <w:spacing w:after="0"/>
      </w:pPr>
    </w:p>
    <w:p>
      <w:pPr>
        <w:spacing w:after="0"/>
      </w:pPr>
    </w:p>
    <w:p>
      <w:pPr>
        <w:spacing w:after="0"/>
      </w:pPr>
    </w:p>
    <w:p>
      <w:pPr>
        <w:spacing w:after="0"/>
      </w:pPr>
    </w:p>
    <w:p>
      <w:pPr>
        <w:spacing w:after="0"/>
      </w:pPr>
    </w:p>
    <w:p>
      <w:pPr>
        <w:spacing w:after="0"/>
      </w:pPr>
    </w:p>
    <w:p>
      <w:pPr>
        <w:spacing w:after="0"/>
      </w:pPr>
    </w:p>
    <w:p>
      <w:pPr>
        <w:spacing w:after="240"/>
        <w:jc w:val="center"/>
      </w:pPr>
      <w:r>
        <w:rPr>
          <w:b/>
          <w:sz w:val="32"/>
          <w:szCs w:val="32"/>
        </w:rPr>
        <w:t xml:space="preserve">CHAPTER  3</w:t>
      </w:r>
    </w:p>
    <w:p>
      <w:pPr>
        <w:spacing w:after="0"/>
        <w:jc w:val="center"/>
      </w:pPr>
      <w:r>
        <w:rPr>
          <w:b/>
          <w:sz w:val="32"/>
          <w:szCs w:val="32"/>
        </w:rPr>
        <w:t>COMPARATIVE HR AUDIT AND ANALYSIS</w:t>
      </w:r>
    </w:p>
    <w:p>
      <w:pPr>
        <w:spacing w:after="0" w:line="240" w:lineRule="auto"/>
      </w:pPr>
      <w:r>
        <w:br w:type="page"/>
      </w:r>
    </w:p>
    <w:p>
      <w:pPr>
        <w:keepNext/>
        <w:keepLines/>
        <w:spacing w:after="240"/>
        <w:jc w:val="center"/>
      </w:pPr>
      <w:r>
        <w:rPr>
          <w:b/>
          <w:sz w:val="28"/>
          <w:szCs w:val="28"/>
        </w:rPr>
        <w:t>3. COMPARATIVE HR AUDIT AND ANALYSIS</w:t>
      </w:r>
    </w:p>
    <w:p>
      <w:pPr>
        <w:spacing w:after="140"/>
      </w:pPr>
      <w:r>
        <w:t xml:space="preserve">This chapter forms the heart of the report. Each of the ten HR functions is examined using the consistent approach set out in Chapter 2: a description of what each organisation does, a comparison of similarities and differences, an explanation of how the industry shapes the practice, and an evaluation that draws out strengths, gaps and transferable good practice. A summary table accompanies each function so that the contrast can be seen at a glance.</w:t>
      </w:r>
    </w:p>
    <w:p>
      <w:pPr>
        <w:keepNext/>
        <w:keepLines/>
        <w:spacing w:before="240"/>
        <w:jc w:val="left"/>
      </w:pPr>
      <w:r>
        <w:rPr>
          <w:b/>
          <w:sz w:val="28"/>
          <w:szCs w:val="28"/>
        </w:rPr>
        <w:t xml:space="preserve">3.1  EMPLOYER BRANDING</w:t>
      </w:r>
    </w:p>
    <w:p>
      <w:pPr>
        <w:keepNext/>
        <w:keepLines/>
        <w:spacing w:before="180" w:after="100"/>
        <w:jc w:val="left"/>
      </w:pPr>
      <w:r>
        <w:rPr>
          <w:b/>
        </w:rPr>
        <w:t xml:space="preserve">3.1.1  Practice at Hyundai Motor India</w:t>
      </w:r>
    </w:p>
    <w:p>
      <w:pPr>
        <w:spacing w:after="140"/>
      </w:pPr>
      <w:r>
        <w:t xml:space="preserve">Hyundai has built its employer brand on engineering excellence and its global purpose statement, “Progress for Humanity”. The brand is reinforced by external validation: certification as a Top Employer in India for the third consecutive year in 2026, ranking first in the automobile sector and fourth across all industries (Hyundai Motor India Limited, 2026c). For prospective engineers and management trainees, the promise is one of working on aspirational products, at scale, inside a disciplined and future-focused organisation leading the shift to electric mobility.</w:t>
      </w:r>
    </w:p>
    <w:p>
      <w:pPr>
        <w:keepNext/>
        <w:keepLines/>
        <w:spacing w:before="180" w:after="100"/>
        <w:jc w:val="left"/>
      </w:pPr>
      <w:r>
        <w:rPr>
          <w:b/>
        </w:rPr>
        <w:t xml:space="preserve">3.1.2  Practice at Omega Healthcare</w:t>
      </w:r>
    </w:p>
    <w:p>
      <w:pPr>
        <w:spacing w:after="140"/>
      </w:pPr>
      <w:r>
        <w:t xml:space="preserve">Omega’s employer brand is constructed very differently, because it must attract large numbers of people into a services industry that many candidates view as transient. Its “Life at Omega” messaging leans heavily on stories of long-serving employees who have climbed from entry-level coding roles into management, on a caring, growth-oriented culture, and on external recognition (Omega Healthcare Management Services, n.d.-c). The core promise is stability and advancement in a field where both are rare; the brand answers the candidate’s unspoken question, “will I still be here, and growing, in five years?”</w:t>
      </w:r>
    </w:p>
    <w:p>
      <w:pPr>
        <w:keepNext/>
        <w:keepLines/>
        <w:spacing w:before="180" w:after="100"/>
        <w:jc w:val="left"/>
      </w:pPr>
      <w:r>
        <w:rPr>
          <w:b/>
        </w:rPr>
        <w:t xml:space="preserve">3.1.3  Comparison and Influence of Industry</w:t>
      </w:r>
    </w:p>
    <w:p>
      <w:pPr>
        <w:spacing w:after="140"/>
      </w:pPr>
      <w:r>
        <w:t xml:space="preserve">Both firms use third-party certifications as proof points, and both put people stories at the centre of their messaging. The difference lies in what each brand must overcome. Hyundai competes for relatively scarce technical talent and so emphasises prestige, products and technological leadership. Omega competes in a high-volume labour market where the reputational risk is churn, so it emphasises belonging, longevity and internal mobility. The automobile brand sells aspiration; the healthcare-services brand sells security and progression.</w:t>
      </w:r>
    </w:p>
    <w:p>
      <w:pPr>
        <w:keepNext/>
        <w:keepLines/>
        <w:spacing w:before="180" w:after="100"/>
        <w:jc w:val="left"/>
      </w:pPr>
      <w:r>
        <w:rPr>
          <w:b/>
        </w:rPr>
        <w:t xml:space="preserve">3.1.4  Evaluation and Transferable Practice</w:t>
      </w:r>
    </w:p>
    <w:p>
      <w:pPr>
        <w:spacing w:after="140"/>
      </w:pPr>
      <w:r>
        <w:t xml:space="preserve">Hyundai’s brand is highly effective for attracting engineers but is naturally weighted towards its manufacturing and corporate populations; the challenge is to make it feel equally alive for shop-floor and dealership talent. Omega’s brand is authentic and well targeted, though it depends on continuing to deliver the mobility it advertises. Hyundai could make more of individual long-tenure career journeys, as Omega does, while Omega could borrow Hyundai’s discipline in pursuing formal external certifications to give its warm messaging harder, more credible edges.</w:t>
      </w:r>
    </w:p>
    <w:tbl>
      <w:tblPr>
        <w:tblStyle w:val="TableGrid"/>
        <w:tblW w:w="8666" w:type="dxa"/>
        <w:tblInd w:w="0" w:type="dxa"/>
        <w:tblLayout w:type="fixed"/>
        <w:tblCellMar>
          <w:top w:w="60" w:type="dxa"/>
          <w:left w:w="108" w:type="dxa"/>
          <w:bottom w:w="60" w:type="dxa"/>
          <w:right w:w="108" w:type="dxa"/>
        </w:tblCellMar>
        <w:tblLook w:val="04A0" w:firstRow="1" w:lastRow="0" w:firstColumn="1" w:lastColumn="0" w:noHBand="0" w:noVBand="1"/>
      </w:tblPr>
      <w:tblGrid>
        <w:gridCol w:w="2000"/>
        <w:gridCol w:w="3333"/>
        <w:gridCol w:w="3333"/>
      </w:tblGrid>
      <w:tr>
        <w:trPr>
          <w:cantSplit/>
          <w:tblHeader/>
        </w:trPr>
        <w:tc>
          <w:tcPr>
            <w:tcW w:w="2000" w:type="dxa"/>
            <w:vAlign w:val="center"/>
          </w:tcPr>
          <w:p>
            <w:pPr>
              <w:spacing w:before="20" w:after="20" w:line="240" w:lineRule="auto"/>
              <w:jc w:val="center"/>
            </w:pPr>
            <w:r>
              <w:rPr>
                <w:b/>
              </w:rPr>
              <w:t xml:space="preserve">Dimension</w:t>
            </w:r>
          </w:p>
        </w:tc>
        <w:tc>
          <w:tcPr>
            <w:tcW w:w="3333" w:type="dxa"/>
            <w:vAlign w:val="center"/>
          </w:tcPr>
          <w:p>
            <w:pPr>
              <w:spacing w:before="20" w:after="20" w:line="240" w:lineRule="auto"/>
              <w:jc w:val="center"/>
            </w:pPr>
            <w:r>
              <w:rPr>
                <w:b/>
              </w:rPr>
              <w:t xml:space="preserve">Hyundai Motor India</w:t>
            </w:r>
          </w:p>
        </w:tc>
        <w:tc>
          <w:tcPr>
            <w:tcW w:w="3333" w:type="dxa"/>
            <w:vAlign w:val="center"/>
          </w:tcPr>
          <w:p>
            <w:pPr>
              <w:spacing w:before="20" w:after="20" w:line="240" w:lineRule="auto"/>
              <w:jc w:val="center"/>
            </w:pPr>
            <w:r>
              <w:rPr>
                <w:b/>
              </w:rPr>
              <w:t xml:space="preserve">Omega Healthcare</w:t>
            </w:r>
          </w:p>
        </w:tc>
      </w:tr>
      <w:tr>
        <w:trPr>
          <w:cantSplit/>
        </w:trPr>
        <w:tc>
          <w:tcPr>
            <w:tcW w:w="2000" w:type="dxa"/>
            <w:vAlign w:val="center"/>
          </w:tcPr>
          <w:p>
            <w:pPr>
              <w:spacing w:before="20" w:after="20" w:line="240" w:lineRule="auto"/>
              <w:jc w:val="left"/>
            </w:pPr>
            <w:r>
              <w:t xml:space="preserve">Central promise</w:t>
            </w:r>
          </w:p>
        </w:tc>
        <w:tc>
          <w:tcPr>
            <w:tcW w:w="3333" w:type="dxa"/>
            <w:vAlign w:val="center"/>
          </w:tcPr>
          <w:p>
            <w:pPr>
              <w:spacing w:before="20" w:after="20" w:line="240" w:lineRule="auto"/>
              <w:jc w:val="left"/>
            </w:pPr>
            <w:r>
              <w:t xml:space="preserve">Prestige, products, technological leadership</w:t>
            </w:r>
          </w:p>
        </w:tc>
        <w:tc>
          <w:tcPr>
            <w:tcW w:w="3333" w:type="dxa"/>
            <w:vAlign w:val="center"/>
          </w:tcPr>
          <w:p>
            <w:pPr>
              <w:spacing w:before="20" w:after="20" w:line="240" w:lineRule="auto"/>
              <w:jc w:val="left"/>
            </w:pPr>
            <w:r>
              <w:t xml:space="preserve">Stability, belonging and rapid internal advancement</w:t>
            </w:r>
          </w:p>
        </w:tc>
      </w:tr>
      <w:tr>
        <w:trPr>
          <w:cantSplit/>
        </w:trPr>
        <w:tc>
          <w:tcPr>
            <w:tcW w:w="2000" w:type="dxa"/>
            <w:vAlign w:val="center"/>
          </w:tcPr>
          <w:p>
            <w:pPr>
              <w:spacing w:before="20" w:after="20" w:line="240" w:lineRule="auto"/>
              <w:jc w:val="left"/>
            </w:pPr>
            <w:r>
              <w:t xml:space="preserve">Proof points</w:t>
            </w:r>
          </w:p>
        </w:tc>
        <w:tc>
          <w:tcPr>
            <w:tcW w:w="3333" w:type="dxa"/>
            <w:vAlign w:val="center"/>
          </w:tcPr>
          <w:p>
            <w:pPr>
              <w:spacing w:before="20" w:after="20" w:line="240" w:lineRule="auto"/>
              <w:jc w:val="left"/>
            </w:pPr>
            <w:r>
              <w:t xml:space="preserve">Top Employer India 2026 (3rd year); #1 in auto sector</w:t>
            </w:r>
          </w:p>
        </w:tc>
        <w:tc>
          <w:tcPr>
            <w:tcW w:w="3333" w:type="dxa"/>
            <w:vAlign w:val="center"/>
          </w:tcPr>
          <w:p>
            <w:pPr>
              <w:spacing w:before="20" w:after="20" w:line="240" w:lineRule="auto"/>
              <w:jc w:val="left"/>
            </w:pPr>
            <w:r>
              <w:t xml:space="preserve">Workplace awards; analyst recognition; longevity stories</w:t>
            </w:r>
          </w:p>
        </w:tc>
      </w:tr>
      <w:tr>
        <w:trPr>
          <w:cantSplit/>
        </w:trPr>
        <w:tc>
          <w:tcPr>
            <w:tcW w:w="2000" w:type="dxa"/>
            <w:vAlign w:val="center"/>
          </w:tcPr>
          <w:p>
            <w:pPr>
              <w:spacing w:before="20" w:after="20" w:line="240" w:lineRule="auto"/>
              <w:jc w:val="left"/>
            </w:pPr>
            <w:r>
              <w:t xml:space="preserve">Primary audience</w:t>
            </w:r>
          </w:p>
        </w:tc>
        <w:tc>
          <w:tcPr>
            <w:tcW w:w="3333" w:type="dxa"/>
            <w:vAlign w:val="center"/>
          </w:tcPr>
          <w:p>
            <w:pPr>
              <w:spacing w:before="20" w:after="20" w:line="240" w:lineRule="auto"/>
              <w:jc w:val="left"/>
            </w:pPr>
            <w:r>
              <w:t xml:space="preserve">Engineers, technicians, management trainees</w:t>
            </w:r>
          </w:p>
        </w:tc>
        <w:tc>
          <w:tcPr>
            <w:tcW w:w="3333" w:type="dxa"/>
            <w:vAlign w:val="center"/>
          </w:tcPr>
          <w:p>
            <w:pPr>
              <w:spacing w:before="20" w:after="20" w:line="240" w:lineRule="auto"/>
              <w:jc w:val="left"/>
            </w:pPr>
            <w:r>
              <w:t xml:space="preserve">High-volume entry-level and specialist services talent</w:t>
            </w:r>
          </w:p>
        </w:tc>
      </w:tr>
      <w:tr>
        <w:trPr>
          <w:cantSplit/>
        </w:trPr>
        <w:tc>
          <w:tcPr>
            <w:tcW w:w="2000" w:type="dxa"/>
            <w:vAlign w:val="center"/>
          </w:tcPr>
          <w:p>
            <w:pPr>
              <w:spacing w:before="20" w:after="20" w:line="240" w:lineRule="auto"/>
              <w:jc w:val="left"/>
            </w:pPr>
            <w:r>
              <w:t xml:space="preserve">Branding risk</w:t>
            </w:r>
          </w:p>
        </w:tc>
        <w:tc>
          <w:tcPr>
            <w:tcW w:w="3333" w:type="dxa"/>
            <w:vAlign w:val="center"/>
          </w:tcPr>
          <w:p>
            <w:pPr>
              <w:spacing w:before="20" w:after="20" w:line="240" w:lineRule="auto"/>
              <w:jc w:val="left"/>
            </w:pPr>
            <w:r>
              <w:t xml:space="preserve">Skewing towards corporate and engineering roles</w:t>
            </w:r>
          </w:p>
        </w:tc>
        <w:tc>
          <w:tcPr>
            <w:tcW w:w="3333" w:type="dxa"/>
            <w:vAlign w:val="center"/>
          </w:tcPr>
          <w:p>
            <w:pPr>
              <w:spacing w:before="20" w:after="20" w:line="240" w:lineRule="auto"/>
              <w:jc w:val="left"/>
            </w:pPr>
            <w:r>
              <w:t xml:space="preserve">Brand promise must be matched by real mobility</w:t>
            </w:r>
          </w:p>
        </w:tc>
      </w:tr>
    </w:tbl>
    <w:p>
      <w:pPr>
        <w:spacing w:after="140"/>
      </w:pPr>
    </w:p>
    <w:p>
      <w:pPr>
        <w:keepNext/>
        <w:keepLines/>
        <w:spacing w:before="240"/>
        <w:jc w:val="left"/>
      </w:pPr>
      <w:r>
        <w:rPr>
          <w:b/>
          <w:sz w:val="28"/>
          <w:szCs w:val="28"/>
        </w:rPr>
        <w:t xml:space="preserve">3.2  RECRUITMENT AND SELECTION</w:t>
      </w:r>
    </w:p>
    <w:p>
      <w:pPr>
        <w:keepNext/>
        <w:keepLines/>
        <w:spacing w:before="180" w:after="100"/>
        <w:jc w:val="left"/>
      </w:pPr>
      <w:r>
        <w:rPr>
          <w:b/>
        </w:rPr>
        <w:t xml:space="preserve">3.2.1  Practice at Hyundai Motor India</w:t>
      </w:r>
    </w:p>
    <w:p>
      <w:pPr>
        <w:spacing w:after="140"/>
      </w:pPr>
      <w:r>
        <w:t xml:space="preserve">Hyundai’s recruitment is anchored by its Young Talent Program, a campus-hiring initiative running since 2010 that brings engineering and management graduates into the organisation and assigns each recruit a leader-mentor. The company reports very strong campus engagement and supplements graduate intake with experienced lateral hires for specialist roles. Selection is structured and competency-based, consistent with a manufacturer that prizes reliability and fit with a safety-conscious culture.</w:t>
      </w:r>
    </w:p>
    <w:p>
      <w:pPr>
        <w:keepNext/>
        <w:keepLines/>
        <w:spacing w:before="180" w:after="100"/>
        <w:jc w:val="left"/>
      </w:pPr>
      <w:r>
        <w:rPr>
          <w:b/>
        </w:rPr>
        <w:t xml:space="preserve">3.2.2  Practice at Omega Healthcare</w:t>
      </w:r>
    </w:p>
    <w:p>
      <w:pPr>
        <w:spacing w:after="140"/>
      </w:pPr>
      <w:r>
        <w:t xml:space="preserve">Omega’s recruitment challenge is one of scale and speed: it must hire and onboard very large numbers of people across multiple cities and countries to staff round-the-clock operations. It recruits both technical and non-technical talent, often taking in fresh graduates and training them into medical-coding and RCM roles. Selection therefore emphasises trainability, communication and attention to detail rather than pre-existing domain expertise, and the company runs targeted campaigns to bring in under-represented groups, including persons with disabilities and women returning from career breaks.</w:t>
      </w:r>
    </w:p>
    <w:p>
      <w:pPr>
        <w:keepNext/>
        <w:keepLines/>
        <w:spacing w:before="180" w:after="100"/>
        <w:jc w:val="left"/>
      </w:pPr>
      <w:r>
        <w:rPr>
          <w:b/>
        </w:rPr>
        <w:t xml:space="preserve">3.2.3  Comparison and Influence of Industry</w:t>
      </w:r>
    </w:p>
    <w:p>
      <w:pPr>
        <w:spacing w:after="140"/>
      </w:pPr>
      <w:r>
        <w:t xml:space="preserve">The contrast is essentially between depth and breadth. Hyundai hires selectively for long careers in a capital-intensive business where a poor technical hire is costly and safety-relevant, so it can afford an intensive, mentor-supported intake model. Omega hires at volume for a service business where the pressing risk is filling seats and then keeping people, so its model is built for throughput and for converting raw potential into capability quickly.</w:t>
      </w:r>
    </w:p>
    <w:p>
      <w:pPr>
        <w:keepNext/>
        <w:keepLines/>
        <w:spacing w:before="180" w:after="100"/>
        <w:jc w:val="left"/>
      </w:pPr>
      <w:r>
        <w:rPr>
          <w:b/>
        </w:rPr>
        <w:t xml:space="preserve">3.2.4  Evaluation and Transferable Practice</w:t>
      </w:r>
    </w:p>
    <w:p>
      <w:pPr>
        <w:spacing w:after="140"/>
      </w:pPr>
      <w:r>
        <w:t xml:space="preserve">Hyundai’s mentor-linked campus model is a clear strength and helps explain its low attrition, but it must guard against being seen only as a graduate recruiter rather than a destination for diverse mid-career talent. Omega’s inclusive, high-volume engine is impressive and socially valuable, but volume hiring always risks quality dilution, placing a heavy burden on screening and onboarding. Omega could adopt Hyundai’s practice of assigning a named mentor from day one to raise early retention; Hyundai could learn from Omega’s deliberate, campaign-based sourcing of under-represented talent.</w:t>
      </w:r>
    </w:p>
    <w:tbl>
      <w:tblPr>
        <w:tblStyle w:val="TableGrid"/>
        <w:tblW w:w="8666" w:type="dxa"/>
        <w:tblInd w:w="0" w:type="dxa"/>
        <w:tblLayout w:type="fixed"/>
        <w:tblCellMar>
          <w:top w:w="60" w:type="dxa"/>
          <w:left w:w="108" w:type="dxa"/>
          <w:bottom w:w="60" w:type="dxa"/>
          <w:right w:w="108" w:type="dxa"/>
        </w:tblCellMar>
        <w:tblLook w:val="04A0" w:firstRow="1" w:lastRow="0" w:firstColumn="1" w:lastColumn="0" w:noHBand="0" w:noVBand="1"/>
      </w:tblPr>
      <w:tblGrid>
        <w:gridCol w:w="2000"/>
        <w:gridCol w:w="3333"/>
        <w:gridCol w:w="3333"/>
      </w:tblGrid>
      <w:tr>
        <w:trPr>
          <w:cantSplit/>
          <w:tblHeader/>
        </w:trPr>
        <w:tc>
          <w:tcPr>
            <w:tcW w:w="2000" w:type="dxa"/>
            <w:vAlign w:val="center"/>
          </w:tcPr>
          <w:p>
            <w:pPr>
              <w:spacing w:before="20" w:after="20" w:line="240" w:lineRule="auto"/>
              <w:jc w:val="center"/>
            </w:pPr>
            <w:r>
              <w:rPr>
                <w:b/>
              </w:rPr>
              <w:t xml:space="preserve">Dimension</w:t>
            </w:r>
          </w:p>
        </w:tc>
        <w:tc>
          <w:tcPr>
            <w:tcW w:w="3333" w:type="dxa"/>
            <w:vAlign w:val="center"/>
          </w:tcPr>
          <w:p>
            <w:pPr>
              <w:spacing w:before="20" w:after="20" w:line="240" w:lineRule="auto"/>
              <w:jc w:val="center"/>
            </w:pPr>
            <w:r>
              <w:rPr>
                <w:b/>
              </w:rPr>
              <w:t xml:space="preserve">Hyundai Motor India</w:t>
            </w:r>
          </w:p>
        </w:tc>
        <w:tc>
          <w:tcPr>
            <w:tcW w:w="3333" w:type="dxa"/>
            <w:vAlign w:val="center"/>
          </w:tcPr>
          <w:p>
            <w:pPr>
              <w:spacing w:before="20" w:after="20" w:line="240" w:lineRule="auto"/>
              <w:jc w:val="center"/>
            </w:pPr>
            <w:r>
              <w:rPr>
                <w:b/>
              </w:rPr>
              <w:t xml:space="preserve">Omega Healthcare</w:t>
            </w:r>
          </w:p>
        </w:tc>
      </w:tr>
      <w:tr>
        <w:trPr>
          <w:cantSplit/>
        </w:trPr>
        <w:tc>
          <w:tcPr>
            <w:tcW w:w="2000" w:type="dxa"/>
            <w:vAlign w:val="center"/>
          </w:tcPr>
          <w:p>
            <w:pPr>
              <w:spacing w:before="20" w:after="20" w:line="240" w:lineRule="auto"/>
              <w:jc w:val="left"/>
            </w:pPr>
            <w:r>
              <w:t xml:space="preserve">Dominant model</w:t>
            </w:r>
          </w:p>
        </w:tc>
        <w:tc>
          <w:tcPr>
            <w:tcW w:w="3333" w:type="dxa"/>
            <w:vAlign w:val="center"/>
          </w:tcPr>
          <w:p>
            <w:pPr>
              <w:spacing w:before="20" w:after="20" w:line="240" w:lineRule="auto"/>
              <w:jc w:val="left"/>
            </w:pPr>
            <w:r>
              <w:t xml:space="preserve">Selective, mentor-supported campus hiring (Young Talent Program)</w:t>
            </w:r>
          </w:p>
        </w:tc>
        <w:tc>
          <w:tcPr>
            <w:tcW w:w="3333" w:type="dxa"/>
            <w:vAlign w:val="center"/>
          </w:tcPr>
          <w:p>
            <w:pPr>
              <w:spacing w:before="20" w:after="20" w:line="240" w:lineRule="auto"/>
              <w:jc w:val="left"/>
            </w:pPr>
            <w:r>
              <w:t xml:space="preserve">High-volume, train-to-hire recruitment across multiple sites</w:t>
            </w:r>
          </w:p>
        </w:tc>
      </w:tr>
      <w:tr>
        <w:trPr>
          <w:cantSplit/>
        </w:trPr>
        <w:tc>
          <w:tcPr>
            <w:tcW w:w="2000" w:type="dxa"/>
            <w:vAlign w:val="center"/>
          </w:tcPr>
          <w:p>
            <w:pPr>
              <w:spacing w:before="20" w:after="20" w:line="240" w:lineRule="auto"/>
              <w:jc w:val="left"/>
            </w:pPr>
            <w:r>
              <w:t xml:space="preserve">Key selection criterion</w:t>
            </w:r>
          </w:p>
        </w:tc>
        <w:tc>
          <w:tcPr>
            <w:tcW w:w="3333" w:type="dxa"/>
            <w:vAlign w:val="center"/>
          </w:tcPr>
          <w:p>
            <w:pPr>
              <w:spacing w:before="20" w:after="20" w:line="240" w:lineRule="auto"/>
              <w:jc w:val="left"/>
            </w:pPr>
            <w:r>
              <w:t xml:space="preserve">Technical competence and cultural/safety fit</w:t>
            </w:r>
          </w:p>
        </w:tc>
        <w:tc>
          <w:tcPr>
            <w:tcW w:w="3333" w:type="dxa"/>
            <w:vAlign w:val="center"/>
          </w:tcPr>
          <w:p>
            <w:pPr>
              <w:spacing w:before="20" w:after="20" w:line="240" w:lineRule="auto"/>
              <w:jc w:val="left"/>
            </w:pPr>
            <w:r>
              <w:t xml:space="preserve">Trainability, communication, attention to detail</w:t>
            </w:r>
          </w:p>
        </w:tc>
      </w:tr>
      <w:tr>
        <w:trPr>
          <w:cantSplit/>
        </w:trPr>
        <w:tc>
          <w:tcPr>
            <w:tcW w:w="2000" w:type="dxa"/>
            <w:vAlign w:val="center"/>
          </w:tcPr>
          <w:p>
            <w:pPr>
              <w:spacing w:before="20" w:after="20" w:line="240" w:lineRule="auto"/>
              <w:jc w:val="left"/>
            </w:pPr>
            <w:r>
              <w:t xml:space="preserve">Entry mentoring</w:t>
            </w:r>
          </w:p>
        </w:tc>
        <w:tc>
          <w:tcPr>
            <w:tcW w:w="3333" w:type="dxa"/>
            <w:vAlign w:val="center"/>
          </w:tcPr>
          <w:p>
            <w:pPr>
              <w:spacing w:before="20" w:after="20" w:line="240" w:lineRule="auto"/>
              <w:jc w:val="left"/>
            </w:pPr>
            <w:r>
              <w:t xml:space="preserve">Leader-mentor assigned to each campus recruit</w:t>
            </w:r>
          </w:p>
        </w:tc>
        <w:tc>
          <w:tcPr>
            <w:tcW w:w="3333" w:type="dxa"/>
            <w:vAlign w:val="center"/>
          </w:tcPr>
          <w:p>
            <w:pPr>
              <w:spacing w:before="20" w:after="20" w:line="240" w:lineRule="auto"/>
              <w:jc w:val="left"/>
            </w:pPr>
            <w:r>
              <w:t xml:space="preserve">Structured onboarding and early skill training</w:t>
            </w:r>
          </w:p>
        </w:tc>
      </w:tr>
      <w:tr>
        <w:trPr>
          <w:cantSplit/>
        </w:trPr>
        <w:tc>
          <w:tcPr>
            <w:tcW w:w="2000" w:type="dxa"/>
            <w:vAlign w:val="center"/>
          </w:tcPr>
          <w:p>
            <w:pPr>
              <w:spacing w:before="20" w:after="20" w:line="240" w:lineRule="auto"/>
              <w:jc w:val="left"/>
            </w:pPr>
            <w:r>
              <w:t xml:space="preserve">Industry driver</w:t>
            </w:r>
          </w:p>
        </w:tc>
        <w:tc>
          <w:tcPr>
            <w:tcW w:w="3333" w:type="dxa"/>
            <w:vAlign w:val="center"/>
          </w:tcPr>
          <w:p>
            <w:pPr>
              <w:spacing w:before="20" w:after="20" w:line="240" w:lineRule="auto"/>
              <w:jc w:val="left"/>
            </w:pPr>
            <w:r>
              <w:t xml:space="preserve">Cost and safety risk of a poor technical hire</w:t>
            </w:r>
          </w:p>
        </w:tc>
        <w:tc>
          <w:tcPr>
            <w:tcW w:w="3333" w:type="dxa"/>
            <w:vAlign w:val="center"/>
          </w:tcPr>
          <w:p>
            <w:pPr>
              <w:spacing w:before="20" w:after="20" w:line="240" w:lineRule="auto"/>
              <w:jc w:val="left"/>
            </w:pPr>
            <w:r>
              <w:t xml:space="preserve">Need for scale, speed and immediate deployability</w:t>
            </w:r>
          </w:p>
        </w:tc>
      </w:tr>
    </w:tbl>
    <w:p>
      <w:pPr>
        <w:spacing w:after="140"/>
      </w:pPr>
    </w:p>
    <w:p>
      <w:pPr>
        <w:keepNext/>
        <w:keepLines/>
        <w:spacing w:before="240"/>
        <w:jc w:val="left"/>
      </w:pPr>
      <w:r>
        <w:rPr>
          <w:b/>
          <w:sz w:val="28"/>
          <w:szCs w:val="28"/>
        </w:rPr>
        <w:t xml:space="preserve">3.3  LEARNING AND DEVELOPMENT</w:t>
      </w:r>
    </w:p>
    <w:p>
      <w:pPr>
        <w:keepNext/>
        <w:keepLines/>
        <w:spacing w:before="180" w:after="100"/>
        <w:jc w:val="left"/>
      </w:pPr>
      <w:r>
        <w:rPr>
          <w:b/>
        </w:rPr>
        <w:t xml:space="preserve">3.3.1  Practice at Hyundai Motor India</w:t>
      </w:r>
    </w:p>
    <w:p>
      <w:pPr>
        <w:spacing w:after="140"/>
      </w:pPr>
      <w:r>
        <w:t xml:space="preserve">Learning is arguably where Hyundai is most distinctive. Its approach is organised around a family of academies, namely a Leadership Excellence Academy, a Behaviour Development Academy, a Function Development Academy and a Future Development Academy, supported by more than two hundred need-based learning trails and a philosophy of the “3Es”: Education, Exposure and Experience (People Matters, n.d.-a). The company partners with the IITs, IIMs and XLRI, and has co-created EV certification programmes with IIT Delhi and IIT Madras. In FY 2025-26 it trained 49,310 employees, dealer personnel and technicians through eight Regional Learning Centres, 15 Technical Training Academies and six Bodyshop Academies (ETHRWorld, 2026). Learning is being used as the primary instrument of strategic change.</w:t>
      </w:r>
    </w:p>
    <w:p>
      <w:pPr>
        <w:keepNext/>
        <w:keepLines/>
        <w:spacing w:before="180" w:after="100"/>
        <w:jc w:val="left"/>
      </w:pPr>
      <w:r>
        <w:rPr>
          <w:b/>
        </w:rPr>
        <w:t xml:space="preserve">3.3.2  Practice at Omega Healthcare</w:t>
      </w:r>
    </w:p>
    <w:p>
      <w:pPr>
        <w:spacing w:after="140"/>
      </w:pPr>
      <w:r>
        <w:t xml:space="preserve">Omega’s learning framework is tiered to its workforce structure. New associates receive grounding in business communication and quality control; those moving into supervisory roles complete programmes in people management and hiring; and a Future Leader Pipeline develops talent at emerging, mid and senior levels. Delivery blends instructor-led sessions, digital learning, simulations and internal mentoring, with the stated intent of making learning contextual, tightly linked to each person’s actual career path (People Matters, n.d.-d).</w:t>
      </w:r>
    </w:p>
    <w:p>
      <w:pPr>
        <w:keepNext/>
        <w:keepLines/>
        <w:spacing w:before="180" w:after="100"/>
        <w:jc w:val="left"/>
      </w:pPr>
      <w:r>
        <w:rPr>
          <w:b/>
        </w:rPr>
        <w:t xml:space="preserve">3.3.3  Comparison and Influence of Industry</w:t>
      </w:r>
    </w:p>
    <w:p>
      <w:pPr>
        <w:spacing w:after="140"/>
      </w:pPr>
      <w:r>
        <w:t xml:space="preserve">Both companies treat L&amp;D as strategic rather than remedial, and both operate multi-level architectures with a strong mentoring thread. The difference is one of content and cadence. Hyundai’s learning is heavily technical and future-technology oriented, reflecting an industry whose product is being reinvented. Omega’s learning is oriented towards process quality, domain knowledge and rapid readiness, reflecting a service business where capability must be built quickly and refreshed continuously against changing client and regulatory requirements.</w:t>
      </w:r>
    </w:p>
    <w:p>
      <w:pPr>
        <w:keepNext/>
        <w:keepLines/>
        <w:spacing w:before="180" w:after="100"/>
        <w:jc w:val="left"/>
      </w:pPr>
      <w:r>
        <w:rPr>
          <w:b/>
        </w:rPr>
        <w:t xml:space="preserve">3.3.4  Evaluation and Transferable Practice</w:t>
      </w:r>
    </w:p>
    <w:p>
      <w:pPr>
        <w:spacing w:after="140"/>
      </w:pPr>
      <w:r>
        <w:t xml:space="preserve">Hyundai’s institution-linked academy model is a genuine competitive strength and a strong example of the AMO model’s “Ability” lever; the main risk is ensuring the investment reaches frontline staff as fully as it reaches engineers and leaders. Omega’s contextual, career-linked model is well suited to its scale, but it could deepen external academic partnerships to lend more formal credentialing to its programmes. Hyundai, in return, could learn from Omega’s tight coupling of every learning module to a visible next career step.</w:t>
      </w:r>
    </w:p>
    <w:tbl>
      <w:tblPr>
        <w:tblStyle w:val="TableGrid"/>
        <w:tblW w:w="8666" w:type="dxa"/>
        <w:tblInd w:w="0" w:type="dxa"/>
        <w:tblLayout w:type="fixed"/>
        <w:tblCellMar>
          <w:top w:w="60" w:type="dxa"/>
          <w:left w:w="108" w:type="dxa"/>
          <w:bottom w:w="60" w:type="dxa"/>
          <w:right w:w="108" w:type="dxa"/>
        </w:tblCellMar>
        <w:tblLook w:val="04A0" w:firstRow="1" w:lastRow="0" w:firstColumn="1" w:lastColumn="0" w:noHBand="0" w:noVBand="1"/>
      </w:tblPr>
      <w:tblGrid>
        <w:gridCol w:w="2000"/>
        <w:gridCol w:w="3333"/>
        <w:gridCol w:w="3333"/>
      </w:tblGrid>
      <w:tr>
        <w:trPr>
          <w:cantSplit/>
          <w:tblHeader/>
        </w:trPr>
        <w:tc>
          <w:tcPr>
            <w:tcW w:w="2000" w:type="dxa"/>
            <w:vAlign w:val="center"/>
          </w:tcPr>
          <w:p>
            <w:pPr>
              <w:spacing w:before="20" w:after="20" w:line="240" w:lineRule="auto"/>
              <w:jc w:val="center"/>
            </w:pPr>
            <w:r>
              <w:rPr>
                <w:b/>
              </w:rPr>
              <w:t xml:space="preserve">Dimension</w:t>
            </w:r>
          </w:p>
        </w:tc>
        <w:tc>
          <w:tcPr>
            <w:tcW w:w="3333" w:type="dxa"/>
            <w:vAlign w:val="center"/>
          </w:tcPr>
          <w:p>
            <w:pPr>
              <w:spacing w:before="20" w:after="20" w:line="240" w:lineRule="auto"/>
              <w:jc w:val="center"/>
            </w:pPr>
            <w:r>
              <w:rPr>
                <w:b/>
              </w:rPr>
              <w:t xml:space="preserve">Hyundai Motor India</w:t>
            </w:r>
          </w:p>
        </w:tc>
        <w:tc>
          <w:tcPr>
            <w:tcW w:w="3333" w:type="dxa"/>
            <w:vAlign w:val="center"/>
          </w:tcPr>
          <w:p>
            <w:pPr>
              <w:spacing w:before="20" w:after="20" w:line="240" w:lineRule="auto"/>
              <w:jc w:val="center"/>
            </w:pPr>
            <w:r>
              <w:rPr>
                <w:b/>
              </w:rPr>
              <w:t xml:space="preserve">Omega Healthcare</w:t>
            </w:r>
          </w:p>
        </w:tc>
      </w:tr>
      <w:tr>
        <w:trPr>
          <w:cantSplit/>
        </w:trPr>
        <w:tc>
          <w:tcPr>
            <w:tcW w:w="2000" w:type="dxa"/>
            <w:vAlign w:val="center"/>
          </w:tcPr>
          <w:p>
            <w:pPr>
              <w:spacing w:before="20" w:after="20" w:line="240" w:lineRule="auto"/>
              <w:jc w:val="left"/>
            </w:pPr>
            <w:r>
              <w:t xml:space="preserve">Signature model</w:t>
            </w:r>
          </w:p>
        </w:tc>
        <w:tc>
          <w:tcPr>
            <w:tcW w:w="3333" w:type="dxa"/>
            <w:vAlign w:val="center"/>
          </w:tcPr>
          <w:p>
            <w:pPr>
              <w:spacing w:before="20" w:after="20" w:line="240" w:lineRule="auto"/>
              <w:jc w:val="left"/>
            </w:pPr>
            <w:r>
              <w:t xml:space="preserve">Academy system and 3Es (Education, Exposure, Experience)</w:t>
            </w:r>
          </w:p>
        </w:tc>
        <w:tc>
          <w:tcPr>
            <w:tcW w:w="3333" w:type="dxa"/>
            <w:vAlign w:val="center"/>
          </w:tcPr>
          <w:p>
            <w:pPr>
              <w:spacing w:before="20" w:after="20" w:line="240" w:lineRule="auto"/>
              <w:jc w:val="left"/>
            </w:pPr>
            <w:r>
              <w:t xml:space="preserve">Tiered L&amp;D and Future Leader Pipeline, career-linked</w:t>
            </w:r>
          </w:p>
        </w:tc>
      </w:tr>
      <w:tr>
        <w:trPr>
          <w:cantSplit/>
        </w:trPr>
        <w:tc>
          <w:tcPr>
            <w:tcW w:w="2000" w:type="dxa"/>
            <w:vAlign w:val="center"/>
          </w:tcPr>
          <w:p>
            <w:pPr>
              <w:spacing w:before="20" w:after="20" w:line="240" w:lineRule="auto"/>
              <w:jc w:val="left"/>
            </w:pPr>
            <w:r>
              <w:t xml:space="preserve">External partners</w:t>
            </w:r>
          </w:p>
        </w:tc>
        <w:tc>
          <w:tcPr>
            <w:tcW w:w="3333" w:type="dxa"/>
            <w:vAlign w:val="center"/>
          </w:tcPr>
          <w:p>
            <w:pPr>
              <w:spacing w:before="20" w:after="20" w:line="240" w:lineRule="auto"/>
              <w:jc w:val="left"/>
            </w:pPr>
            <w:r>
              <w:t xml:space="preserve">IITs, IIMs, XLRI; co-created EV certifications</w:t>
            </w:r>
          </w:p>
        </w:tc>
        <w:tc>
          <w:tcPr>
            <w:tcW w:w="3333" w:type="dxa"/>
            <w:vAlign w:val="center"/>
          </w:tcPr>
          <w:p>
            <w:pPr>
              <w:spacing w:before="20" w:after="20" w:line="240" w:lineRule="auto"/>
              <w:jc w:val="left"/>
            </w:pPr>
            <w:r>
              <w:t xml:space="preserve">Largely internal; blended instructor-led and digital</w:t>
            </w:r>
          </w:p>
        </w:tc>
      </w:tr>
      <w:tr>
        <w:trPr>
          <w:cantSplit/>
        </w:trPr>
        <w:tc>
          <w:tcPr>
            <w:tcW w:w="2000" w:type="dxa"/>
            <w:vAlign w:val="center"/>
          </w:tcPr>
          <w:p>
            <w:pPr>
              <w:spacing w:before="20" w:after="20" w:line="240" w:lineRule="auto"/>
              <w:jc w:val="left"/>
            </w:pPr>
            <w:r>
              <w:t xml:space="preserve">Scale (latest)</w:t>
            </w:r>
          </w:p>
        </w:tc>
        <w:tc>
          <w:tcPr>
            <w:tcW w:w="3333" w:type="dxa"/>
            <w:vAlign w:val="center"/>
          </w:tcPr>
          <w:p>
            <w:pPr>
              <w:spacing w:before="20" w:after="20" w:line="240" w:lineRule="auto"/>
              <w:jc w:val="left"/>
            </w:pPr>
            <w:r>
              <w:t xml:space="preserve">49,310 people trained in FY 2025-26</w:t>
            </w:r>
          </w:p>
        </w:tc>
        <w:tc>
          <w:tcPr>
            <w:tcW w:w="3333" w:type="dxa"/>
            <w:vAlign w:val="center"/>
          </w:tcPr>
          <w:p>
            <w:pPr>
              <w:spacing w:before="20" w:after="20" w:line="240" w:lineRule="auto"/>
              <w:jc w:val="left"/>
            </w:pPr>
            <w:r>
              <w:t xml:space="preserve">Onboarding and upskilling of a 35,000+ workforce</w:t>
            </w:r>
          </w:p>
        </w:tc>
      </w:tr>
      <w:tr>
        <w:trPr>
          <w:cantSplit/>
        </w:trPr>
        <w:tc>
          <w:tcPr>
            <w:tcW w:w="2000" w:type="dxa"/>
            <w:vAlign w:val="center"/>
          </w:tcPr>
          <w:p>
            <w:pPr>
              <w:spacing w:before="20" w:after="20" w:line="240" w:lineRule="auto"/>
              <w:jc w:val="left"/>
            </w:pPr>
            <w:r>
              <w:t xml:space="preserve">Strategic purpose</w:t>
            </w:r>
          </w:p>
        </w:tc>
        <w:tc>
          <w:tcPr>
            <w:tcW w:w="3333" w:type="dxa"/>
            <w:vAlign w:val="center"/>
          </w:tcPr>
          <w:p>
            <w:pPr>
              <w:spacing w:before="20" w:after="20" w:line="240" w:lineRule="auto"/>
              <w:jc w:val="left"/>
            </w:pPr>
            <w:r>
              <w:t xml:space="preserve">Reskilling for the EV and software-defined-vehicle shift</w:t>
            </w:r>
          </w:p>
        </w:tc>
        <w:tc>
          <w:tcPr>
            <w:tcW w:w="3333" w:type="dxa"/>
            <w:vAlign w:val="center"/>
          </w:tcPr>
          <w:p>
            <w:pPr>
              <w:spacing w:before="20" w:after="20" w:line="240" w:lineRule="auto"/>
              <w:jc w:val="left"/>
            </w:pPr>
            <w:r>
              <w:t xml:space="preserve">Fast readiness, process quality and compliance</w:t>
            </w:r>
          </w:p>
        </w:tc>
      </w:tr>
    </w:tbl>
    <w:p>
      <w:pPr>
        <w:spacing w:after="140"/>
      </w:pPr>
    </w:p>
    <w:p>
      <w:pPr>
        <w:keepNext/>
        <w:keepLines/>
        <w:spacing w:before="240"/>
        <w:jc w:val="left"/>
      </w:pPr>
      <w:r>
        <w:rPr>
          <w:b/>
          <w:sz w:val="28"/>
          <w:szCs w:val="28"/>
        </w:rPr>
        <w:t xml:space="preserve">3.4  PERFORMANCE MANAGEMENT</w:t>
      </w:r>
    </w:p>
    <w:p>
      <w:pPr>
        <w:keepNext/>
        <w:keepLines/>
        <w:spacing w:before="180" w:after="100"/>
        <w:jc w:val="left"/>
      </w:pPr>
      <w:r>
        <w:rPr>
          <w:b/>
        </w:rPr>
        <w:t xml:space="preserve">3.4.1  Practice at Hyundai Motor India</w:t>
      </w:r>
    </w:p>
    <w:p>
      <w:pPr>
        <w:spacing w:after="140"/>
      </w:pPr>
      <w:r>
        <w:t xml:space="preserve">Hyundai’s most visible recent people initiative is its move to a Role-Based Organisation, implemented with Deloitte India, which defines contribution and progression around clearly articulated roles rather than traditional hierarchical grades (ETHRWorld, 2023; BW People, 2026). Performance is managed against role expectations and is closely tied to the learning academies and an in-house assessment and development centre that supports objective evaluation of potential.</w:t>
      </w:r>
    </w:p>
    <w:p>
      <w:pPr>
        <w:keepNext/>
        <w:keepLines/>
        <w:spacing w:before="180" w:after="100"/>
        <w:jc w:val="left"/>
      </w:pPr>
      <w:r>
        <w:rPr>
          <w:b/>
        </w:rPr>
        <w:t xml:space="preserve">3.4.2  Practice at Omega Healthcare</w:t>
      </w:r>
    </w:p>
    <w:p>
      <w:pPr>
        <w:spacing w:after="140"/>
      </w:pPr>
      <w:r>
        <w:t xml:space="preserve">Omega has taken a strikingly different path for its frontline population. In 2021 it introduced a Performance-Based Quarterly Merit Increase (PBQMI) for its Band 1 employees, the frontline associates who form its operational backbone, replacing the traditional annual cycle with performance-linked pay rises every three months. The logic, as described by its HR leadership, is that there is little sense in waiting a year to reward good work, especially for younger employees who expect their impact to be recognised quickly (HRKatha, n.d.).</w:t>
      </w:r>
    </w:p>
    <w:p>
      <w:pPr>
        <w:keepNext/>
        <w:keepLines/>
        <w:spacing w:before="180" w:after="100"/>
        <w:jc w:val="left"/>
      </w:pPr>
      <w:r>
        <w:rPr>
          <w:b/>
        </w:rPr>
        <w:t xml:space="preserve">3.4.3  Comparison and Influence of Industry</w:t>
      </w:r>
    </w:p>
    <w:p>
      <w:pPr>
        <w:spacing w:after="140"/>
      </w:pPr>
      <w:r>
        <w:t xml:space="preserve">The two organisations sit at almost opposite ends of a spectrum of cadence. Hyundai emphasises structural clarity, which suits a manufacturing environment where work is stable, interdependent and measured over longer horizons. Omega emphasises frequency and immediacy, which suits a high-volume service environment where output is measurable at the individual level and fast feedback is a powerful retention lever. The measurability of RCM work makes quarterly merit increases feasible in a way that would be far harder to administer fairly on an interdependent assembly line.</w:t>
      </w:r>
    </w:p>
    <w:p>
      <w:pPr>
        <w:keepNext/>
        <w:keepLines/>
        <w:spacing w:before="180" w:after="100"/>
        <w:jc w:val="left"/>
      </w:pPr>
      <w:r>
        <w:rPr>
          <w:b/>
        </w:rPr>
        <w:t xml:space="preserve">3.4.4  Evaluation and Transferable Practice</w:t>
      </w:r>
    </w:p>
    <w:p>
      <w:pPr>
        <w:spacing w:after="140"/>
      </w:pPr>
      <w:r>
        <w:t xml:space="preserve">Hyundai’s role-based system is a sophisticated attempt to modernise performance management and reduce hierarchy, but it must be communicated carefully so employees understand how roles translate into growth and reward. Omega’s PBQMI is genuinely innovative, with a clear line of sight to motivation and retention, though it demands transparent metrics to avoid perceptions of unfairness and short-termism. Hyundai could pilot more frequent recognition cycles for suitable roles, while Omega could complement its quarterly rewards with the structured potential assessment that Hyundai runs.</w:t>
      </w:r>
    </w:p>
    <w:tbl>
      <w:tblPr>
        <w:tblStyle w:val="TableGrid"/>
        <w:tblW w:w="8666" w:type="dxa"/>
        <w:tblInd w:w="0" w:type="dxa"/>
        <w:tblLayout w:type="fixed"/>
        <w:tblCellMar>
          <w:top w:w="60" w:type="dxa"/>
          <w:left w:w="108" w:type="dxa"/>
          <w:bottom w:w="60" w:type="dxa"/>
          <w:right w:w="108" w:type="dxa"/>
        </w:tblCellMar>
        <w:tblLook w:val="04A0" w:firstRow="1" w:lastRow="0" w:firstColumn="1" w:lastColumn="0" w:noHBand="0" w:noVBand="1"/>
      </w:tblPr>
      <w:tblGrid>
        <w:gridCol w:w="2000"/>
        <w:gridCol w:w="3333"/>
        <w:gridCol w:w="3333"/>
      </w:tblGrid>
      <w:tr>
        <w:trPr>
          <w:cantSplit/>
          <w:tblHeader/>
        </w:trPr>
        <w:tc>
          <w:tcPr>
            <w:tcW w:w="2000" w:type="dxa"/>
            <w:vAlign w:val="center"/>
          </w:tcPr>
          <w:p>
            <w:pPr>
              <w:spacing w:before="20" w:after="20" w:line="240" w:lineRule="auto"/>
              <w:jc w:val="center"/>
            </w:pPr>
            <w:r>
              <w:rPr>
                <w:b/>
              </w:rPr>
              <w:t xml:space="preserve">Dimension</w:t>
            </w:r>
          </w:p>
        </w:tc>
        <w:tc>
          <w:tcPr>
            <w:tcW w:w="3333" w:type="dxa"/>
            <w:vAlign w:val="center"/>
          </w:tcPr>
          <w:p>
            <w:pPr>
              <w:spacing w:before="20" w:after="20" w:line="240" w:lineRule="auto"/>
              <w:jc w:val="center"/>
            </w:pPr>
            <w:r>
              <w:rPr>
                <w:b/>
              </w:rPr>
              <w:t xml:space="preserve">Hyundai Motor India</w:t>
            </w:r>
          </w:p>
        </w:tc>
        <w:tc>
          <w:tcPr>
            <w:tcW w:w="3333" w:type="dxa"/>
            <w:vAlign w:val="center"/>
          </w:tcPr>
          <w:p>
            <w:pPr>
              <w:spacing w:before="20" w:after="20" w:line="240" w:lineRule="auto"/>
              <w:jc w:val="center"/>
            </w:pPr>
            <w:r>
              <w:rPr>
                <w:b/>
              </w:rPr>
              <w:t xml:space="preserve">Omega Healthcare</w:t>
            </w:r>
          </w:p>
        </w:tc>
      </w:tr>
      <w:tr>
        <w:trPr>
          <w:cantSplit/>
        </w:trPr>
        <w:tc>
          <w:tcPr>
            <w:tcW w:w="2000" w:type="dxa"/>
            <w:vAlign w:val="center"/>
          </w:tcPr>
          <w:p>
            <w:pPr>
              <w:spacing w:before="20" w:after="20" w:line="240" w:lineRule="auto"/>
              <w:jc w:val="left"/>
            </w:pPr>
            <w:r>
              <w:t xml:space="preserve">Core philosophy</w:t>
            </w:r>
          </w:p>
        </w:tc>
        <w:tc>
          <w:tcPr>
            <w:tcW w:w="3333" w:type="dxa"/>
            <w:vAlign w:val="center"/>
          </w:tcPr>
          <w:p>
            <w:pPr>
              <w:spacing w:before="20" w:after="20" w:line="240" w:lineRule="auto"/>
              <w:jc w:val="left"/>
            </w:pPr>
            <w:r>
              <w:t xml:space="preserve">Structural clarity via Role-Based Organisation</w:t>
            </w:r>
          </w:p>
        </w:tc>
        <w:tc>
          <w:tcPr>
            <w:tcW w:w="3333" w:type="dxa"/>
            <w:vAlign w:val="center"/>
          </w:tcPr>
          <w:p>
            <w:pPr>
              <w:spacing w:before="20" w:after="20" w:line="240" w:lineRule="auto"/>
              <w:jc w:val="left"/>
            </w:pPr>
            <w:r>
              <w:t xml:space="preserve">High-frequency, performance-linked reward</w:t>
            </w:r>
          </w:p>
        </w:tc>
      </w:tr>
      <w:tr>
        <w:trPr>
          <w:cantSplit/>
        </w:trPr>
        <w:tc>
          <w:tcPr>
            <w:tcW w:w="2000" w:type="dxa"/>
            <w:vAlign w:val="center"/>
          </w:tcPr>
          <w:p>
            <w:pPr>
              <w:spacing w:before="20" w:after="20" w:line="240" w:lineRule="auto"/>
              <w:jc w:val="left"/>
            </w:pPr>
            <w:r>
              <w:t xml:space="preserve">Review cadence</w:t>
            </w:r>
          </w:p>
        </w:tc>
        <w:tc>
          <w:tcPr>
            <w:tcW w:w="3333" w:type="dxa"/>
            <w:vAlign w:val="center"/>
          </w:tcPr>
          <w:p>
            <w:pPr>
              <w:spacing w:before="20" w:after="20" w:line="240" w:lineRule="auto"/>
              <w:jc w:val="left"/>
            </w:pPr>
            <w:r>
              <w:t xml:space="preserve">Structured, role-based, longer horizon</w:t>
            </w:r>
          </w:p>
        </w:tc>
        <w:tc>
          <w:tcPr>
            <w:tcW w:w="3333" w:type="dxa"/>
            <w:vAlign w:val="center"/>
          </w:tcPr>
          <w:p>
            <w:pPr>
              <w:spacing w:before="20" w:after="20" w:line="240" w:lineRule="auto"/>
              <w:jc w:val="left"/>
            </w:pPr>
            <w:r>
              <w:t xml:space="preserve">Quarterly merit increases (PBQMI) for frontline</w:t>
            </w:r>
          </w:p>
        </w:tc>
      </w:tr>
      <w:tr>
        <w:trPr>
          <w:cantSplit/>
        </w:trPr>
        <w:tc>
          <w:tcPr>
            <w:tcW w:w="2000" w:type="dxa"/>
            <w:vAlign w:val="center"/>
          </w:tcPr>
          <w:p>
            <w:pPr>
              <w:spacing w:before="20" w:after="20" w:line="240" w:lineRule="auto"/>
              <w:jc w:val="left"/>
            </w:pPr>
            <w:r>
              <w:t xml:space="preserve">Supporting tools</w:t>
            </w:r>
          </w:p>
        </w:tc>
        <w:tc>
          <w:tcPr>
            <w:tcW w:w="3333" w:type="dxa"/>
            <w:vAlign w:val="center"/>
          </w:tcPr>
          <w:p>
            <w:pPr>
              <w:spacing w:before="20" w:after="20" w:line="240" w:lineRule="auto"/>
              <w:jc w:val="left"/>
            </w:pPr>
            <w:r>
              <w:t xml:space="preserve">Assessment and development centre; academies</w:t>
            </w:r>
          </w:p>
        </w:tc>
        <w:tc>
          <w:tcPr>
            <w:tcW w:w="3333" w:type="dxa"/>
            <w:vAlign w:val="center"/>
          </w:tcPr>
          <w:p>
            <w:pPr>
              <w:spacing w:before="20" w:after="20" w:line="240" w:lineRule="auto"/>
              <w:jc w:val="left"/>
            </w:pPr>
            <w:r>
              <w:t xml:space="preserve">Clear individual metrics; timely feedback</w:t>
            </w:r>
          </w:p>
        </w:tc>
      </w:tr>
      <w:tr>
        <w:trPr>
          <w:cantSplit/>
        </w:trPr>
        <w:tc>
          <w:tcPr>
            <w:tcW w:w="2000" w:type="dxa"/>
            <w:vAlign w:val="center"/>
          </w:tcPr>
          <w:p>
            <w:pPr>
              <w:spacing w:before="20" w:after="20" w:line="240" w:lineRule="auto"/>
              <w:jc w:val="left"/>
            </w:pPr>
            <w:r>
              <w:t xml:space="preserve">Industry driver</w:t>
            </w:r>
          </w:p>
        </w:tc>
        <w:tc>
          <w:tcPr>
            <w:tcW w:w="3333" w:type="dxa"/>
            <w:vAlign w:val="center"/>
          </w:tcPr>
          <w:p>
            <w:pPr>
              <w:spacing w:before="20" w:after="20" w:line="240" w:lineRule="auto"/>
              <w:jc w:val="left"/>
            </w:pPr>
            <w:r>
              <w:t xml:space="preserve">Interdependent, safety-critical, stable work</w:t>
            </w:r>
          </w:p>
        </w:tc>
        <w:tc>
          <w:tcPr>
            <w:tcW w:w="3333" w:type="dxa"/>
            <w:vAlign w:val="center"/>
          </w:tcPr>
          <w:p>
            <w:pPr>
              <w:spacing w:before="20" w:after="20" w:line="240" w:lineRule="auto"/>
              <w:jc w:val="left"/>
            </w:pPr>
            <w:r>
              <w:t xml:space="preserve">Highly measurable individual output; retention focus</w:t>
            </w:r>
          </w:p>
        </w:tc>
      </w:tr>
    </w:tbl>
    <w:p>
      <w:pPr>
        <w:spacing w:after="140"/>
      </w:pPr>
    </w:p>
    <w:p>
      <w:pPr>
        <w:keepNext/>
        <w:keepLines/>
        <w:spacing w:before="240"/>
        <w:jc w:val="left"/>
      </w:pPr>
      <w:r>
        <w:rPr>
          <w:b/>
          <w:sz w:val="28"/>
          <w:szCs w:val="28"/>
        </w:rPr>
        <w:t xml:space="preserve">3.5  COMPENSATION AND BENEFITS</w:t>
      </w:r>
    </w:p>
    <w:p>
      <w:pPr>
        <w:keepNext/>
        <w:keepLines/>
        <w:spacing w:before="180" w:after="100"/>
        <w:jc w:val="left"/>
      </w:pPr>
      <w:r>
        <w:rPr>
          <w:b/>
        </w:rPr>
        <w:t xml:space="preserve">3.5.1  Practice at Hyundai Motor India</w:t>
      </w:r>
    </w:p>
    <w:p>
      <w:pPr>
        <w:spacing w:after="140"/>
      </w:pPr>
      <w:r>
        <w:t xml:space="preserve">As a large listed manufacturer, Hyundai offers structured, market-competitive compensation with the benefits typical of an established industrial employer. Its regulated disclosures report employee-benefit expenses running into thousands of crores of rupees and a rise in median employee remuneration of close to ten per cent in a recent financial year (Hyundai Motor India Limited, 2025b). Compensation is embedded in the role-based structure, linking reward to role and contribution, and is complemented by the security and long-service orientation of a stable manufacturing career.</w:t>
      </w:r>
    </w:p>
    <w:p>
      <w:pPr>
        <w:keepNext/>
        <w:keepLines/>
        <w:spacing w:before="180" w:after="100"/>
        <w:jc w:val="left"/>
      </w:pPr>
      <w:r>
        <w:rPr>
          <w:b/>
        </w:rPr>
        <w:t xml:space="preserve">3.5.2  Practice at Omega Healthcare</w:t>
      </w:r>
    </w:p>
    <w:p>
      <w:pPr>
        <w:spacing w:after="140"/>
      </w:pPr>
      <w:r>
        <w:t xml:space="preserve">Omega’s reward strategy is shaped by the economics of services and by the retention imperative. Its headline innovation is the quarterly merit increase for frontline staff, which accelerates reward for good performers. Around this sits a benefits package that the company frames as infrastructure for performance rather than perks: employee-assistance schemes, financial-wellness tools, health support and recognition programmes, notably the Golden Brick long-service awards that celebrate three-, ten-, fifteen- and twenty-year milestones at high-profile ceremonies (HRKatha, n.d.).</w:t>
      </w:r>
    </w:p>
    <w:p>
      <w:pPr>
        <w:keepNext/>
        <w:keepLines/>
        <w:spacing w:before="180" w:after="100"/>
        <w:jc w:val="left"/>
      </w:pPr>
      <w:r>
        <w:rPr>
          <w:b/>
        </w:rPr>
        <w:t xml:space="preserve">3.5.3  Comparison and Influence of Industry</w:t>
      </w:r>
    </w:p>
    <w:p>
      <w:pPr>
        <w:spacing w:after="140"/>
      </w:pPr>
      <w:r>
        <w:t xml:space="preserve">Both companies understand that pay alone does not retain people, an essentially Herzbergian position, and both wrap monetary reward in wider benefits and recognition. The difference is in structure and rhythm. Hyundai’s compensation is stable, role-anchored and disclosed within a regulated framework. Omega’s is more dynamic and retention-driven, using frequency of reward and symbolic long-service recognition to counter the churn of its sector. The automobile model optimises for fairness and stability; the services model optimises for momentum and loyalty.</w:t>
      </w:r>
    </w:p>
    <w:p>
      <w:pPr>
        <w:keepNext/>
        <w:keepLines/>
        <w:spacing w:before="180" w:after="100"/>
        <w:jc w:val="left"/>
      </w:pPr>
      <w:r>
        <w:rPr>
          <w:b/>
        </w:rPr>
        <w:t xml:space="preserve">3.5.4  Evaluation and Transferable Practice</w:t>
      </w:r>
    </w:p>
    <w:p>
      <w:pPr>
        <w:spacing w:after="140"/>
      </w:pPr>
      <w:r>
        <w:t xml:space="preserve">Hyundai’s approach is robust and transparent, but stability can feel static to ambitious younger employees. Omega’s combination of quarterly increases and milestone recognition is imaginative and well targeted, though frequent monetary reward must be funded sustainably and balanced so it does not overshadow intrinsic motivators. Hyundai could adopt Omega’s milestone-celebration idea to make long tenure feel special; Omega could draw on Hyundai’s role-linked pay structure to keep its dynamic rewards internally equitable.</w:t>
      </w:r>
    </w:p>
    <w:tbl>
      <w:tblPr>
        <w:tblStyle w:val="TableGrid"/>
        <w:tblW w:w="8666" w:type="dxa"/>
        <w:tblInd w:w="0" w:type="dxa"/>
        <w:tblLayout w:type="fixed"/>
        <w:tblCellMar>
          <w:top w:w="60" w:type="dxa"/>
          <w:left w:w="108" w:type="dxa"/>
          <w:bottom w:w="60" w:type="dxa"/>
          <w:right w:w="108" w:type="dxa"/>
        </w:tblCellMar>
        <w:tblLook w:val="04A0" w:firstRow="1" w:lastRow="0" w:firstColumn="1" w:lastColumn="0" w:noHBand="0" w:noVBand="1"/>
      </w:tblPr>
      <w:tblGrid>
        <w:gridCol w:w="2000"/>
        <w:gridCol w:w="3333"/>
        <w:gridCol w:w="3333"/>
      </w:tblGrid>
      <w:tr>
        <w:trPr>
          <w:cantSplit/>
          <w:tblHeader/>
        </w:trPr>
        <w:tc>
          <w:tcPr>
            <w:tcW w:w="2000" w:type="dxa"/>
            <w:vAlign w:val="center"/>
          </w:tcPr>
          <w:p>
            <w:pPr>
              <w:spacing w:before="20" w:after="20" w:line="240" w:lineRule="auto"/>
              <w:jc w:val="center"/>
            </w:pPr>
            <w:r>
              <w:rPr>
                <w:b/>
              </w:rPr>
              <w:t xml:space="preserve">Dimension</w:t>
            </w:r>
          </w:p>
        </w:tc>
        <w:tc>
          <w:tcPr>
            <w:tcW w:w="3333" w:type="dxa"/>
            <w:vAlign w:val="center"/>
          </w:tcPr>
          <w:p>
            <w:pPr>
              <w:spacing w:before="20" w:after="20" w:line="240" w:lineRule="auto"/>
              <w:jc w:val="center"/>
            </w:pPr>
            <w:r>
              <w:rPr>
                <w:b/>
              </w:rPr>
              <w:t xml:space="preserve">Hyundai Motor India</w:t>
            </w:r>
          </w:p>
        </w:tc>
        <w:tc>
          <w:tcPr>
            <w:tcW w:w="3333" w:type="dxa"/>
            <w:vAlign w:val="center"/>
          </w:tcPr>
          <w:p>
            <w:pPr>
              <w:spacing w:before="20" w:after="20" w:line="240" w:lineRule="auto"/>
              <w:jc w:val="center"/>
            </w:pPr>
            <w:r>
              <w:rPr>
                <w:b/>
              </w:rPr>
              <w:t xml:space="preserve">Omega Healthcare</w:t>
            </w:r>
          </w:p>
        </w:tc>
      </w:tr>
      <w:tr>
        <w:trPr>
          <w:cantSplit/>
        </w:trPr>
        <w:tc>
          <w:tcPr>
            <w:tcW w:w="2000" w:type="dxa"/>
            <w:vAlign w:val="center"/>
          </w:tcPr>
          <w:p>
            <w:pPr>
              <w:spacing w:before="20" w:after="20" w:line="240" w:lineRule="auto"/>
              <w:jc w:val="left"/>
            </w:pPr>
            <w:r>
              <w:t xml:space="preserve">Pay philosophy</w:t>
            </w:r>
          </w:p>
        </w:tc>
        <w:tc>
          <w:tcPr>
            <w:tcW w:w="3333" w:type="dxa"/>
            <w:vAlign w:val="center"/>
          </w:tcPr>
          <w:p>
            <w:pPr>
              <w:spacing w:before="20" w:after="20" w:line="240" w:lineRule="auto"/>
              <w:jc w:val="left"/>
            </w:pPr>
            <w:r>
              <w:t xml:space="preserve">Structured, role-linked, market-competitive</w:t>
            </w:r>
          </w:p>
        </w:tc>
        <w:tc>
          <w:tcPr>
            <w:tcW w:w="3333" w:type="dxa"/>
            <w:vAlign w:val="center"/>
          </w:tcPr>
          <w:p>
            <w:pPr>
              <w:spacing w:before="20" w:after="20" w:line="240" w:lineRule="auto"/>
              <w:jc w:val="left"/>
            </w:pPr>
            <w:r>
              <w:t xml:space="preserve">Dynamic, retention-driven, performance-linked</w:t>
            </w:r>
          </w:p>
        </w:tc>
      </w:tr>
      <w:tr>
        <w:trPr>
          <w:cantSplit/>
        </w:trPr>
        <w:tc>
          <w:tcPr>
            <w:tcW w:w="2000" w:type="dxa"/>
            <w:vAlign w:val="center"/>
          </w:tcPr>
          <w:p>
            <w:pPr>
              <w:spacing w:before="20" w:after="20" w:line="240" w:lineRule="auto"/>
              <w:jc w:val="left"/>
            </w:pPr>
            <w:r>
              <w:t xml:space="preserve">Signature element</w:t>
            </w:r>
          </w:p>
        </w:tc>
        <w:tc>
          <w:tcPr>
            <w:tcW w:w="3333" w:type="dxa"/>
            <w:vAlign w:val="center"/>
          </w:tcPr>
          <w:p>
            <w:pPr>
              <w:spacing w:before="20" w:after="20" w:line="240" w:lineRule="auto"/>
              <w:jc w:val="left"/>
            </w:pPr>
            <w:r>
              <w:t xml:space="preserve">Rising median pay; stable industrial package</w:t>
            </w:r>
          </w:p>
        </w:tc>
        <w:tc>
          <w:tcPr>
            <w:tcW w:w="3333" w:type="dxa"/>
            <w:vAlign w:val="center"/>
          </w:tcPr>
          <w:p>
            <w:pPr>
              <w:spacing w:before="20" w:after="20" w:line="240" w:lineRule="auto"/>
              <w:jc w:val="left"/>
            </w:pPr>
            <w:r>
              <w:t xml:space="preserve">Quarterly merit increases; Golden Brick awards</w:t>
            </w:r>
          </w:p>
        </w:tc>
      </w:tr>
      <w:tr>
        <w:trPr>
          <w:cantSplit/>
        </w:trPr>
        <w:tc>
          <w:tcPr>
            <w:tcW w:w="2000" w:type="dxa"/>
            <w:vAlign w:val="center"/>
          </w:tcPr>
          <w:p>
            <w:pPr>
              <w:spacing w:before="20" w:after="20" w:line="240" w:lineRule="auto"/>
              <w:jc w:val="left"/>
            </w:pPr>
            <w:r>
              <w:t xml:space="preserve">Benefits framing</w:t>
            </w:r>
          </w:p>
        </w:tc>
        <w:tc>
          <w:tcPr>
            <w:tcW w:w="3333" w:type="dxa"/>
            <w:vAlign w:val="center"/>
          </w:tcPr>
          <w:p>
            <w:pPr>
              <w:spacing w:before="20" w:after="20" w:line="240" w:lineRule="auto"/>
              <w:jc w:val="left"/>
            </w:pPr>
            <w:r>
              <w:t xml:space="preserve">Facilities and security of a stable employer</w:t>
            </w:r>
          </w:p>
        </w:tc>
        <w:tc>
          <w:tcPr>
            <w:tcW w:w="3333" w:type="dxa"/>
            <w:vAlign w:val="center"/>
          </w:tcPr>
          <w:p>
            <w:pPr>
              <w:spacing w:before="20" w:after="20" w:line="240" w:lineRule="auto"/>
              <w:jc w:val="left"/>
            </w:pPr>
            <w:r>
              <w:t xml:space="preserve">“Infrastructure for performance”: EAP, financial wellness</w:t>
            </w:r>
          </w:p>
        </w:tc>
      </w:tr>
      <w:tr>
        <w:trPr>
          <w:cantSplit/>
        </w:trPr>
        <w:tc>
          <w:tcPr>
            <w:tcW w:w="2000" w:type="dxa"/>
            <w:vAlign w:val="center"/>
          </w:tcPr>
          <w:p>
            <w:pPr>
              <w:spacing w:before="20" w:after="20" w:line="240" w:lineRule="auto"/>
              <w:jc w:val="left"/>
            </w:pPr>
            <w:r>
              <w:t xml:space="preserve">Industry driver</w:t>
            </w:r>
          </w:p>
        </w:tc>
        <w:tc>
          <w:tcPr>
            <w:tcW w:w="3333" w:type="dxa"/>
            <w:vAlign w:val="center"/>
          </w:tcPr>
          <w:p>
            <w:pPr>
              <w:spacing w:before="20" w:after="20" w:line="240" w:lineRule="auto"/>
              <w:jc w:val="left"/>
            </w:pPr>
            <w:r>
              <w:t xml:space="preserve">Listed-company norms; long, stable careers</w:t>
            </w:r>
          </w:p>
        </w:tc>
        <w:tc>
          <w:tcPr>
            <w:tcW w:w="3333" w:type="dxa"/>
            <w:vAlign w:val="center"/>
          </w:tcPr>
          <w:p>
            <w:pPr>
              <w:spacing w:before="20" w:after="20" w:line="240" w:lineRule="auto"/>
              <w:jc w:val="left"/>
            </w:pPr>
            <w:r>
              <w:t xml:space="preserve">Countering high sector attrition; motivating Gen Z</w:t>
            </w:r>
          </w:p>
        </w:tc>
      </w:tr>
    </w:tbl>
    <w:p>
      <w:pPr>
        <w:spacing w:after="140"/>
      </w:pPr>
    </w:p>
    <w:p>
      <w:pPr>
        <w:keepNext/>
        <w:keepLines/>
        <w:spacing w:before="240"/>
        <w:jc w:val="left"/>
      </w:pPr>
      <w:r>
        <w:rPr>
          <w:b/>
          <w:sz w:val="28"/>
          <w:szCs w:val="28"/>
        </w:rPr>
        <w:t xml:space="preserve">3.6  EMPLOYEE ENGAGEMENT</w:t>
      </w:r>
    </w:p>
    <w:p>
      <w:pPr>
        <w:keepNext/>
        <w:keepLines/>
        <w:spacing w:before="180" w:after="100"/>
        <w:jc w:val="left"/>
      </w:pPr>
      <w:r>
        <w:rPr>
          <w:b/>
        </w:rPr>
        <w:t xml:space="preserve">3.6.1  Practice at Hyundai Motor India</w:t>
      </w:r>
    </w:p>
    <w:p>
      <w:pPr>
        <w:spacing w:after="140"/>
      </w:pPr>
      <w:r>
        <w:t xml:space="preserve">Hyundai’s engagement rests on a strong, purpose-led culture, mentoring relationships that begin at induction, and employee-led knowledge platforms such as its Knowledge Labs and Knoxhange forums, which give staff a voice in learning and improvement. Management repeatedly cites low attrition as evidence of engagement, and low voluntary turnover in a competitive engineering labour market is indeed a meaningful outcome measure.</w:t>
      </w:r>
    </w:p>
    <w:p>
      <w:pPr>
        <w:keepNext/>
        <w:keepLines/>
        <w:spacing w:before="180" w:after="100"/>
        <w:jc w:val="left"/>
      </w:pPr>
      <w:r>
        <w:rPr>
          <w:b/>
        </w:rPr>
        <w:t xml:space="preserve">3.6.2  Practice at Omega Healthcare</w:t>
      </w:r>
    </w:p>
    <w:p>
      <w:pPr>
        <w:spacing w:after="140"/>
      </w:pPr>
      <w:r>
        <w:t xml:space="preserve">Omega measures engagement explicitly and prominently, reporting an engagement score of around 92 per cent and an employee net promoter score of about +40, unusually strong figures for its industry (HRKatha, n.d.). These are supported by a dense calendar of on-floor activities, celebrations, sports leagues and awards, together with leadership connects and sentiment-listening mechanisms. In an industry where disengagement quickly becomes attrition, Omega treats engagement as a business-critical metric to be actively managed.</w:t>
      </w:r>
    </w:p>
    <w:p>
      <w:pPr>
        <w:keepNext/>
        <w:keepLines/>
        <w:spacing w:before="180" w:after="100"/>
        <w:jc w:val="left"/>
      </w:pPr>
      <w:r>
        <w:rPr>
          <w:b/>
        </w:rPr>
        <w:t xml:space="preserve">3.6.3  Comparison and Influence of Industry</w:t>
      </w:r>
    </w:p>
    <w:p>
      <w:pPr>
        <w:spacing w:after="140"/>
      </w:pPr>
      <w:r>
        <w:t xml:space="preserve">Hyundai infers engagement from behaviour: people stay, participate and contribute. Omega quantifies it directly and manages it as a leading indicator of retention. This mirrors the industries: in manufacturing, engagement shows up over years in loyalty and quality; in high-volume services, it must be monitored continuously because the cost of disengagement is immediate. Omega’s frequent, visible activities suit a younger workforce that responds to recognition, while Hyundai’s quieter, mission-and-mastery model suits a workforce built around technical craft.</w:t>
      </w:r>
    </w:p>
    <w:p>
      <w:pPr>
        <w:keepNext/>
        <w:keepLines/>
        <w:spacing w:before="180" w:after="100"/>
        <w:jc w:val="left"/>
      </w:pPr>
      <w:r>
        <w:rPr>
          <w:b/>
        </w:rPr>
        <w:t xml:space="preserve">3.6.4  Evaluation and Transferable Practice</w:t>
      </w:r>
    </w:p>
    <w:p>
      <w:pPr>
        <w:spacing w:after="140"/>
      </w:pPr>
      <w:r>
        <w:t xml:space="preserve">Omega’s explicit measurement is a model of good practice, provided the scores are used honestly to drive action rather than as marketing. Hyundai’s outcome-based confidence is well founded, but it would benefit from publishing and acting on formal engagement metrics so that early warning signs are not missed. Omega, conversely, could enrich its activity-rich model with more of Hyundai’s mastery-based sources of engagement.</w:t>
      </w:r>
    </w:p>
    <w:tbl>
      <w:tblPr>
        <w:tblStyle w:val="TableGrid"/>
        <w:tblW w:w="8666" w:type="dxa"/>
        <w:tblInd w:w="0" w:type="dxa"/>
        <w:tblLayout w:type="fixed"/>
        <w:tblCellMar>
          <w:top w:w="60" w:type="dxa"/>
          <w:left w:w="108" w:type="dxa"/>
          <w:bottom w:w="60" w:type="dxa"/>
          <w:right w:w="108" w:type="dxa"/>
        </w:tblCellMar>
        <w:tblLook w:val="04A0" w:firstRow="1" w:lastRow="0" w:firstColumn="1" w:lastColumn="0" w:noHBand="0" w:noVBand="1"/>
      </w:tblPr>
      <w:tblGrid>
        <w:gridCol w:w="2000"/>
        <w:gridCol w:w="3333"/>
        <w:gridCol w:w="3333"/>
      </w:tblGrid>
      <w:tr>
        <w:trPr>
          <w:cantSplit/>
          <w:tblHeader/>
        </w:trPr>
        <w:tc>
          <w:tcPr>
            <w:tcW w:w="2000" w:type="dxa"/>
            <w:vAlign w:val="center"/>
          </w:tcPr>
          <w:p>
            <w:pPr>
              <w:spacing w:before="20" w:after="20" w:line="240" w:lineRule="auto"/>
              <w:jc w:val="center"/>
            </w:pPr>
            <w:r>
              <w:rPr>
                <w:b/>
              </w:rPr>
              <w:t xml:space="preserve">Dimension</w:t>
            </w:r>
          </w:p>
        </w:tc>
        <w:tc>
          <w:tcPr>
            <w:tcW w:w="3333" w:type="dxa"/>
            <w:vAlign w:val="center"/>
          </w:tcPr>
          <w:p>
            <w:pPr>
              <w:spacing w:before="20" w:after="20" w:line="240" w:lineRule="auto"/>
              <w:jc w:val="center"/>
            </w:pPr>
            <w:r>
              <w:rPr>
                <w:b/>
              </w:rPr>
              <w:t xml:space="preserve">Hyundai Motor India</w:t>
            </w:r>
          </w:p>
        </w:tc>
        <w:tc>
          <w:tcPr>
            <w:tcW w:w="3333" w:type="dxa"/>
            <w:vAlign w:val="center"/>
          </w:tcPr>
          <w:p>
            <w:pPr>
              <w:spacing w:before="20" w:after="20" w:line="240" w:lineRule="auto"/>
              <w:jc w:val="center"/>
            </w:pPr>
            <w:r>
              <w:rPr>
                <w:b/>
              </w:rPr>
              <w:t xml:space="preserve">Omega Healthcare</w:t>
            </w:r>
          </w:p>
        </w:tc>
      </w:tr>
      <w:tr>
        <w:trPr>
          <w:cantSplit/>
        </w:trPr>
        <w:tc>
          <w:tcPr>
            <w:tcW w:w="2000" w:type="dxa"/>
            <w:vAlign w:val="center"/>
          </w:tcPr>
          <w:p>
            <w:pPr>
              <w:spacing w:before="20" w:after="20" w:line="240" w:lineRule="auto"/>
              <w:jc w:val="left"/>
            </w:pPr>
            <w:r>
              <w:t xml:space="preserve">How engagement is known</w:t>
            </w:r>
          </w:p>
        </w:tc>
        <w:tc>
          <w:tcPr>
            <w:tcW w:w="3333" w:type="dxa"/>
            <w:vAlign w:val="center"/>
          </w:tcPr>
          <w:p>
            <w:pPr>
              <w:spacing w:before="20" w:after="20" w:line="240" w:lineRule="auto"/>
              <w:jc w:val="left"/>
            </w:pPr>
            <w:r>
              <w:t xml:space="preserve">Inferred from low attrition and participation</w:t>
            </w:r>
          </w:p>
        </w:tc>
        <w:tc>
          <w:tcPr>
            <w:tcW w:w="3333" w:type="dxa"/>
            <w:vAlign w:val="center"/>
          </w:tcPr>
          <w:p>
            <w:pPr>
              <w:spacing w:before="20" w:after="20" w:line="240" w:lineRule="auto"/>
              <w:jc w:val="left"/>
            </w:pPr>
            <w:r>
              <w:t xml:space="preserve">Explicitly measured (about 92% engagement; eNPS about +40)</w:t>
            </w:r>
          </w:p>
        </w:tc>
      </w:tr>
      <w:tr>
        <w:trPr>
          <w:cantSplit/>
        </w:trPr>
        <w:tc>
          <w:tcPr>
            <w:tcW w:w="2000" w:type="dxa"/>
            <w:vAlign w:val="center"/>
          </w:tcPr>
          <w:p>
            <w:pPr>
              <w:spacing w:before="20" w:after="20" w:line="240" w:lineRule="auto"/>
              <w:jc w:val="left"/>
            </w:pPr>
            <w:r>
              <w:t xml:space="preserve">Signature mechanisms</w:t>
            </w:r>
          </w:p>
        </w:tc>
        <w:tc>
          <w:tcPr>
            <w:tcW w:w="3333" w:type="dxa"/>
            <w:vAlign w:val="center"/>
          </w:tcPr>
          <w:p>
            <w:pPr>
              <w:spacing w:before="20" w:after="20" w:line="240" w:lineRule="auto"/>
              <w:jc w:val="left"/>
            </w:pPr>
            <w:r>
              <w:t xml:space="preserve">Knowledge Labs and Knoxhange forums; mentoring</w:t>
            </w:r>
          </w:p>
        </w:tc>
        <w:tc>
          <w:tcPr>
            <w:tcW w:w="3333" w:type="dxa"/>
            <w:vAlign w:val="center"/>
          </w:tcPr>
          <w:p>
            <w:pPr>
              <w:spacing w:before="20" w:after="20" w:line="240" w:lineRule="auto"/>
              <w:jc w:val="left"/>
            </w:pPr>
            <w:r>
              <w:t xml:space="preserve">On-floor activities, awards, leadership connects</w:t>
            </w:r>
          </w:p>
        </w:tc>
      </w:tr>
      <w:tr>
        <w:trPr>
          <w:cantSplit/>
        </w:trPr>
        <w:tc>
          <w:tcPr>
            <w:tcW w:w="2000" w:type="dxa"/>
            <w:vAlign w:val="center"/>
          </w:tcPr>
          <w:p>
            <w:pPr>
              <w:spacing w:before="20" w:after="20" w:line="240" w:lineRule="auto"/>
              <w:jc w:val="left"/>
            </w:pPr>
            <w:r>
              <w:t xml:space="preserve">Listening approach</w:t>
            </w:r>
          </w:p>
        </w:tc>
        <w:tc>
          <w:tcPr>
            <w:tcW w:w="3333" w:type="dxa"/>
            <w:vAlign w:val="center"/>
          </w:tcPr>
          <w:p>
            <w:pPr>
              <w:spacing w:before="20" w:after="20" w:line="240" w:lineRule="auto"/>
              <w:jc w:val="left"/>
            </w:pPr>
            <w:r>
              <w:t xml:space="preserve">Employee voice via forums and mentoring</w:t>
            </w:r>
          </w:p>
        </w:tc>
        <w:tc>
          <w:tcPr>
            <w:tcW w:w="3333" w:type="dxa"/>
            <w:vAlign w:val="center"/>
          </w:tcPr>
          <w:p>
            <w:pPr>
              <w:spacing w:before="20" w:after="20" w:line="240" w:lineRule="auto"/>
              <w:jc w:val="left"/>
            </w:pPr>
            <w:r>
              <w:t xml:space="preserve">Continuous sentiment listening and pulse checks</w:t>
            </w:r>
          </w:p>
        </w:tc>
      </w:tr>
      <w:tr>
        <w:trPr>
          <w:cantSplit/>
        </w:trPr>
        <w:tc>
          <w:tcPr>
            <w:tcW w:w="2000" w:type="dxa"/>
            <w:vAlign w:val="center"/>
          </w:tcPr>
          <w:p>
            <w:pPr>
              <w:spacing w:before="20" w:after="20" w:line="240" w:lineRule="auto"/>
              <w:jc w:val="left"/>
            </w:pPr>
            <w:r>
              <w:t xml:space="preserve">Industry driver</w:t>
            </w:r>
          </w:p>
        </w:tc>
        <w:tc>
          <w:tcPr>
            <w:tcW w:w="3333" w:type="dxa"/>
            <w:vAlign w:val="center"/>
          </w:tcPr>
          <w:p>
            <w:pPr>
              <w:spacing w:before="20" w:after="20" w:line="240" w:lineRule="auto"/>
              <w:jc w:val="left"/>
            </w:pPr>
            <w:r>
              <w:t xml:space="preserve">Engagement realised as long-term loyalty</w:t>
            </w:r>
          </w:p>
        </w:tc>
        <w:tc>
          <w:tcPr>
            <w:tcW w:w="3333" w:type="dxa"/>
            <w:vAlign w:val="center"/>
          </w:tcPr>
          <w:p>
            <w:pPr>
              <w:spacing w:before="20" w:after="20" w:line="240" w:lineRule="auto"/>
              <w:jc w:val="left"/>
            </w:pPr>
            <w:r>
              <w:t xml:space="preserve">Engagement managed as a leading retention indicator</w:t>
            </w:r>
          </w:p>
        </w:tc>
      </w:tr>
    </w:tbl>
    <w:p>
      <w:pPr>
        <w:spacing w:after="140"/>
      </w:pPr>
    </w:p>
    <w:p>
      <w:pPr>
        <w:keepNext/>
        <w:keepLines/>
        <w:spacing w:before="240"/>
        <w:jc w:val="left"/>
      </w:pPr>
      <w:r>
        <w:rPr>
          <w:b/>
          <w:sz w:val="28"/>
          <w:szCs w:val="28"/>
        </w:rPr>
        <w:t xml:space="preserve">3.7  DIVERSITY, EQUITY AND INCLUSION</w:t>
      </w:r>
    </w:p>
    <w:p>
      <w:pPr>
        <w:keepNext/>
        <w:keepLines/>
        <w:spacing w:before="180" w:after="100"/>
        <w:jc w:val="left"/>
      </w:pPr>
      <w:r>
        <w:rPr>
          <w:b/>
        </w:rPr>
        <w:t xml:space="preserve">3.7.1  Practice at Hyundai Motor India</w:t>
      </w:r>
    </w:p>
    <w:p>
      <w:pPr>
        <w:spacing w:after="140"/>
      </w:pPr>
      <w:r>
        <w:t xml:space="preserve">Hyundai treats DEI as part of business strategy. In September 2026 it announced a target to raise women’s representation in its executive workforce from just over 8 per cent to 20 per cent by 2030, and reported that about 45 per cent of the Management Trainees and Engineer Trainees recruited in 2026 are women (Hyundai Motor India Limited, 2026b; The Hindu, 2026). It runs a dedicated women’s leadership programme, TrailBlazHER, co-created with XLRI, and extends inclusion beyond gender through Samarth, a CSR-led initiative to make its products, offices and dealerships more accessible to persons with disabilities.</w:t>
      </w:r>
    </w:p>
    <w:p>
      <w:pPr>
        <w:keepNext/>
        <w:keepLines/>
        <w:spacing w:before="180" w:after="100"/>
        <w:jc w:val="left"/>
      </w:pPr>
      <w:r>
        <w:rPr>
          <w:b/>
        </w:rPr>
        <w:t xml:space="preserve">3.7.2  Practice at Omega Healthcare</w:t>
      </w:r>
    </w:p>
    <w:p>
      <w:pPr>
        <w:spacing w:after="140"/>
      </w:pPr>
      <w:r>
        <w:t xml:space="preserve">Omega’s DEI position is strikingly strong on gender: women make up around half of its global workforce, and it was named the “Most Preferred Workplace for Women 2024-2025” (Omega Healthcare Management Services, 2024). It supports this with employee resource groups, targeted recruitment of persons with disabilities, LGBTQIA+ professionals and women returners, and inclusion-oriented policies such as gender-neutral anti-harassment frameworks and inclusive health benefits. For Omega, DEI is closely tied to retention: an inclusive environment is presented as a reason people choose to stay.</w:t>
      </w:r>
    </w:p>
    <w:p>
      <w:pPr>
        <w:keepNext/>
        <w:keepLines/>
        <w:spacing w:before="180" w:after="100"/>
        <w:jc w:val="left"/>
      </w:pPr>
      <w:r>
        <w:rPr>
          <w:b/>
        </w:rPr>
        <w:t xml:space="preserve">3.7.3  Comparison and Influence of Industry</w:t>
      </w:r>
    </w:p>
    <w:p>
      <w:pPr>
        <w:spacing w:after="140"/>
      </w:pPr>
      <w:r>
        <w:t xml:space="preserve">The gap in gender representation, roughly half the workforce at Omega against just over 8 per cent of executives at Hyundai, is the starkest single contrast in this audit, and it is largely structural. Office-based services work has been far more accessible to a gender-balanced workforce than shift-based manufacturing, particularly in the Indian context. Both companies are moving in the same direction, through women’s leadership development, disability inclusion and inclusive policy, but from very different baselines set by the nature of the work.</w:t>
      </w:r>
    </w:p>
    <w:p>
      <w:pPr>
        <w:keepNext/>
        <w:keepLines/>
        <w:spacing w:before="180" w:after="100"/>
        <w:jc w:val="left"/>
      </w:pPr>
      <w:r>
        <w:rPr>
          <w:b/>
        </w:rPr>
        <w:t xml:space="preserve">3.7.4  Evaluation and Transferable Practice</w:t>
      </w:r>
    </w:p>
    <w:p>
      <w:pPr>
        <w:spacing w:after="140"/>
      </w:pPr>
      <w:r>
        <w:t xml:space="preserve">Omega’s near-parity workforce and breadth of inclusion policy represent leading practice; the ongoing task is to ensure that balance at entry level extends into senior leadership. Hyundai’s programmes are strong in design, and its new 2030 target and 45 per cent women’s share of trainee intake show real momentum, but the executive-level ratio shows how much structural work remains. Hyundai can learn from Omega’s systematic sourcing of under-represented groups; Omega can learn from the rigour of Hyundai’s institution-backed women’s leadership programme.</w:t>
      </w:r>
    </w:p>
    <w:tbl>
      <w:tblPr>
        <w:tblStyle w:val="TableGrid"/>
        <w:tblW w:w="8666" w:type="dxa"/>
        <w:tblInd w:w="0" w:type="dxa"/>
        <w:tblLayout w:type="fixed"/>
        <w:tblCellMar>
          <w:top w:w="60" w:type="dxa"/>
          <w:left w:w="108" w:type="dxa"/>
          <w:bottom w:w="60" w:type="dxa"/>
          <w:right w:w="108" w:type="dxa"/>
        </w:tblCellMar>
        <w:tblLook w:val="04A0" w:firstRow="1" w:lastRow="0" w:firstColumn="1" w:lastColumn="0" w:noHBand="0" w:noVBand="1"/>
      </w:tblPr>
      <w:tblGrid>
        <w:gridCol w:w="2000"/>
        <w:gridCol w:w="3333"/>
        <w:gridCol w:w="3333"/>
      </w:tblGrid>
      <w:tr>
        <w:trPr>
          <w:cantSplit/>
          <w:tblHeader/>
        </w:trPr>
        <w:tc>
          <w:tcPr>
            <w:tcW w:w="2000" w:type="dxa"/>
            <w:vAlign w:val="center"/>
          </w:tcPr>
          <w:p>
            <w:pPr>
              <w:spacing w:before="20" w:after="20" w:line="240" w:lineRule="auto"/>
              <w:jc w:val="center"/>
            </w:pPr>
            <w:r>
              <w:rPr>
                <w:b/>
              </w:rPr>
              <w:t xml:space="preserve">Dimension</w:t>
            </w:r>
          </w:p>
        </w:tc>
        <w:tc>
          <w:tcPr>
            <w:tcW w:w="3333" w:type="dxa"/>
            <w:vAlign w:val="center"/>
          </w:tcPr>
          <w:p>
            <w:pPr>
              <w:spacing w:before="20" w:after="20" w:line="240" w:lineRule="auto"/>
              <w:jc w:val="center"/>
            </w:pPr>
            <w:r>
              <w:rPr>
                <w:b/>
              </w:rPr>
              <w:t xml:space="preserve">Hyundai Motor India</w:t>
            </w:r>
          </w:p>
        </w:tc>
        <w:tc>
          <w:tcPr>
            <w:tcW w:w="3333" w:type="dxa"/>
            <w:vAlign w:val="center"/>
          </w:tcPr>
          <w:p>
            <w:pPr>
              <w:spacing w:before="20" w:after="20" w:line="240" w:lineRule="auto"/>
              <w:jc w:val="center"/>
            </w:pPr>
            <w:r>
              <w:rPr>
                <w:b/>
              </w:rPr>
              <w:t xml:space="preserve">Omega Healthcare</w:t>
            </w:r>
          </w:p>
        </w:tc>
      </w:tr>
      <w:tr>
        <w:trPr>
          <w:cantSplit/>
        </w:trPr>
        <w:tc>
          <w:tcPr>
            <w:tcW w:w="2000" w:type="dxa"/>
            <w:vAlign w:val="center"/>
          </w:tcPr>
          <w:p>
            <w:pPr>
              <w:spacing w:before="20" w:after="20" w:line="240" w:lineRule="auto"/>
              <w:jc w:val="left"/>
            </w:pPr>
            <w:r>
              <w:t xml:space="preserve">Gender representation</w:t>
            </w:r>
          </w:p>
        </w:tc>
        <w:tc>
          <w:tcPr>
            <w:tcW w:w="3333" w:type="dxa"/>
            <w:vAlign w:val="center"/>
          </w:tcPr>
          <w:p>
            <w:pPr>
              <w:spacing w:before="20" w:after="20" w:line="240" w:lineRule="auto"/>
              <w:jc w:val="left"/>
            </w:pPr>
            <w:r>
              <w:t xml:space="preserve">Just over 8% of executives; 45% of 2026 trainee intake</w:t>
            </w:r>
          </w:p>
        </w:tc>
        <w:tc>
          <w:tcPr>
            <w:tcW w:w="3333" w:type="dxa"/>
            <w:vAlign w:val="center"/>
          </w:tcPr>
          <w:p>
            <w:pPr>
              <w:spacing w:before="20" w:after="20" w:line="240" w:lineRule="auto"/>
              <w:jc w:val="left"/>
            </w:pPr>
            <w:r>
              <w:t xml:space="preserve">Around 50% women in the global workforce</w:t>
            </w:r>
          </w:p>
        </w:tc>
      </w:tr>
      <w:tr>
        <w:trPr>
          <w:cantSplit/>
        </w:trPr>
        <w:tc>
          <w:tcPr>
            <w:tcW w:w="2000" w:type="dxa"/>
            <w:vAlign w:val="center"/>
          </w:tcPr>
          <w:p>
            <w:pPr>
              <w:spacing w:before="20" w:after="20" w:line="240" w:lineRule="auto"/>
              <w:jc w:val="left"/>
            </w:pPr>
            <w:r>
              <w:t xml:space="preserve">Stated target</w:t>
            </w:r>
          </w:p>
        </w:tc>
        <w:tc>
          <w:tcPr>
            <w:tcW w:w="3333" w:type="dxa"/>
            <w:vAlign w:val="center"/>
          </w:tcPr>
          <w:p>
            <w:pPr>
              <w:spacing w:before="20" w:after="20" w:line="240" w:lineRule="auto"/>
              <w:jc w:val="left"/>
            </w:pPr>
            <w:r>
              <w:t xml:space="preserve">20% women in executive workforce by 2030</w:t>
            </w:r>
          </w:p>
        </w:tc>
        <w:tc>
          <w:tcPr>
            <w:tcW w:w="3333" w:type="dxa"/>
            <w:vAlign w:val="center"/>
          </w:tcPr>
          <w:p>
            <w:pPr>
              <w:spacing w:before="20" w:after="20" w:line="240" w:lineRule="auto"/>
              <w:jc w:val="left"/>
            </w:pPr>
            <w:r>
              <w:t xml:space="preserve">Convert entry-level parity into leadership parity</w:t>
            </w:r>
          </w:p>
        </w:tc>
      </w:tr>
      <w:tr>
        <w:trPr>
          <w:cantSplit/>
        </w:trPr>
        <w:tc>
          <w:tcPr>
            <w:tcW w:w="2000" w:type="dxa"/>
            <w:vAlign w:val="center"/>
          </w:tcPr>
          <w:p>
            <w:pPr>
              <w:spacing w:before="20" w:after="20" w:line="240" w:lineRule="auto"/>
              <w:jc w:val="left"/>
            </w:pPr>
            <w:r>
              <w:t xml:space="preserve">Flagship initiative</w:t>
            </w:r>
          </w:p>
        </w:tc>
        <w:tc>
          <w:tcPr>
            <w:tcW w:w="3333" w:type="dxa"/>
            <w:vAlign w:val="center"/>
          </w:tcPr>
          <w:p>
            <w:pPr>
              <w:spacing w:before="20" w:after="20" w:line="240" w:lineRule="auto"/>
              <w:jc w:val="left"/>
            </w:pPr>
            <w:r>
              <w:t xml:space="preserve">TrailBlazHER women’s leadership (with XLRI)</w:t>
            </w:r>
          </w:p>
        </w:tc>
        <w:tc>
          <w:tcPr>
            <w:tcW w:w="3333" w:type="dxa"/>
            <w:vAlign w:val="center"/>
          </w:tcPr>
          <w:p>
            <w:pPr>
              <w:spacing w:before="20" w:after="20" w:line="240" w:lineRule="auto"/>
              <w:jc w:val="left"/>
            </w:pPr>
            <w:r>
              <w:t xml:space="preserve">ERGs; hiring of PwD, LGBTQIA+, women returners</w:t>
            </w:r>
          </w:p>
        </w:tc>
      </w:tr>
      <w:tr>
        <w:trPr>
          <w:cantSplit/>
        </w:trPr>
        <w:tc>
          <w:tcPr>
            <w:tcW w:w="2000" w:type="dxa"/>
            <w:vAlign w:val="center"/>
          </w:tcPr>
          <w:p>
            <w:pPr>
              <w:spacing w:before="20" w:after="20" w:line="240" w:lineRule="auto"/>
              <w:jc w:val="left"/>
            </w:pPr>
            <w:r>
              <w:t xml:space="preserve">Industry driver</w:t>
            </w:r>
          </w:p>
        </w:tc>
        <w:tc>
          <w:tcPr>
            <w:tcW w:w="3333" w:type="dxa"/>
            <w:vAlign w:val="center"/>
          </w:tcPr>
          <w:p>
            <w:pPr>
              <w:spacing w:before="20" w:after="20" w:line="240" w:lineRule="auto"/>
              <w:jc w:val="left"/>
            </w:pPr>
            <w:r>
              <w:t xml:space="preserve">Shift-based manufacturing limits historic gender mix</w:t>
            </w:r>
          </w:p>
        </w:tc>
        <w:tc>
          <w:tcPr>
            <w:tcW w:w="3333" w:type="dxa"/>
            <w:vAlign w:val="center"/>
          </w:tcPr>
          <w:p>
            <w:pPr>
              <w:spacing w:before="20" w:after="20" w:line="240" w:lineRule="auto"/>
              <w:jc w:val="left"/>
            </w:pPr>
            <w:r>
              <w:t xml:space="preserve">Office-based services enable near gender parity</w:t>
            </w:r>
          </w:p>
        </w:tc>
      </w:tr>
    </w:tbl>
    <w:p>
      <w:pPr>
        <w:spacing w:after="140"/>
      </w:pPr>
    </w:p>
    <w:p>
      <w:pPr>
        <w:keepNext/>
        <w:keepLines/>
        <w:spacing w:before="240"/>
        <w:jc w:val="left"/>
      </w:pPr>
      <w:r>
        <w:rPr>
          <w:b/>
          <w:sz w:val="28"/>
          <w:szCs w:val="28"/>
        </w:rPr>
        <w:t xml:space="preserve">3.8  CAREER DEVELOPMENT</w:t>
      </w:r>
    </w:p>
    <w:p>
      <w:pPr>
        <w:keepNext/>
        <w:keepLines/>
        <w:spacing w:before="180" w:after="100"/>
        <w:jc w:val="left"/>
      </w:pPr>
      <w:r>
        <w:rPr>
          <w:b/>
        </w:rPr>
        <w:t xml:space="preserve">3.8.1  Practice at Hyundai Motor India</w:t>
      </w:r>
    </w:p>
    <w:p>
      <w:pPr>
        <w:spacing w:after="140"/>
      </w:pPr>
      <w:r>
        <w:t xml:space="preserve">Hyundai develops careers through structured programmes layered on its role-based framework: the Young Talent Program for campus entrants, a Core Talent Program that identifies and nurtures high-potential employees, and leadership development culminating in its academies. Progression is tied to capability built through the 3Es and validated through assessment centres, giving employees a visible, merit-based pathway upward and, increasingly, across roles.</w:t>
      </w:r>
    </w:p>
    <w:p>
      <w:pPr>
        <w:keepNext/>
        <w:keepLines/>
        <w:spacing w:before="180" w:after="100"/>
        <w:jc w:val="left"/>
      </w:pPr>
      <w:r>
        <w:rPr>
          <w:b/>
        </w:rPr>
        <w:t xml:space="preserve">3.8.2  Practice at Omega Healthcare</w:t>
      </w:r>
    </w:p>
    <w:p>
      <w:pPr>
        <w:spacing w:after="140"/>
      </w:pPr>
      <w:r>
        <w:t xml:space="preserve">Omega’s signature contribution is the Omega Career Lattice, which replaces the traditional promotion ladder with a structure supporting lateral and diagonal moves across operations, quality, training and analytics. The idea is that people should be able to grow with the business, not just within it. Real internal-mobility stories, of coders who progressed step by step into regional management, are used both to prove the model and to reinforce the employer brand.</w:t>
      </w:r>
    </w:p>
    <w:p>
      <w:pPr>
        <w:keepNext/>
        <w:keepLines/>
        <w:spacing w:before="180" w:after="100"/>
        <w:jc w:val="left"/>
      </w:pPr>
      <w:r>
        <w:rPr>
          <w:b/>
        </w:rPr>
        <w:t xml:space="preserve">3.8.3  Comparison and Influence of Industry</w:t>
      </w:r>
    </w:p>
    <w:p>
      <w:pPr>
        <w:spacing w:after="140"/>
      </w:pPr>
      <w:r>
        <w:t xml:space="preserve">Both organisations reject the idea that careers are only about vertical promotion, but express it differently. Hyundai’s pathways are structured and capability-gated, fitting an environment where roles are specialised and technical mastery accumulates over time. Omega’s lattice is more fluid, fitting a services business with adjacent skill domains where breadth of experience is itself a retention tool.</w:t>
      </w:r>
    </w:p>
    <w:p>
      <w:pPr>
        <w:keepNext/>
        <w:keepLines/>
        <w:spacing w:before="180" w:after="100"/>
        <w:jc w:val="left"/>
      </w:pPr>
      <w:r>
        <w:rPr>
          <w:b/>
        </w:rPr>
        <w:t xml:space="preserve">3.8.4  Evaluation and Transferable Practice</w:t>
      </w:r>
    </w:p>
    <w:p>
      <w:pPr>
        <w:spacing w:after="140"/>
      </w:pPr>
      <w:r>
        <w:t xml:space="preserve">Omega’s Career Lattice is one of the most quietly innovative practices in this study, reframing retention as opportunity, though it requires disciplined skills mapping to prevent moves becoming ad hoc. Hyundai’s structured pathways provide clarity and rigour but can feel slower to ambitious employees, so its move towards role-based lateral mobility is timely. Hyundai could formalise a lattice-style mobility map; Omega could add Hyundai’s objective assessment so that lateral moves are developmental rather than merely convenient.</w:t>
      </w:r>
    </w:p>
    <w:tbl>
      <w:tblPr>
        <w:tblStyle w:val="TableGrid"/>
        <w:tblW w:w="8666" w:type="dxa"/>
        <w:tblInd w:w="0" w:type="dxa"/>
        <w:tblLayout w:type="fixed"/>
        <w:tblCellMar>
          <w:top w:w="60" w:type="dxa"/>
          <w:left w:w="108" w:type="dxa"/>
          <w:bottom w:w="60" w:type="dxa"/>
          <w:right w:w="108" w:type="dxa"/>
        </w:tblCellMar>
        <w:tblLook w:val="04A0" w:firstRow="1" w:lastRow="0" w:firstColumn="1" w:lastColumn="0" w:noHBand="0" w:noVBand="1"/>
      </w:tblPr>
      <w:tblGrid>
        <w:gridCol w:w="2000"/>
        <w:gridCol w:w="3333"/>
        <w:gridCol w:w="3333"/>
      </w:tblGrid>
      <w:tr>
        <w:trPr>
          <w:cantSplit/>
          <w:tblHeader/>
        </w:trPr>
        <w:tc>
          <w:tcPr>
            <w:tcW w:w="2000" w:type="dxa"/>
            <w:vAlign w:val="center"/>
          </w:tcPr>
          <w:p>
            <w:pPr>
              <w:spacing w:before="20" w:after="20" w:line="240" w:lineRule="auto"/>
              <w:jc w:val="center"/>
            </w:pPr>
            <w:r>
              <w:rPr>
                <w:b/>
              </w:rPr>
              <w:t xml:space="preserve">Dimension</w:t>
            </w:r>
          </w:p>
        </w:tc>
        <w:tc>
          <w:tcPr>
            <w:tcW w:w="3333" w:type="dxa"/>
            <w:vAlign w:val="center"/>
          </w:tcPr>
          <w:p>
            <w:pPr>
              <w:spacing w:before="20" w:after="20" w:line="240" w:lineRule="auto"/>
              <w:jc w:val="center"/>
            </w:pPr>
            <w:r>
              <w:rPr>
                <w:b/>
              </w:rPr>
              <w:t xml:space="preserve">Hyundai Motor India</w:t>
            </w:r>
          </w:p>
        </w:tc>
        <w:tc>
          <w:tcPr>
            <w:tcW w:w="3333" w:type="dxa"/>
            <w:vAlign w:val="center"/>
          </w:tcPr>
          <w:p>
            <w:pPr>
              <w:spacing w:before="20" w:after="20" w:line="240" w:lineRule="auto"/>
              <w:jc w:val="center"/>
            </w:pPr>
            <w:r>
              <w:rPr>
                <w:b/>
              </w:rPr>
              <w:t xml:space="preserve">Omega Healthcare</w:t>
            </w:r>
          </w:p>
        </w:tc>
      </w:tr>
      <w:tr>
        <w:trPr>
          <w:cantSplit/>
        </w:trPr>
        <w:tc>
          <w:tcPr>
            <w:tcW w:w="2000" w:type="dxa"/>
            <w:vAlign w:val="center"/>
          </w:tcPr>
          <w:p>
            <w:pPr>
              <w:spacing w:before="20" w:after="20" w:line="240" w:lineRule="auto"/>
              <w:jc w:val="left"/>
            </w:pPr>
            <w:r>
              <w:t xml:space="preserve">Model of progression</w:t>
            </w:r>
          </w:p>
        </w:tc>
        <w:tc>
          <w:tcPr>
            <w:tcW w:w="3333" w:type="dxa"/>
            <w:vAlign w:val="center"/>
          </w:tcPr>
          <w:p>
            <w:pPr>
              <w:spacing w:before="20" w:after="20" w:line="240" w:lineRule="auto"/>
              <w:jc w:val="left"/>
            </w:pPr>
            <w:r>
              <w:t xml:space="preserve">Structured, capability-gated pathways</w:t>
            </w:r>
          </w:p>
        </w:tc>
        <w:tc>
          <w:tcPr>
            <w:tcW w:w="3333" w:type="dxa"/>
            <w:vAlign w:val="center"/>
          </w:tcPr>
          <w:p>
            <w:pPr>
              <w:spacing w:before="20" w:after="20" w:line="240" w:lineRule="auto"/>
              <w:jc w:val="left"/>
            </w:pPr>
            <w:r>
              <w:t xml:space="preserve">Career Lattice: lateral and diagonal mobility</w:t>
            </w:r>
          </w:p>
        </w:tc>
      </w:tr>
      <w:tr>
        <w:trPr>
          <w:cantSplit/>
        </w:trPr>
        <w:tc>
          <w:tcPr>
            <w:tcW w:w="2000" w:type="dxa"/>
            <w:vAlign w:val="center"/>
          </w:tcPr>
          <w:p>
            <w:pPr>
              <w:spacing w:before="20" w:after="20" w:line="240" w:lineRule="auto"/>
              <w:jc w:val="left"/>
            </w:pPr>
            <w:r>
              <w:t xml:space="preserve">Key programmes</w:t>
            </w:r>
          </w:p>
        </w:tc>
        <w:tc>
          <w:tcPr>
            <w:tcW w:w="3333" w:type="dxa"/>
            <w:vAlign w:val="center"/>
          </w:tcPr>
          <w:p>
            <w:pPr>
              <w:spacing w:before="20" w:after="20" w:line="240" w:lineRule="auto"/>
              <w:jc w:val="left"/>
            </w:pPr>
            <w:r>
              <w:t xml:space="preserve">Young Talent and Core Talent Programs; academies</w:t>
            </w:r>
          </w:p>
        </w:tc>
        <w:tc>
          <w:tcPr>
            <w:tcW w:w="3333" w:type="dxa"/>
            <w:vAlign w:val="center"/>
          </w:tcPr>
          <w:p>
            <w:pPr>
              <w:spacing w:before="20" w:after="20" w:line="240" w:lineRule="auto"/>
              <w:jc w:val="left"/>
            </w:pPr>
            <w:r>
              <w:t xml:space="preserve">Cross-functional moves; internal-promotion culture</w:t>
            </w:r>
          </w:p>
        </w:tc>
      </w:tr>
      <w:tr>
        <w:trPr>
          <w:cantSplit/>
        </w:trPr>
        <w:tc>
          <w:tcPr>
            <w:tcW w:w="2000" w:type="dxa"/>
            <w:vAlign w:val="center"/>
          </w:tcPr>
          <w:p>
            <w:pPr>
              <w:spacing w:before="20" w:after="20" w:line="240" w:lineRule="auto"/>
              <w:jc w:val="left"/>
            </w:pPr>
            <w:r>
              <w:t xml:space="preserve">Basis for advancement</w:t>
            </w:r>
          </w:p>
        </w:tc>
        <w:tc>
          <w:tcPr>
            <w:tcW w:w="3333" w:type="dxa"/>
            <w:vAlign w:val="center"/>
          </w:tcPr>
          <w:p>
            <w:pPr>
              <w:spacing w:before="20" w:after="20" w:line="240" w:lineRule="auto"/>
              <w:jc w:val="left"/>
            </w:pPr>
            <w:r>
              <w:t xml:space="preserve">Capability via 3Es; assessment centres</w:t>
            </w:r>
          </w:p>
        </w:tc>
        <w:tc>
          <w:tcPr>
            <w:tcW w:w="3333" w:type="dxa"/>
            <w:vAlign w:val="center"/>
          </w:tcPr>
          <w:p>
            <w:pPr>
              <w:spacing w:before="20" w:after="20" w:line="240" w:lineRule="auto"/>
              <w:jc w:val="left"/>
            </w:pPr>
            <w:r>
              <w:t xml:space="preserve">Interest, capability and business need</w:t>
            </w:r>
          </w:p>
        </w:tc>
      </w:tr>
      <w:tr>
        <w:trPr>
          <w:cantSplit/>
        </w:trPr>
        <w:tc>
          <w:tcPr>
            <w:tcW w:w="2000" w:type="dxa"/>
            <w:vAlign w:val="center"/>
          </w:tcPr>
          <w:p>
            <w:pPr>
              <w:spacing w:before="20" w:after="20" w:line="240" w:lineRule="auto"/>
              <w:jc w:val="left"/>
            </w:pPr>
            <w:r>
              <w:t xml:space="preserve">Industry driver</w:t>
            </w:r>
          </w:p>
        </w:tc>
        <w:tc>
          <w:tcPr>
            <w:tcW w:w="3333" w:type="dxa"/>
            <w:vAlign w:val="center"/>
          </w:tcPr>
          <w:p>
            <w:pPr>
              <w:spacing w:before="20" w:after="20" w:line="240" w:lineRule="auto"/>
              <w:jc w:val="left"/>
            </w:pPr>
            <w:r>
              <w:t xml:space="preserve">Specialised, cumulative technical mastery</w:t>
            </w:r>
          </w:p>
        </w:tc>
        <w:tc>
          <w:tcPr>
            <w:tcW w:w="3333" w:type="dxa"/>
            <w:vAlign w:val="center"/>
          </w:tcPr>
          <w:p>
            <w:pPr>
              <w:spacing w:before="20" w:after="20" w:line="240" w:lineRule="auto"/>
              <w:jc w:val="left"/>
            </w:pPr>
            <w:r>
              <w:t xml:space="preserve">Adjacent service skills; breadth as a retention lever</w:t>
            </w:r>
          </w:p>
        </w:tc>
      </w:tr>
    </w:tbl>
    <w:p>
      <w:pPr>
        <w:spacing w:after="140"/>
      </w:pPr>
    </w:p>
    <w:p>
      <w:pPr>
        <w:keepNext/>
        <w:keepLines/>
        <w:spacing w:before="240"/>
        <w:jc w:val="left"/>
      </w:pPr>
      <w:r>
        <w:rPr>
          <w:b/>
          <w:sz w:val="28"/>
          <w:szCs w:val="28"/>
        </w:rPr>
        <w:t xml:space="preserve">3.9  HR TECHNOLOGY</w:t>
      </w:r>
    </w:p>
    <w:p>
      <w:pPr>
        <w:keepNext/>
        <w:keepLines/>
        <w:spacing w:before="180" w:after="100"/>
        <w:jc w:val="left"/>
      </w:pPr>
      <w:r>
        <w:rPr>
          <w:b/>
        </w:rPr>
        <w:t xml:space="preserve">3.9.1  Practice at Hyundai Motor India</w:t>
      </w:r>
    </w:p>
    <w:p>
      <w:pPr>
        <w:spacing w:after="140"/>
      </w:pPr>
      <w:r>
        <w:t xml:space="preserve">Technology enters Hyundai’s people agenda from two directions. The first is the digitalisation of the workforce itself: as products become electric and software-defined, HR is orchestrating large-scale reskilling and has put its senior leadership through a structured digital-transformation programme, with its HR head describing mindset as the toughest part of the EV upgrade (People Matters, n.d.-b). The second is the use of digital learning platforms and on-demand content, with a minimum annual learning-hours expectation, to deliver capability at scale.</w:t>
      </w:r>
    </w:p>
    <w:p>
      <w:pPr>
        <w:keepNext/>
        <w:keepLines/>
        <w:spacing w:before="180" w:after="100"/>
        <w:jc w:val="left"/>
      </w:pPr>
      <w:r>
        <w:rPr>
          <w:b/>
        </w:rPr>
        <w:t xml:space="preserve">3.9.2  Practice at Omega Healthcare</w:t>
      </w:r>
    </w:p>
    <w:p>
      <w:pPr>
        <w:spacing w:after="140"/>
      </w:pPr>
      <w:r>
        <w:t xml:space="preserve">Omega applies technology more directly to the employee-experience and listening side of HR. It uses AI tools alongside regular leadership connects to monitor employee sentiment, described by its leadership as emotional pulse checks rather than annual surveys, allowing it to detect and respond to disengagement early. This is consistent with a company that already uses automation and AI extensively in its core RCM delivery, where its chief executive reports productivity gains of 10 to 20 per cent from AI (Healthcare IT Today, 2026).</w:t>
      </w:r>
    </w:p>
    <w:p>
      <w:pPr>
        <w:keepNext/>
        <w:keepLines/>
        <w:spacing w:before="180" w:after="100"/>
        <w:jc w:val="left"/>
      </w:pPr>
      <w:r>
        <w:rPr>
          <w:b/>
        </w:rPr>
        <w:t xml:space="preserve">3.9.3  Comparison and Influence of Industry</w:t>
      </w:r>
    </w:p>
    <w:p>
      <w:pPr>
        <w:spacing w:after="140"/>
      </w:pPr>
      <w:r>
        <w:t xml:space="preserve">Both firms are comfortable with technology, but they point it at different problems. Hyundai uses it primarily to build capability for the EV transition: technology as an instrument of reskilling. Omega uses it primarily to sense and safeguard engagement in real time: technology as an instrument of retention. A manufacturer’s existential challenge is a technology shift in its product, so HR technology serves learning; a services provider’s existential challenge is keeping a large workforce engaged, so HR technology serves listening.</w:t>
      </w:r>
    </w:p>
    <w:p>
      <w:pPr>
        <w:keepNext/>
        <w:keepLines/>
        <w:spacing w:before="180" w:after="100"/>
        <w:jc w:val="left"/>
      </w:pPr>
      <w:r>
        <w:rPr>
          <w:b/>
        </w:rPr>
        <w:t xml:space="preserve">3.9.4  Evaluation and Transferable Practice</w:t>
      </w:r>
    </w:p>
    <w:p>
      <w:pPr>
        <w:spacing w:after="140"/>
      </w:pPr>
      <w:r>
        <w:t xml:space="preserve">Omega’s AI-enabled sentiment listening gives it an early-warning system most manufacturers lack; the caution is to use such data ethically and transparently, so employees experience it as care rather than surveillance. Hyundai’s learning-technology stack is powerful and well aligned to its strategy, but it could adopt more continuous listening to complement its outcome-based read on engagement. Each is strong in exactly the area where the other is lighter.</w:t>
      </w:r>
    </w:p>
    <w:tbl>
      <w:tblPr>
        <w:tblStyle w:val="TableGrid"/>
        <w:tblW w:w="8666" w:type="dxa"/>
        <w:tblInd w:w="0" w:type="dxa"/>
        <w:tblLayout w:type="fixed"/>
        <w:tblCellMar>
          <w:top w:w="60" w:type="dxa"/>
          <w:left w:w="108" w:type="dxa"/>
          <w:bottom w:w="60" w:type="dxa"/>
          <w:right w:w="108" w:type="dxa"/>
        </w:tblCellMar>
        <w:tblLook w:val="04A0" w:firstRow="1" w:lastRow="0" w:firstColumn="1" w:lastColumn="0" w:noHBand="0" w:noVBand="1"/>
      </w:tblPr>
      <w:tblGrid>
        <w:gridCol w:w="2000"/>
        <w:gridCol w:w="3333"/>
        <w:gridCol w:w="3333"/>
      </w:tblGrid>
      <w:tr>
        <w:trPr>
          <w:cantSplit/>
          <w:tblHeader/>
        </w:trPr>
        <w:tc>
          <w:tcPr>
            <w:tcW w:w="2000" w:type="dxa"/>
            <w:vAlign w:val="center"/>
          </w:tcPr>
          <w:p>
            <w:pPr>
              <w:spacing w:before="20" w:after="20" w:line="240" w:lineRule="auto"/>
              <w:jc w:val="center"/>
            </w:pPr>
            <w:r>
              <w:rPr>
                <w:b/>
              </w:rPr>
              <w:t xml:space="preserve">Dimension</w:t>
            </w:r>
          </w:p>
        </w:tc>
        <w:tc>
          <w:tcPr>
            <w:tcW w:w="3333" w:type="dxa"/>
            <w:vAlign w:val="center"/>
          </w:tcPr>
          <w:p>
            <w:pPr>
              <w:spacing w:before="20" w:after="20" w:line="240" w:lineRule="auto"/>
              <w:jc w:val="center"/>
            </w:pPr>
            <w:r>
              <w:rPr>
                <w:b/>
              </w:rPr>
              <w:t xml:space="preserve">Hyundai Motor India</w:t>
            </w:r>
          </w:p>
        </w:tc>
        <w:tc>
          <w:tcPr>
            <w:tcW w:w="3333" w:type="dxa"/>
            <w:vAlign w:val="center"/>
          </w:tcPr>
          <w:p>
            <w:pPr>
              <w:spacing w:before="20" w:after="20" w:line="240" w:lineRule="auto"/>
              <w:jc w:val="center"/>
            </w:pPr>
            <w:r>
              <w:rPr>
                <w:b/>
              </w:rPr>
              <w:t xml:space="preserve">Omega Healthcare</w:t>
            </w:r>
          </w:p>
        </w:tc>
      </w:tr>
      <w:tr>
        <w:trPr>
          <w:cantSplit/>
        </w:trPr>
        <w:tc>
          <w:tcPr>
            <w:tcW w:w="2000" w:type="dxa"/>
            <w:vAlign w:val="center"/>
          </w:tcPr>
          <w:p>
            <w:pPr>
              <w:spacing w:before="20" w:after="20" w:line="240" w:lineRule="auto"/>
              <w:jc w:val="left"/>
            </w:pPr>
            <w:r>
              <w:t xml:space="preserve">Primary use of HR tech</w:t>
            </w:r>
          </w:p>
        </w:tc>
        <w:tc>
          <w:tcPr>
            <w:tcW w:w="3333" w:type="dxa"/>
            <w:vAlign w:val="center"/>
          </w:tcPr>
          <w:p>
            <w:pPr>
              <w:spacing w:before="20" w:after="20" w:line="240" w:lineRule="auto"/>
              <w:jc w:val="left"/>
            </w:pPr>
            <w:r>
              <w:t xml:space="preserve">Digital learning and large-scale reskilling</w:t>
            </w:r>
          </w:p>
        </w:tc>
        <w:tc>
          <w:tcPr>
            <w:tcW w:w="3333" w:type="dxa"/>
            <w:vAlign w:val="center"/>
          </w:tcPr>
          <w:p>
            <w:pPr>
              <w:spacing w:before="20" w:after="20" w:line="240" w:lineRule="auto"/>
              <w:jc w:val="left"/>
            </w:pPr>
            <w:r>
              <w:t xml:space="preserve">AI-enabled sentiment listening and pulse checks</w:t>
            </w:r>
          </w:p>
        </w:tc>
      </w:tr>
      <w:tr>
        <w:trPr>
          <w:cantSplit/>
        </w:trPr>
        <w:tc>
          <w:tcPr>
            <w:tcW w:w="2000" w:type="dxa"/>
            <w:vAlign w:val="center"/>
          </w:tcPr>
          <w:p>
            <w:pPr>
              <w:spacing w:before="20" w:after="20" w:line="240" w:lineRule="auto"/>
              <w:jc w:val="left"/>
            </w:pPr>
            <w:r>
              <w:t xml:space="preserve">Strategic purpose</w:t>
            </w:r>
          </w:p>
        </w:tc>
        <w:tc>
          <w:tcPr>
            <w:tcW w:w="3333" w:type="dxa"/>
            <w:vAlign w:val="center"/>
          </w:tcPr>
          <w:p>
            <w:pPr>
              <w:spacing w:before="20" w:after="20" w:line="240" w:lineRule="auto"/>
              <w:jc w:val="left"/>
            </w:pPr>
            <w:r>
              <w:t xml:space="preserve">Enable the EV and digital transformation</w:t>
            </w:r>
          </w:p>
        </w:tc>
        <w:tc>
          <w:tcPr>
            <w:tcW w:w="3333" w:type="dxa"/>
            <w:vAlign w:val="center"/>
          </w:tcPr>
          <w:p>
            <w:pPr>
              <w:spacing w:before="20" w:after="20" w:line="240" w:lineRule="auto"/>
              <w:jc w:val="left"/>
            </w:pPr>
            <w:r>
              <w:t xml:space="preserve">Detect and prevent disengagement early</w:t>
            </w:r>
          </w:p>
        </w:tc>
      </w:tr>
      <w:tr>
        <w:trPr>
          <w:cantSplit/>
        </w:trPr>
        <w:tc>
          <w:tcPr>
            <w:tcW w:w="2000" w:type="dxa"/>
            <w:vAlign w:val="center"/>
          </w:tcPr>
          <w:p>
            <w:pPr>
              <w:spacing w:before="20" w:after="20" w:line="240" w:lineRule="auto"/>
              <w:jc w:val="left"/>
            </w:pPr>
            <w:r>
              <w:t xml:space="preserve">Representative practice</w:t>
            </w:r>
          </w:p>
        </w:tc>
        <w:tc>
          <w:tcPr>
            <w:tcW w:w="3333" w:type="dxa"/>
            <w:vAlign w:val="center"/>
          </w:tcPr>
          <w:p>
            <w:pPr>
              <w:spacing w:before="20" w:after="20" w:line="240" w:lineRule="auto"/>
              <w:jc w:val="left"/>
            </w:pPr>
            <w:r>
              <w:t xml:space="preserve">Leadership digital-transformation programme</w:t>
            </w:r>
          </w:p>
        </w:tc>
        <w:tc>
          <w:tcPr>
            <w:tcW w:w="3333" w:type="dxa"/>
            <w:vAlign w:val="center"/>
          </w:tcPr>
          <w:p>
            <w:pPr>
              <w:spacing w:before="20" w:after="20" w:line="240" w:lineRule="auto"/>
              <w:jc w:val="left"/>
            </w:pPr>
            <w:r>
              <w:t xml:space="preserve">Emotional pulse checks via AI and leader connects</w:t>
            </w:r>
          </w:p>
        </w:tc>
      </w:tr>
      <w:tr>
        <w:trPr>
          <w:cantSplit/>
        </w:trPr>
        <w:tc>
          <w:tcPr>
            <w:tcW w:w="2000" w:type="dxa"/>
            <w:vAlign w:val="center"/>
          </w:tcPr>
          <w:p>
            <w:pPr>
              <w:spacing w:before="20" w:after="20" w:line="240" w:lineRule="auto"/>
              <w:jc w:val="left"/>
            </w:pPr>
            <w:r>
              <w:t xml:space="preserve">Industry driver</w:t>
            </w:r>
          </w:p>
        </w:tc>
        <w:tc>
          <w:tcPr>
            <w:tcW w:w="3333" w:type="dxa"/>
            <w:vAlign w:val="center"/>
          </w:tcPr>
          <w:p>
            <w:pPr>
              <w:spacing w:before="20" w:after="20" w:line="240" w:lineRule="auto"/>
              <w:jc w:val="left"/>
            </w:pPr>
            <w:r>
              <w:t xml:space="preserve">Product technology shift demands reskilling</w:t>
            </w:r>
          </w:p>
        </w:tc>
        <w:tc>
          <w:tcPr>
            <w:tcW w:w="3333" w:type="dxa"/>
            <w:vAlign w:val="center"/>
          </w:tcPr>
          <w:p>
            <w:pPr>
              <w:spacing w:before="20" w:after="20" w:line="240" w:lineRule="auto"/>
              <w:jc w:val="left"/>
            </w:pPr>
            <w:r>
              <w:t xml:space="preserve">Tech-services DNA; retention of a large workforce</w:t>
            </w:r>
          </w:p>
        </w:tc>
      </w:tr>
    </w:tbl>
    <w:p>
      <w:pPr>
        <w:spacing w:after="140"/>
      </w:pPr>
    </w:p>
    <w:p>
      <w:pPr>
        <w:keepNext/>
        <w:keepLines/>
        <w:spacing w:before="240"/>
        <w:jc w:val="left"/>
      </w:pPr>
      <w:r>
        <w:rPr>
          <w:b/>
          <w:sz w:val="28"/>
          <w:szCs w:val="28"/>
        </w:rPr>
        <w:t xml:space="preserve">3.10  EMPLOYEE WELL-BEING AND WORKPLACE CULTURE</w:t>
      </w:r>
    </w:p>
    <w:p>
      <w:pPr>
        <w:keepNext/>
        <w:keepLines/>
        <w:spacing w:before="180" w:after="100"/>
        <w:jc w:val="left"/>
      </w:pPr>
      <w:r>
        <w:rPr>
          <w:b/>
        </w:rPr>
        <w:t xml:space="preserve">3.10.1  Practice at Hyundai Motor India</w:t>
      </w:r>
    </w:p>
    <w:p>
      <w:pPr>
        <w:spacing w:after="140"/>
      </w:pPr>
      <w:r>
        <w:t xml:space="preserve">Well-being at Hyundai is framed by its HR leadership as “not just a priority but a way of life” (People Matters, n.d.-c), and it is expressed through the safety-first discipline intrinsic to responsible manufacturing, structured facilities and a culture built around purpose. Physical safety, for example high-voltage safety training for employees working on electric vehicles, is an inseparable part of well-being in an industrial setting, and low attrition suggests a culture employees find stable and supportive.</w:t>
      </w:r>
    </w:p>
    <w:p>
      <w:pPr>
        <w:keepNext/>
        <w:keepLines/>
        <w:spacing w:before="180" w:after="100"/>
        <w:jc w:val="left"/>
      </w:pPr>
      <w:r>
        <w:rPr>
          <w:b/>
        </w:rPr>
        <w:t xml:space="preserve">3.10.2  Practice at Omega Healthcare</w:t>
      </w:r>
    </w:p>
    <w:p>
      <w:pPr>
        <w:spacing w:after="140"/>
      </w:pPr>
      <w:r>
        <w:t xml:space="preserve">Omega approaches well-being as infrastructure for performance. Its provisions include employee-assistance programmes, mental-health support, financial-wellness tools, a round-the-clock helpline, in-house medical support and a busy programme of on-floor wellness activities. Culturally, the Golden Brick awards and the celebration of twenty-year veterans send a deliberate signal that people are valued for the long term, a powerful statement in an industry known for churn.</w:t>
      </w:r>
    </w:p>
    <w:p>
      <w:pPr>
        <w:keepNext/>
        <w:keepLines/>
        <w:spacing w:before="180" w:after="100"/>
        <w:jc w:val="left"/>
      </w:pPr>
      <w:r>
        <w:rPr>
          <w:b/>
        </w:rPr>
        <w:t xml:space="preserve">3.10.3  Comparison and Influence of Industry</w:t>
      </w:r>
    </w:p>
    <w:p>
      <w:pPr>
        <w:spacing w:after="140"/>
      </w:pPr>
      <w:r>
        <w:t xml:space="preserve">The two agendas reflect different risk profiles. In manufacturing the first duty of care is physical safety, so well-being is anchored in safety systems, ergonomics and stability. In round-the-clock knowledge services aligned to overseas time zones, the pressing risks are stress, fatigue and burnout, so well-being centres on mental health and continuous support. Both are legitimate, industry-appropriate expressions of the same commitment; neither would be sufficient if copied into the other’s context.</w:t>
      </w:r>
    </w:p>
    <w:p>
      <w:pPr>
        <w:keepNext/>
        <w:keepLines/>
        <w:spacing w:before="180" w:after="100"/>
        <w:jc w:val="left"/>
      </w:pPr>
      <w:r>
        <w:rPr>
          <w:b/>
        </w:rPr>
        <w:t xml:space="preserve">3.10.4  Evaluation and Transferable Practice</w:t>
      </w:r>
    </w:p>
    <w:p>
      <w:pPr>
        <w:spacing w:after="140"/>
      </w:pPr>
      <w:r>
        <w:t xml:space="preserve">Hyundai’s safety-embedded culture is a real strength; the opportunity is to broaden well-being explicitly into mental and emotional health, as Omega has done. Omega’s comprehensive well-being infrastructure is an exemplary response to a demanding service environment, though programmes must be genuinely used, not merely offered, to change outcomes. Hyundai can adopt Omega’s structured mental-health and EAP provision; Omega can draw on the rigour of Hyundai’s safety-and-standards culture as it scales.</w:t>
      </w:r>
    </w:p>
    <w:tbl>
      <w:tblPr>
        <w:tblStyle w:val="TableGrid"/>
        <w:tblW w:w="8666" w:type="dxa"/>
        <w:tblInd w:w="0" w:type="dxa"/>
        <w:tblLayout w:type="fixed"/>
        <w:tblCellMar>
          <w:top w:w="60" w:type="dxa"/>
          <w:left w:w="108" w:type="dxa"/>
          <w:bottom w:w="60" w:type="dxa"/>
          <w:right w:w="108" w:type="dxa"/>
        </w:tblCellMar>
        <w:tblLook w:val="04A0" w:firstRow="1" w:lastRow="0" w:firstColumn="1" w:lastColumn="0" w:noHBand="0" w:noVBand="1"/>
      </w:tblPr>
      <w:tblGrid>
        <w:gridCol w:w="2000"/>
        <w:gridCol w:w="3333"/>
        <w:gridCol w:w="3333"/>
      </w:tblGrid>
      <w:tr>
        <w:trPr>
          <w:cantSplit/>
          <w:tblHeader/>
        </w:trPr>
        <w:tc>
          <w:tcPr>
            <w:tcW w:w="2000" w:type="dxa"/>
            <w:vAlign w:val="center"/>
          </w:tcPr>
          <w:p>
            <w:pPr>
              <w:spacing w:before="20" w:after="20" w:line="240" w:lineRule="auto"/>
              <w:jc w:val="center"/>
            </w:pPr>
            <w:r>
              <w:rPr>
                <w:b/>
              </w:rPr>
              <w:t xml:space="preserve">Dimension</w:t>
            </w:r>
          </w:p>
        </w:tc>
        <w:tc>
          <w:tcPr>
            <w:tcW w:w="3333" w:type="dxa"/>
            <w:vAlign w:val="center"/>
          </w:tcPr>
          <w:p>
            <w:pPr>
              <w:spacing w:before="20" w:after="20" w:line="240" w:lineRule="auto"/>
              <w:jc w:val="center"/>
            </w:pPr>
            <w:r>
              <w:rPr>
                <w:b/>
              </w:rPr>
              <w:t xml:space="preserve">Hyundai Motor India</w:t>
            </w:r>
          </w:p>
        </w:tc>
        <w:tc>
          <w:tcPr>
            <w:tcW w:w="3333" w:type="dxa"/>
            <w:vAlign w:val="center"/>
          </w:tcPr>
          <w:p>
            <w:pPr>
              <w:spacing w:before="20" w:after="20" w:line="240" w:lineRule="auto"/>
              <w:jc w:val="center"/>
            </w:pPr>
            <w:r>
              <w:rPr>
                <w:b/>
              </w:rPr>
              <w:t xml:space="preserve">Omega Healthcare</w:t>
            </w:r>
          </w:p>
        </w:tc>
      </w:tr>
      <w:tr>
        <w:trPr>
          <w:cantSplit/>
        </w:trPr>
        <w:tc>
          <w:tcPr>
            <w:tcW w:w="2000" w:type="dxa"/>
            <w:vAlign w:val="center"/>
          </w:tcPr>
          <w:p>
            <w:pPr>
              <w:spacing w:before="20" w:after="20" w:line="240" w:lineRule="auto"/>
              <w:jc w:val="left"/>
            </w:pPr>
            <w:r>
              <w:t xml:space="preserve">Well-being anchor</w:t>
            </w:r>
          </w:p>
        </w:tc>
        <w:tc>
          <w:tcPr>
            <w:tcW w:w="3333" w:type="dxa"/>
            <w:vAlign w:val="center"/>
          </w:tcPr>
          <w:p>
            <w:pPr>
              <w:spacing w:before="20" w:after="20" w:line="240" w:lineRule="auto"/>
              <w:jc w:val="left"/>
            </w:pPr>
            <w:r>
              <w:t xml:space="preserve">Physical safety, ergonomics, stability</w:t>
            </w:r>
          </w:p>
        </w:tc>
        <w:tc>
          <w:tcPr>
            <w:tcW w:w="3333" w:type="dxa"/>
            <w:vAlign w:val="center"/>
          </w:tcPr>
          <w:p>
            <w:pPr>
              <w:spacing w:before="20" w:after="20" w:line="240" w:lineRule="auto"/>
              <w:jc w:val="left"/>
            </w:pPr>
            <w:r>
              <w:t xml:space="preserve">Mental health, EAP, financial and physical wellness</w:t>
            </w:r>
          </w:p>
        </w:tc>
      </w:tr>
      <w:tr>
        <w:trPr>
          <w:cantSplit/>
        </w:trPr>
        <w:tc>
          <w:tcPr>
            <w:tcW w:w="2000" w:type="dxa"/>
            <w:vAlign w:val="center"/>
          </w:tcPr>
          <w:p>
            <w:pPr>
              <w:spacing w:before="20" w:after="20" w:line="240" w:lineRule="auto"/>
              <w:jc w:val="left"/>
            </w:pPr>
            <w:r>
              <w:t xml:space="preserve">Signature provision</w:t>
            </w:r>
          </w:p>
        </w:tc>
        <w:tc>
          <w:tcPr>
            <w:tcW w:w="3333" w:type="dxa"/>
            <w:vAlign w:val="center"/>
          </w:tcPr>
          <w:p>
            <w:pPr>
              <w:spacing w:before="20" w:after="20" w:line="240" w:lineRule="auto"/>
              <w:jc w:val="left"/>
            </w:pPr>
            <w:r>
              <w:t xml:space="preserve">High-voltage and plant safety; structured facilities</w:t>
            </w:r>
          </w:p>
        </w:tc>
        <w:tc>
          <w:tcPr>
            <w:tcW w:w="3333" w:type="dxa"/>
            <w:vAlign w:val="center"/>
          </w:tcPr>
          <w:p>
            <w:pPr>
              <w:spacing w:before="20" w:after="20" w:line="240" w:lineRule="auto"/>
              <w:jc w:val="left"/>
            </w:pPr>
            <w:r>
              <w:t xml:space="preserve">24-hour helpline, in-house doctors, EAP, wellness events</w:t>
            </w:r>
          </w:p>
        </w:tc>
      </w:tr>
      <w:tr>
        <w:trPr>
          <w:cantSplit/>
        </w:trPr>
        <w:tc>
          <w:tcPr>
            <w:tcW w:w="2000" w:type="dxa"/>
            <w:vAlign w:val="center"/>
          </w:tcPr>
          <w:p>
            <w:pPr>
              <w:spacing w:before="20" w:after="20" w:line="240" w:lineRule="auto"/>
              <w:jc w:val="left"/>
            </w:pPr>
            <w:r>
              <w:t xml:space="preserve">Cultural signal</w:t>
            </w:r>
          </w:p>
        </w:tc>
        <w:tc>
          <w:tcPr>
            <w:tcW w:w="3333" w:type="dxa"/>
            <w:vAlign w:val="center"/>
          </w:tcPr>
          <w:p>
            <w:pPr>
              <w:spacing w:before="20" w:after="20" w:line="240" w:lineRule="auto"/>
              <w:jc w:val="left"/>
            </w:pPr>
            <w:r>
              <w:t xml:space="preserve">Purpose-led, disciplined, low-attrition culture</w:t>
            </w:r>
          </w:p>
        </w:tc>
        <w:tc>
          <w:tcPr>
            <w:tcW w:w="3333" w:type="dxa"/>
            <w:vAlign w:val="center"/>
          </w:tcPr>
          <w:p>
            <w:pPr>
              <w:spacing w:before="20" w:after="20" w:line="240" w:lineRule="auto"/>
              <w:jc w:val="left"/>
            </w:pPr>
            <w:r>
              <w:t xml:space="preserve">Golden Brick long-service recognition; belonging</w:t>
            </w:r>
          </w:p>
        </w:tc>
      </w:tr>
      <w:tr>
        <w:trPr>
          <w:cantSplit/>
        </w:trPr>
        <w:tc>
          <w:tcPr>
            <w:tcW w:w="2000" w:type="dxa"/>
            <w:vAlign w:val="center"/>
          </w:tcPr>
          <w:p>
            <w:pPr>
              <w:spacing w:before="20" w:after="20" w:line="240" w:lineRule="auto"/>
              <w:jc w:val="left"/>
            </w:pPr>
            <w:r>
              <w:t xml:space="preserve">Industry driver</w:t>
            </w:r>
          </w:p>
        </w:tc>
        <w:tc>
          <w:tcPr>
            <w:tcW w:w="3333" w:type="dxa"/>
            <w:vAlign w:val="center"/>
          </w:tcPr>
          <w:p>
            <w:pPr>
              <w:spacing w:before="20" w:after="20" w:line="240" w:lineRule="auto"/>
              <w:jc w:val="left"/>
            </w:pPr>
            <w:r>
              <w:t xml:space="preserve">Safety is the first duty of care in manufacturing</w:t>
            </w:r>
          </w:p>
        </w:tc>
        <w:tc>
          <w:tcPr>
            <w:tcW w:w="3333" w:type="dxa"/>
            <w:vAlign w:val="center"/>
          </w:tcPr>
          <w:p>
            <w:pPr>
              <w:spacing w:before="20" w:after="20" w:line="240" w:lineRule="auto"/>
              <w:jc w:val="left"/>
            </w:pPr>
            <w:r>
              <w:t xml:space="preserve">Burnout and stress risk in round-the-clock services</w:t>
            </w:r>
          </w:p>
        </w:tc>
      </w:tr>
    </w:tbl>
    <w:p>
      <w:pPr>
        <w:spacing w:after="140"/>
      </w:pPr>
    </w:p>
    <w:p>
      <w:pPr>
        <w:keepNext/>
        <w:keepLines/>
        <w:spacing w:before="240"/>
        <w:jc w:val="left"/>
      </w:pPr>
      <w:r>
        <w:rPr>
          <w:b/>
          <w:sz w:val="28"/>
          <w:szCs w:val="28"/>
        </w:rPr>
        <w:t xml:space="preserve">3.11  CROSS-CUTTING ANALYSIS: HOW INDUSTRY SHAPES HR</w:t>
      </w:r>
    </w:p>
    <w:p>
      <w:pPr>
        <w:spacing w:after="140"/>
      </w:pPr>
      <w:r>
        <w:t xml:space="preserve">Looking across the ten functions, a set of larger patterns emerges that no single function captures on its own.</w:t>
      </w:r>
    </w:p>
    <w:p>
      <w:pPr>
        <w:keepNext/>
        <w:keepLines/>
        <w:spacing w:before="180" w:after="100"/>
        <w:jc w:val="left"/>
      </w:pPr>
      <w:r>
        <w:rPr>
          <w:b/>
        </w:rPr>
        <w:t xml:space="preserve">3.11.1  The Organising Logic of Each HR System</w:t>
      </w:r>
    </w:p>
    <w:p>
      <w:pPr>
        <w:spacing w:after="140"/>
      </w:pPr>
      <w:r>
        <w:t xml:space="preserve">Each company’s HR system is internally coherent and organised around a single dominant logic. At Hyundai the logic is </w:t>
      </w:r>
      <w:r>
        <w:rPr>
          <w:b/>
        </w:rPr>
        <w:t xml:space="preserve">capability and stability</w:t>
      </w:r>
      <w:r>
        <w:t xml:space="preserve"> in service of engineering quality and a technology transition: recruitment is selective, learning is academy-based and future-oriented, performance management is structural, and well-being begins with safety. At Omega the logic is </w:t>
      </w:r>
      <w:r>
        <w:rPr>
          <w:b/>
        </w:rPr>
        <w:t xml:space="preserve">retention and mobility</w:t>
      </w:r>
      <w:r>
        <w:t xml:space="preserve"> in service of consistent, round-the-clock service delivery: volume recruitment, contextual learning, quarterly rewards, the Career Lattice, explicit engagement measurement and comprehensive well-being all point at the same goal. This is exactly the bundling that SHRM theory predicts in high-performing organisations.</w:t>
      </w:r>
    </w:p>
    <w:p>
      <w:pPr>
        <w:keepNext/>
        <w:keepLines/>
        <w:spacing w:before="180" w:after="100"/>
        <w:jc w:val="left"/>
      </w:pPr>
      <w:r>
        <w:rPr>
          <w:b/>
        </w:rPr>
        <w:t xml:space="preserve">3.11.2  Industry as the Independent Variable</w:t>
      </w:r>
    </w:p>
    <w:p>
      <w:pPr>
        <w:spacing w:after="140"/>
      </w:pPr>
      <w:r>
        <w:t xml:space="preserve">Throughout the audit, industry behaved like the independent variable that explains the differences. Three structural features did most of the explanatory work. The </w:t>
      </w:r>
      <w:r>
        <w:rPr>
          <w:b/>
        </w:rPr>
        <w:t xml:space="preserve">nature of the work</w:t>
      </w:r>
      <w:r>
        <w:t xml:space="preserve">, physical and interdependent at Hyundai, digital and individually measurable at Omega, explains why performance management is structural in one and quarterly in the other. The </w:t>
      </w:r>
      <w:r>
        <w:rPr>
          <w:b/>
        </w:rPr>
        <w:t xml:space="preserve">labour market</w:t>
      </w:r>
      <w:r>
        <w:t xml:space="preserve">, scarce technical talent against high-volume, churn-prone talent, explains the contrast between selective mentored hiring and inclusive high-throughput recruitment. The </w:t>
      </w:r>
      <w:r>
        <w:rPr>
          <w:b/>
        </w:rPr>
        <w:t xml:space="preserve">dominant risk</w:t>
      </w:r>
      <w:r>
        <w:t xml:space="preserve">, safety and a product technology shift against attrition and client service levels, explains why HR technology serves learning in one case and listening in the other.</w:t>
      </w:r>
    </w:p>
    <w:p>
      <w:pPr>
        <w:keepNext/>
        <w:keepLines/>
        <w:spacing w:before="180" w:after="100"/>
        <w:jc w:val="left"/>
      </w:pPr>
      <w:r>
        <w:rPr>
          <w:b/>
        </w:rPr>
        <w:t xml:space="preserve">3.11.3  Where the Two Quietly Converge</w:t>
      </w:r>
    </w:p>
    <w:p>
      <w:pPr>
        <w:spacing w:after="140"/>
      </w:pPr>
      <w:r>
        <w:t xml:space="preserve">The two companies also converge on several modern HR principles, which suggests these have become genuine cross-industry good practice. Both treat learning as strategic and mentoring-rich; both run formal women’s leadership development and disability inclusion; both understand that pay is a hygiene factor and that recognition, growth and belonging are the true motivators; both use external certification to validate their employer brand; and both have moved well-being to the centre of strategy. The convergence is on principles; the divergence is in how those principles are put into practice.</w:t>
      </w:r>
    </w:p>
    <w:p>
      <w:pPr>
        <w:keepNext/>
        <w:keepLines/>
        <w:spacing w:before="180" w:after="100"/>
        <w:jc w:val="left"/>
      </w:pPr>
      <w:r>
        <w:rPr>
          <w:b/>
        </w:rPr>
        <w:t xml:space="preserve">3.11.4  Reading the Evidence through the Frameworks</w:t>
      </w:r>
    </w:p>
    <w:p>
      <w:pPr>
        <w:spacing w:after="140"/>
      </w:pPr>
      <w:r>
        <w:t xml:space="preserve">The AMO model maps neatly onto the findings. </w:t>
      </w:r>
      <w:r>
        <w:rPr>
          <w:b/>
        </w:rPr>
        <w:t xml:space="preserve">Ability</w:t>
      </w:r>
      <w:r>
        <w:t xml:space="preserve"> is addressed by Hyundai’s academies and Omega’s tiered learning; </w:t>
      </w:r>
      <w:r>
        <w:rPr>
          <w:b/>
        </w:rPr>
        <w:t xml:space="preserve">Motivation</w:t>
      </w:r>
      <w:r>
        <w:t xml:space="preserve"> by Hyundai’s purpose and Omega’s quarterly rewards and recognition; and </w:t>
      </w:r>
      <w:r>
        <w:rPr>
          <w:b/>
        </w:rPr>
        <w:t xml:space="preserve">Opportunity</w:t>
      </w:r>
      <w:r>
        <w:t xml:space="preserve"> by Hyundai’s role-based pathways and Omega’s Career Lattice. The resource-based view explains why both invest so heavily in people: Hyundai is building the rare technical capability needed for electric mobility, while Omega is building an equally hard-to-imitate asset in a loyal, experienced services workforce. Ulrich’s change-agent role is visible in both, in Hyundai’s Role-Based Organisation and in Omega’s reinvention of career and reward structures.</w:t>
      </w:r>
    </w:p>
    <w:tbl>
      <w:tblPr>
        <w:tblStyle w:val="TableGrid"/>
        <w:tblW w:w="8666" w:type="dxa"/>
        <w:tblInd w:w="0" w:type="dxa"/>
        <w:tblLayout w:type="fixed"/>
        <w:tblCellMar>
          <w:top w:w="60" w:type="dxa"/>
          <w:left w:w="108" w:type="dxa"/>
          <w:bottom w:w="60" w:type="dxa"/>
          <w:right w:w="108" w:type="dxa"/>
        </w:tblCellMar>
        <w:tblLook w:val="04A0" w:firstRow="1" w:lastRow="0" w:firstColumn="1" w:lastColumn="0" w:noHBand="0" w:noVBand="1"/>
      </w:tblPr>
      <w:tblGrid>
        <w:gridCol w:w="2000"/>
        <w:gridCol w:w="3333"/>
        <w:gridCol w:w="3333"/>
      </w:tblGrid>
      <w:tr>
        <w:trPr>
          <w:cantSplit/>
          <w:tblHeader/>
        </w:trPr>
        <w:tc>
          <w:tcPr>
            <w:tcW w:w="2000" w:type="dxa"/>
            <w:vAlign w:val="center"/>
          </w:tcPr>
          <w:p>
            <w:pPr>
              <w:spacing w:before="20" w:after="20" w:line="240" w:lineRule="auto"/>
              <w:jc w:val="center"/>
            </w:pPr>
            <w:r>
              <w:rPr>
                <w:b/>
              </w:rPr>
              <w:t xml:space="preserve">AMO Element</w:t>
            </w:r>
          </w:p>
        </w:tc>
        <w:tc>
          <w:tcPr>
            <w:tcW w:w="3333" w:type="dxa"/>
            <w:vAlign w:val="center"/>
          </w:tcPr>
          <w:p>
            <w:pPr>
              <w:spacing w:before="20" w:after="20" w:line="240" w:lineRule="auto"/>
              <w:jc w:val="center"/>
            </w:pPr>
            <w:r>
              <w:rPr>
                <w:b/>
              </w:rPr>
              <w:t xml:space="preserve">Hyundai Motor India</w:t>
            </w:r>
          </w:p>
        </w:tc>
        <w:tc>
          <w:tcPr>
            <w:tcW w:w="3333" w:type="dxa"/>
            <w:vAlign w:val="center"/>
          </w:tcPr>
          <w:p>
            <w:pPr>
              <w:spacing w:before="20" w:after="20" w:line="240" w:lineRule="auto"/>
              <w:jc w:val="center"/>
            </w:pPr>
            <w:r>
              <w:rPr>
                <w:b/>
              </w:rPr>
              <w:t xml:space="preserve">Omega Healthcare</w:t>
            </w:r>
          </w:p>
        </w:tc>
      </w:tr>
      <w:tr>
        <w:trPr>
          <w:cantSplit/>
        </w:trPr>
        <w:tc>
          <w:tcPr>
            <w:tcW w:w="2000" w:type="dxa"/>
            <w:vAlign w:val="center"/>
          </w:tcPr>
          <w:p>
            <w:pPr>
              <w:spacing w:before="20" w:after="20" w:line="240" w:lineRule="auto"/>
              <w:jc w:val="left"/>
            </w:pPr>
            <w:r>
              <w:t xml:space="preserve">Ability</w:t>
            </w:r>
          </w:p>
        </w:tc>
        <w:tc>
          <w:tcPr>
            <w:tcW w:w="3333" w:type="dxa"/>
            <w:vAlign w:val="center"/>
          </w:tcPr>
          <w:p>
            <w:pPr>
              <w:spacing w:before="20" w:after="20" w:line="240" w:lineRule="auto"/>
              <w:jc w:val="left"/>
            </w:pPr>
            <w:r>
              <w:t xml:space="preserve">Academy system, 3Es, IIT/IIM/XLRI partnerships, EV certifications</w:t>
            </w:r>
          </w:p>
        </w:tc>
        <w:tc>
          <w:tcPr>
            <w:tcW w:w="3333" w:type="dxa"/>
            <w:vAlign w:val="center"/>
          </w:tcPr>
          <w:p>
            <w:pPr>
              <w:spacing w:before="20" w:after="20" w:line="240" w:lineRule="auto"/>
              <w:jc w:val="left"/>
            </w:pPr>
            <w:r>
              <w:t xml:space="preserve">Tiered L&amp;D, Future Leader Pipeline, simulations and mentoring</w:t>
            </w:r>
          </w:p>
        </w:tc>
      </w:tr>
      <w:tr>
        <w:trPr>
          <w:cantSplit/>
        </w:trPr>
        <w:tc>
          <w:tcPr>
            <w:tcW w:w="2000" w:type="dxa"/>
            <w:vAlign w:val="center"/>
          </w:tcPr>
          <w:p>
            <w:pPr>
              <w:spacing w:before="20" w:after="20" w:line="240" w:lineRule="auto"/>
              <w:jc w:val="left"/>
            </w:pPr>
            <w:r>
              <w:t xml:space="preserve">Motivation</w:t>
            </w:r>
          </w:p>
        </w:tc>
        <w:tc>
          <w:tcPr>
            <w:tcW w:w="3333" w:type="dxa"/>
            <w:vAlign w:val="center"/>
          </w:tcPr>
          <w:p>
            <w:pPr>
              <w:spacing w:before="20" w:after="20" w:line="240" w:lineRule="auto"/>
              <w:jc w:val="left"/>
            </w:pPr>
            <w:r>
              <w:t xml:space="preserve">Purpose (“Progress for Humanity”), stable role-linked pay, low-attrition culture</w:t>
            </w:r>
          </w:p>
        </w:tc>
        <w:tc>
          <w:tcPr>
            <w:tcW w:w="3333" w:type="dxa"/>
            <w:vAlign w:val="center"/>
          </w:tcPr>
          <w:p>
            <w:pPr>
              <w:spacing w:before="20" w:after="20" w:line="240" w:lineRule="auto"/>
              <w:jc w:val="left"/>
            </w:pPr>
            <w:r>
              <w:t xml:space="preserve">Quarterly merit increases, Golden Brick awards, engagement activities</w:t>
            </w:r>
          </w:p>
        </w:tc>
      </w:tr>
      <w:tr>
        <w:trPr>
          <w:cantSplit/>
        </w:trPr>
        <w:tc>
          <w:tcPr>
            <w:tcW w:w="2000" w:type="dxa"/>
            <w:vAlign w:val="center"/>
          </w:tcPr>
          <w:p>
            <w:pPr>
              <w:spacing w:before="20" w:after="20" w:line="240" w:lineRule="auto"/>
              <w:jc w:val="left"/>
            </w:pPr>
            <w:r>
              <w:t xml:space="preserve">Opportunity</w:t>
            </w:r>
          </w:p>
        </w:tc>
        <w:tc>
          <w:tcPr>
            <w:tcW w:w="3333" w:type="dxa"/>
            <w:vAlign w:val="center"/>
          </w:tcPr>
          <w:p>
            <w:pPr>
              <w:spacing w:before="20" w:after="20" w:line="240" w:lineRule="auto"/>
              <w:jc w:val="left"/>
            </w:pPr>
            <w:r>
              <w:t xml:space="preserve">Role-Based Organisation, Core Talent Program, knowledge forums</w:t>
            </w:r>
          </w:p>
        </w:tc>
        <w:tc>
          <w:tcPr>
            <w:tcW w:w="3333" w:type="dxa"/>
            <w:vAlign w:val="center"/>
          </w:tcPr>
          <w:p>
            <w:pPr>
              <w:spacing w:before="20" w:after="20" w:line="240" w:lineRule="auto"/>
              <w:jc w:val="left"/>
            </w:pPr>
            <w:r>
              <w:t xml:space="preserve">Career Lattice, internal promotion, inclusive hiring</w:t>
            </w:r>
          </w:p>
        </w:tc>
      </w:tr>
    </w:tbl>
    <w:p>
      <w:pPr>
        <w:spacing w:after="140"/>
      </w:pPr>
    </w:p>
    <w:p>
      <w:pPr>
        <w:keepNext/>
        <w:keepLines/>
        <w:spacing w:before="240"/>
        <w:jc w:val="left"/>
      </w:pPr>
      <w:r>
        <w:rPr>
          <w:b/>
          <w:sz w:val="28"/>
          <w:szCs w:val="28"/>
        </w:rPr>
        <w:t xml:space="preserve">3.12  OVERALL COMPARATIVE ASSESSMENT</w:t>
      </w:r>
    </w:p>
    <w:p>
      <w:pPr>
        <w:spacing w:after="140"/>
      </w:pPr>
      <w:r>
        <w:t xml:space="preserve">The table below brings the ten functions together, identifying which organisation offers the stronger transferable practice in each area. This is not a ranking of the companies, since each system is well matched to its own industry, but an indication of where each could most usefully learn from the other.</w:t>
      </w:r>
    </w:p>
    <w:tbl>
      <w:tblPr>
        <w:tblStyle w:val="TableGrid"/>
        <w:tblW w:w="8666" w:type="dxa"/>
        <w:tblInd w:w="0" w:type="dxa"/>
        <w:tblLayout w:type="fixed"/>
        <w:tblCellMar>
          <w:top w:w="60" w:type="dxa"/>
          <w:left w:w="108" w:type="dxa"/>
          <w:bottom w:w="60" w:type="dxa"/>
          <w:right w:w="108" w:type="dxa"/>
        </w:tblCellMar>
        <w:tblLook w:val="04A0" w:firstRow="1" w:lastRow="0" w:firstColumn="1" w:lastColumn="0" w:noHBand="0" w:noVBand="1"/>
      </w:tblPr>
      <w:tblGrid>
        <w:gridCol w:w="2600"/>
        <w:gridCol w:w="2300"/>
        <w:gridCol w:w="3766"/>
      </w:tblGrid>
      <w:tr>
        <w:trPr>
          <w:cantSplit/>
          <w:tblHeader/>
        </w:trPr>
        <w:tc>
          <w:tcPr>
            <w:tcW w:w="2600" w:type="dxa"/>
            <w:vAlign w:val="center"/>
          </w:tcPr>
          <w:p>
            <w:pPr>
              <w:spacing w:before="20" w:after="20" w:line="240" w:lineRule="auto"/>
              <w:jc w:val="center"/>
            </w:pPr>
            <w:r>
              <w:rPr>
                <w:b/>
              </w:rPr>
              <w:t xml:space="preserve">HR Function</w:t>
            </w:r>
          </w:p>
        </w:tc>
        <w:tc>
          <w:tcPr>
            <w:tcW w:w="2300" w:type="dxa"/>
            <w:vAlign w:val="center"/>
          </w:tcPr>
          <w:p>
            <w:pPr>
              <w:spacing w:before="20" w:after="20" w:line="240" w:lineRule="auto"/>
              <w:jc w:val="center"/>
            </w:pPr>
            <w:r>
              <w:rPr>
                <w:b/>
              </w:rPr>
              <w:t xml:space="preserve">Stronger Transferable Practice</w:t>
            </w:r>
          </w:p>
        </w:tc>
        <w:tc>
          <w:tcPr>
            <w:tcW w:w="3766" w:type="dxa"/>
            <w:vAlign w:val="center"/>
          </w:tcPr>
          <w:p>
            <w:pPr>
              <w:spacing w:before="20" w:after="20" w:line="240" w:lineRule="auto"/>
              <w:jc w:val="center"/>
            </w:pPr>
            <w:r>
              <w:rPr>
                <w:b/>
              </w:rPr>
              <w:t xml:space="preserve">Reason</w:t>
            </w:r>
          </w:p>
        </w:tc>
      </w:tr>
      <w:tr>
        <w:trPr>
          <w:cantSplit/>
        </w:trPr>
        <w:tc>
          <w:tcPr>
            <w:tcW w:w="2600" w:type="dxa"/>
            <w:vAlign w:val="center"/>
          </w:tcPr>
          <w:p>
            <w:pPr>
              <w:spacing w:before="20" w:after="20" w:line="240" w:lineRule="auto"/>
              <w:jc w:val="left"/>
            </w:pPr>
            <w:r>
              <w:t xml:space="preserve">Employer Branding</w:t>
            </w:r>
          </w:p>
        </w:tc>
        <w:tc>
          <w:tcPr>
            <w:tcW w:w="2300" w:type="dxa"/>
            <w:vAlign w:val="center"/>
          </w:tcPr>
          <w:p>
            <w:pPr>
              <w:spacing w:before="20" w:after="20" w:line="240" w:lineRule="auto"/>
              <w:jc w:val="left"/>
            </w:pPr>
            <w:r>
              <w:t xml:space="preserve">Hyundai</w:t>
            </w:r>
          </w:p>
        </w:tc>
        <w:tc>
          <w:tcPr>
            <w:tcW w:w="3766" w:type="dxa"/>
            <w:vAlign w:val="center"/>
          </w:tcPr>
          <w:p>
            <w:pPr>
              <w:spacing w:before="20" w:after="20" w:line="240" w:lineRule="auto"/>
              <w:jc w:val="left"/>
            </w:pPr>
            <w:r>
              <w:t xml:space="preserve">Rigorous external certification and clear value proposition</w:t>
            </w:r>
          </w:p>
        </w:tc>
      </w:tr>
      <w:tr>
        <w:trPr>
          <w:cantSplit/>
        </w:trPr>
        <w:tc>
          <w:tcPr>
            <w:tcW w:w="2600" w:type="dxa"/>
            <w:vAlign w:val="center"/>
          </w:tcPr>
          <w:p>
            <w:pPr>
              <w:spacing w:before="20" w:after="20" w:line="240" w:lineRule="auto"/>
              <w:jc w:val="left"/>
            </w:pPr>
            <w:r>
              <w:t xml:space="preserve">Recruitment and Selection</w:t>
            </w:r>
          </w:p>
        </w:tc>
        <w:tc>
          <w:tcPr>
            <w:tcW w:w="2300" w:type="dxa"/>
            <w:vAlign w:val="center"/>
          </w:tcPr>
          <w:p>
            <w:pPr>
              <w:spacing w:before="20" w:after="20" w:line="240" w:lineRule="auto"/>
              <w:jc w:val="left"/>
            </w:pPr>
            <w:r>
              <w:t xml:space="preserve">Balanced</w:t>
            </w:r>
          </w:p>
        </w:tc>
        <w:tc>
          <w:tcPr>
            <w:tcW w:w="3766" w:type="dxa"/>
            <w:vAlign w:val="center"/>
          </w:tcPr>
          <w:p>
            <w:pPr>
              <w:spacing w:before="20" w:after="20" w:line="240" w:lineRule="auto"/>
              <w:jc w:val="left"/>
            </w:pPr>
            <w:r>
              <w:t xml:space="preserve">Hyundai’s mentored intake; Omega’s inclusive sourcing</w:t>
            </w:r>
          </w:p>
        </w:tc>
      </w:tr>
      <w:tr>
        <w:trPr>
          <w:cantSplit/>
        </w:trPr>
        <w:tc>
          <w:tcPr>
            <w:tcW w:w="2600" w:type="dxa"/>
            <w:vAlign w:val="center"/>
          </w:tcPr>
          <w:p>
            <w:pPr>
              <w:spacing w:before="20" w:after="20" w:line="240" w:lineRule="auto"/>
              <w:jc w:val="left"/>
            </w:pPr>
            <w:r>
              <w:t xml:space="preserve">Learning and Development</w:t>
            </w:r>
          </w:p>
        </w:tc>
        <w:tc>
          <w:tcPr>
            <w:tcW w:w="2300" w:type="dxa"/>
            <w:vAlign w:val="center"/>
          </w:tcPr>
          <w:p>
            <w:pPr>
              <w:spacing w:before="20" w:after="20" w:line="240" w:lineRule="auto"/>
              <w:jc w:val="left"/>
            </w:pPr>
            <w:r>
              <w:t xml:space="preserve">Hyundai</w:t>
            </w:r>
          </w:p>
        </w:tc>
        <w:tc>
          <w:tcPr>
            <w:tcW w:w="3766" w:type="dxa"/>
            <w:vAlign w:val="center"/>
          </w:tcPr>
          <w:p>
            <w:pPr>
              <w:spacing w:before="20" w:after="20" w:line="240" w:lineRule="auto"/>
              <w:jc w:val="left"/>
            </w:pPr>
            <w:r>
              <w:t xml:space="preserve">Institution-linked academies and EV reskilling at scale</w:t>
            </w:r>
          </w:p>
        </w:tc>
      </w:tr>
      <w:tr>
        <w:trPr>
          <w:cantSplit/>
        </w:trPr>
        <w:tc>
          <w:tcPr>
            <w:tcW w:w="2600" w:type="dxa"/>
            <w:vAlign w:val="center"/>
          </w:tcPr>
          <w:p>
            <w:pPr>
              <w:spacing w:before="20" w:after="20" w:line="240" w:lineRule="auto"/>
              <w:jc w:val="left"/>
            </w:pPr>
            <w:r>
              <w:t xml:space="preserve">Performance Management</w:t>
            </w:r>
          </w:p>
        </w:tc>
        <w:tc>
          <w:tcPr>
            <w:tcW w:w="2300" w:type="dxa"/>
            <w:vAlign w:val="center"/>
          </w:tcPr>
          <w:p>
            <w:pPr>
              <w:spacing w:before="20" w:after="20" w:line="240" w:lineRule="auto"/>
              <w:jc w:val="left"/>
            </w:pPr>
            <w:r>
              <w:t xml:space="preserve">Omega</w:t>
            </w:r>
          </w:p>
        </w:tc>
        <w:tc>
          <w:tcPr>
            <w:tcW w:w="3766" w:type="dxa"/>
            <w:vAlign w:val="center"/>
          </w:tcPr>
          <w:p>
            <w:pPr>
              <w:spacing w:before="20" w:after="20" w:line="240" w:lineRule="auto"/>
              <w:jc w:val="left"/>
            </w:pPr>
            <w:r>
              <w:t xml:space="preserve">Quarterly, performance-linked recognition for frontline staff</w:t>
            </w:r>
          </w:p>
        </w:tc>
      </w:tr>
      <w:tr>
        <w:trPr>
          <w:cantSplit/>
        </w:trPr>
        <w:tc>
          <w:tcPr>
            <w:tcW w:w="2600" w:type="dxa"/>
            <w:vAlign w:val="center"/>
          </w:tcPr>
          <w:p>
            <w:pPr>
              <w:spacing w:before="20" w:after="20" w:line="240" w:lineRule="auto"/>
              <w:jc w:val="left"/>
            </w:pPr>
            <w:r>
              <w:t xml:space="preserve">Compensation and Benefits</w:t>
            </w:r>
          </w:p>
        </w:tc>
        <w:tc>
          <w:tcPr>
            <w:tcW w:w="2300" w:type="dxa"/>
            <w:vAlign w:val="center"/>
          </w:tcPr>
          <w:p>
            <w:pPr>
              <w:spacing w:before="20" w:after="20" w:line="240" w:lineRule="auto"/>
              <w:jc w:val="left"/>
            </w:pPr>
            <w:r>
              <w:t xml:space="preserve">Omega</w:t>
            </w:r>
          </w:p>
        </w:tc>
        <w:tc>
          <w:tcPr>
            <w:tcW w:w="3766" w:type="dxa"/>
            <w:vAlign w:val="center"/>
          </w:tcPr>
          <w:p>
            <w:pPr>
              <w:spacing w:before="20" w:after="20" w:line="240" w:lineRule="auto"/>
              <w:jc w:val="left"/>
            </w:pPr>
            <w:r>
              <w:t xml:space="preserve">Milestone recognition and benefits framed as performance infrastructure</w:t>
            </w:r>
          </w:p>
        </w:tc>
      </w:tr>
      <w:tr>
        <w:trPr>
          <w:cantSplit/>
        </w:trPr>
        <w:tc>
          <w:tcPr>
            <w:tcW w:w="2600" w:type="dxa"/>
            <w:vAlign w:val="center"/>
          </w:tcPr>
          <w:p>
            <w:pPr>
              <w:spacing w:before="20" w:after="20" w:line="240" w:lineRule="auto"/>
              <w:jc w:val="left"/>
            </w:pPr>
            <w:r>
              <w:t xml:space="preserve">Employee Engagement</w:t>
            </w:r>
          </w:p>
        </w:tc>
        <w:tc>
          <w:tcPr>
            <w:tcW w:w="2300" w:type="dxa"/>
            <w:vAlign w:val="center"/>
          </w:tcPr>
          <w:p>
            <w:pPr>
              <w:spacing w:before="20" w:after="20" w:line="240" w:lineRule="auto"/>
              <w:jc w:val="left"/>
            </w:pPr>
            <w:r>
              <w:t xml:space="preserve">Omega</w:t>
            </w:r>
          </w:p>
        </w:tc>
        <w:tc>
          <w:tcPr>
            <w:tcW w:w="3766" w:type="dxa"/>
            <w:vAlign w:val="center"/>
          </w:tcPr>
          <w:p>
            <w:pPr>
              <w:spacing w:before="20" w:after="20" w:line="240" w:lineRule="auto"/>
              <w:jc w:val="left"/>
            </w:pPr>
            <w:r>
              <w:t xml:space="preserve">Explicit measurement and continuous listening</w:t>
            </w:r>
          </w:p>
        </w:tc>
      </w:tr>
      <w:tr>
        <w:trPr>
          <w:cantSplit/>
        </w:trPr>
        <w:tc>
          <w:tcPr>
            <w:tcW w:w="2600" w:type="dxa"/>
            <w:vAlign w:val="center"/>
          </w:tcPr>
          <w:p>
            <w:pPr>
              <w:spacing w:before="20" w:after="20" w:line="240" w:lineRule="auto"/>
              <w:jc w:val="left"/>
            </w:pPr>
            <w:r>
              <w:t xml:space="preserve">Diversity, Equity and Inclusion</w:t>
            </w:r>
          </w:p>
        </w:tc>
        <w:tc>
          <w:tcPr>
            <w:tcW w:w="2300" w:type="dxa"/>
            <w:vAlign w:val="center"/>
          </w:tcPr>
          <w:p>
            <w:pPr>
              <w:spacing w:before="20" w:after="20" w:line="240" w:lineRule="auto"/>
              <w:jc w:val="left"/>
            </w:pPr>
            <w:r>
              <w:t xml:space="preserve">Omega</w:t>
            </w:r>
          </w:p>
        </w:tc>
        <w:tc>
          <w:tcPr>
            <w:tcW w:w="3766" w:type="dxa"/>
            <w:vAlign w:val="center"/>
          </w:tcPr>
          <w:p>
            <w:pPr>
              <w:spacing w:before="20" w:after="20" w:line="240" w:lineRule="auto"/>
              <w:jc w:val="left"/>
            </w:pPr>
            <w:r>
              <w:t xml:space="preserve">Near gender parity and broad inclusion policy</w:t>
            </w:r>
          </w:p>
        </w:tc>
      </w:tr>
      <w:tr>
        <w:trPr>
          <w:cantSplit/>
        </w:trPr>
        <w:tc>
          <w:tcPr>
            <w:tcW w:w="2600" w:type="dxa"/>
            <w:vAlign w:val="center"/>
          </w:tcPr>
          <w:p>
            <w:pPr>
              <w:spacing w:before="20" w:after="20" w:line="240" w:lineRule="auto"/>
              <w:jc w:val="left"/>
            </w:pPr>
            <w:r>
              <w:t xml:space="preserve">Career Development</w:t>
            </w:r>
          </w:p>
        </w:tc>
        <w:tc>
          <w:tcPr>
            <w:tcW w:w="2300" w:type="dxa"/>
            <w:vAlign w:val="center"/>
          </w:tcPr>
          <w:p>
            <w:pPr>
              <w:spacing w:before="20" w:after="20" w:line="240" w:lineRule="auto"/>
              <w:jc w:val="left"/>
            </w:pPr>
            <w:r>
              <w:t xml:space="preserve">Omega</w:t>
            </w:r>
          </w:p>
        </w:tc>
        <w:tc>
          <w:tcPr>
            <w:tcW w:w="3766" w:type="dxa"/>
            <w:vAlign w:val="center"/>
          </w:tcPr>
          <w:p>
            <w:pPr>
              <w:spacing w:before="20" w:after="20" w:line="240" w:lineRule="auto"/>
              <w:jc w:val="left"/>
            </w:pPr>
            <w:r>
              <w:t xml:space="preserve">Career Lattice enabling lateral and diagonal growth</w:t>
            </w:r>
          </w:p>
        </w:tc>
      </w:tr>
      <w:tr>
        <w:trPr>
          <w:cantSplit/>
        </w:trPr>
        <w:tc>
          <w:tcPr>
            <w:tcW w:w="2600" w:type="dxa"/>
            <w:vAlign w:val="center"/>
          </w:tcPr>
          <w:p>
            <w:pPr>
              <w:spacing w:before="20" w:after="20" w:line="240" w:lineRule="auto"/>
              <w:jc w:val="left"/>
            </w:pPr>
            <w:r>
              <w:t xml:space="preserve">HR Technology</w:t>
            </w:r>
          </w:p>
        </w:tc>
        <w:tc>
          <w:tcPr>
            <w:tcW w:w="2300" w:type="dxa"/>
            <w:vAlign w:val="center"/>
          </w:tcPr>
          <w:p>
            <w:pPr>
              <w:spacing w:before="20" w:after="20" w:line="240" w:lineRule="auto"/>
              <w:jc w:val="left"/>
            </w:pPr>
            <w:r>
              <w:t xml:space="preserve">Balanced</w:t>
            </w:r>
          </w:p>
        </w:tc>
        <w:tc>
          <w:tcPr>
            <w:tcW w:w="3766" w:type="dxa"/>
            <w:vAlign w:val="center"/>
          </w:tcPr>
          <w:p>
            <w:pPr>
              <w:spacing w:before="20" w:after="20" w:line="240" w:lineRule="auto"/>
              <w:jc w:val="left"/>
            </w:pPr>
            <w:r>
              <w:t xml:space="preserve">Hyundai for learning technology; Omega for sentiment listening</w:t>
            </w:r>
          </w:p>
        </w:tc>
      </w:tr>
      <w:tr>
        <w:trPr>
          <w:cantSplit/>
        </w:trPr>
        <w:tc>
          <w:tcPr>
            <w:tcW w:w="2600" w:type="dxa"/>
            <w:vAlign w:val="center"/>
          </w:tcPr>
          <w:p>
            <w:pPr>
              <w:spacing w:before="20" w:after="20" w:line="240" w:lineRule="auto"/>
              <w:jc w:val="left"/>
            </w:pPr>
            <w:r>
              <w:t xml:space="preserve">Well-being and Culture</w:t>
            </w:r>
          </w:p>
        </w:tc>
        <w:tc>
          <w:tcPr>
            <w:tcW w:w="2300" w:type="dxa"/>
            <w:vAlign w:val="center"/>
          </w:tcPr>
          <w:p>
            <w:pPr>
              <w:spacing w:before="20" w:after="20" w:line="240" w:lineRule="auto"/>
              <w:jc w:val="left"/>
            </w:pPr>
            <w:r>
              <w:t xml:space="preserve">Balanced</w:t>
            </w:r>
          </w:p>
        </w:tc>
        <w:tc>
          <w:tcPr>
            <w:tcW w:w="3766" w:type="dxa"/>
            <w:vAlign w:val="center"/>
          </w:tcPr>
          <w:p>
            <w:pPr>
              <w:spacing w:before="20" w:after="20" w:line="240" w:lineRule="auto"/>
              <w:jc w:val="left"/>
            </w:pPr>
            <w:r>
              <w:t xml:space="preserve">Hyundai for safety culture; Omega for mental-health support</w:t>
            </w:r>
          </w:p>
        </w:tc>
      </w:tr>
    </w:tbl>
    <w:p>
      <w:pPr>
        <w:spacing w:after="140"/>
      </w:pPr>
    </w:p>
    <w:p>
      <w:pPr>
        <w:spacing w:after="0" w:line="240" w:lineRule="auto"/>
      </w:pPr>
      <w:bookmarkStart w:id="5" w:name="ch3_end"/>
      <w:bookmarkEnd w:id="5"/>
    </w:p>
    <w:p>
      <w:pPr>
        <w:sectPr>
          <w:headerReference w:type="default" r:id="rId12"/>
          <w:footerReference w:type="default" r:id="rId13"/>
          <w:pgSz w:w="11906" w:h="16838"/>
          <w:pgMar w:top="1440" w:right="1440" w:bottom="1440" w:left="1800" w:header="720" w:footer="720" w:gutter="0"/>
          <w:cols w:space="720"/>
          <w:docGrid w:linePitch="360"/>
        </w:sectPr>
      </w:pPr>
    </w:p>
    <w:p>
      <w:pPr>
        <w:spacing w:after="0"/>
      </w:pPr>
      <w:bookmarkStart w:id="6" w:name="ch4_start"/>
      <w:bookmarkEnd w:id="6"/>
    </w:p>
    <w:p>
      <w:pPr>
        <w:spacing w:after="0"/>
      </w:pPr>
    </w:p>
    <w:p>
      <w:pPr>
        <w:spacing w:after="0"/>
      </w:pPr>
    </w:p>
    <w:p>
      <w:pPr>
        <w:spacing w:after="0"/>
      </w:pPr>
    </w:p>
    <w:p>
      <w:pPr>
        <w:spacing w:after="0"/>
      </w:pPr>
    </w:p>
    <w:p>
      <w:pPr>
        <w:spacing w:after="0"/>
      </w:pPr>
    </w:p>
    <w:p>
      <w:pPr>
        <w:spacing w:after="0"/>
      </w:pPr>
    </w:p>
    <w:p>
      <w:pPr>
        <w:spacing w:after="0"/>
      </w:pPr>
    </w:p>
    <w:p>
      <w:pPr>
        <w:spacing w:after="0"/>
      </w:pPr>
    </w:p>
    <w:p>
      <w:pPr>
        <w:spacing w:after="0"/>
      </w:pPr>
    </w:p>
    <w:p>
      <w:pPr>
        <w:spacing w:after="0"/>
      </w:pPr>
    </w:p>
    <w:p>
      <w:pPr>
        <w:spacing w:after="0"/>
      </w:pPr>
    </w:p>
    <w:p>
      <w:pPr>
        <w:spacing w:after="0"/>
      </w:pPr>
    </w:p>
    <w:p>
      <w:pPr>
        <w:spacing w:after="240"/>
        <w:jc w:val="center"/>
      </w:pPr>
      <w:r>
        <w:rPr>
          <w:b/>
          <w:sz w:val="32"/>
          <w:szCs w:val="32"/>
        </w:rPr>
        <w:t xml:space="preserve">CHAPTER  4</w:t>
      </w:r>
    </w:p>
    <w:p>
      <w:pPr>
        <w:spacing w:after="0"/>
        <w:jc w:val="center"/>
      </w:pPr>
      <w:r>
        <w:rPr>
          <w:b/>
          <w:sz w:val="32"/>
          <w:szCs w:val="32"/>
        </w:rPr>
        <w:t>LEARNING OUTCOMES</w:t>
      </w:r>
    </w:p>
    <w:p>
      <w:pPr>
        <w:spacing w:after="0" w:line="240" w:lineRule="auto"/>
      </w:pPr>
      <w:r>
        <w:br w:type="page"/>
      </w:r>
    </w:p>
    <w:p>
      <w:pPr>
        <w:keepNext/>
        <w:keepLines/>
        <w:spacing w:after="240"/>
        <w:jc w:val="center"/>
      </w:pPr>
      <w:r>
        <w:rPr>
          <w:b/>
          <w:sz w:val="28"/>
          <w:szCs w:val="28"/>
        </w:rPr>
        <w:t>4. LEARNING OUTCOMES</w:t>
      </w:r>
    </w:p>
    <w:p>
      <w:pPr>
        <w:spacing w:after="140"/>
      </w:pPr>
      <w:r>
        <w:t xml:space="preserve">This chapter sets out what I took away from the project, separating the subject knowledge acquired from the research and professional habits developed, and connecting both back to my MBA coursework.</w:t>
      </w:r>
    </w:p>
    <w:p>
      <w:pPr>
        <w:keepNext/>
        <w:keepLines/>
        <w:spacing w:before="240"/>
        <w:jc w:val="left"/>
      </w:pPr>
      <w:r>
        <w:rPr>
          <w:b/>
          <w:sz w:val="28"/>
          <w:szCs w:val="28"/>
        </w:rPr>
        <w:t xml:space="preserve">4.1  KNOWLEDGE ACQUIRED</w:t>
      </w:r>
    </w:p>
    <w:p>
      <w:pPr>
        <w:numPr>
          <w:ilvl w:val="0"/>
          <w:numId w:val="1"/>
        </w:numPr>
        <w:spacing w:after="80"/>
      </w:pPr>
      <w:r>
        <w:rPr>
          <w:b/>
        </w:rPr>
        <w:t xml:space="preserve">Strategic HRM in practice:</w:t>
      </w:r>
      <w:r>
        <w:t xml:space="preserve"> a clear understanding of how HR practices are bundled around a business strategy, and how the same principle produces different practices in different industries.</w:t>
      </w:r>
    </w:p>
    <w:p>
      <w:pPr>
        <w:numPr>
          <w:ilvl w:val="0"/>
          <w:numId w:val="1"/>
        </w:numPr>
        <w:spacing w:after="80"/>
      </w:pPr>
      <w:r>
        <w:rPr>
          <w:b/>
        </w:rPr>
        <w:t xml:space="preserve">Employer branding:</w:t>
      </w:r>
      <w:r>
        <w:t xml:space="preserve"> how an employee value proposition is built, validated through external certification and matched to the anxieties of a particular talent pool.</w:t>
      </w:r>
    </w:p>
    <w:p>
      <w:pPr>
        <w:numPr>
          <w:ilvl w:val="0"/>
          <w:numId w:val="1"/>
        </w:numPr>
        <w:spacing w:after="80"/>
      </w:pPr>
      <w:r>
        <w:rPr>
          <w:b/>
        </w:rPr>
        <w:t xml:space="preserve">Recruitment models:</w:t>
      </w:r>
      <w:r>
        <w:t xml:space="preserve"> the difference between selective, mentor-supported campus hiring and high-volume, train-to-hire recruitment, and when each is appropriate.</w:t>
      </w:r>
    </w:p>
    <w:p>
      <w:pPr>
        <w:numPr>
          <w:ilvl w:val="0"/>
          <w:numId w:val="1"/>
        </w:numPr>
        <w:spacing w:after="80"/>
      </w:pPr>
      <w:r>
        <w:rPr>
          <w:b/>
        </w:rPr>
        <w:t xml:space="preserve">Learning architecture:</w:t>
      </w:r>
      <w:r>
        <w:t xml:space="preserve"> how academy systems, learning trails and institutional partnerships are used to reskill a workforce for technological change.</w:t>
      </w:r>
    </w:p>
    <w:p>
      <w:pPr>
        <w:numPr>
          <w:ilvl w:val="0"/>
          <w:numId w:val="1"/>
        </w:numPr>
        <w:spacing w:after="80"/>
      </w:pPr>
      <w:r>
        <w:rPr>
          <w:b/>
        </w:rPr>
        <w:t xml:space="preserve">Performance and reward design:</w:t>
      </w:r>
      <w:r>
        <w:t xml:space="preserve"> how the measurability of work determines whether performance-linked reward can be quarterly or must be structural and longer-horizon.</w:t>
      </w:r>
    </w:p>
    <w:p>
      <w:pPr>
        <w:numPr>
          <w:ilvl w:val="0"/>
          <w:numId w:val="1"/>
        </w:numPr>
        <w:spacing w:after="80"/>
      </w:pPr>
      <w:r>
        <w:rPr>
          <w:b/>
        </w:rPr>
        <w:t xml:space="preserve">Engagement measurement:</w:t>
      </w:r>
      <w:r>
        <w:t xml:space="preserve"> the difference between inferring engagement from attrition and measuring it directly through engagement scores and eNPS.</w:t>
      </w:r>
    </w:p>
    <w:p>
      <w:pPr>
        <w:numPr>
          <w:ilvl w:val="0"/>
          <w:numId w:val="1"/>
        </w:numPr>
        <w:spacing w:after="80"/>
      </w:pPr>
      <w:r>
        <w:rPr>
          <w:b/>
        </w:rPr>
        <w:t xml:space="preserve">DEI strategy:</w:t>
      </w:r>
      <w:r>
        <w:t xml:space="preserve"> how structural features of work shape diversity baselines, and how targets, leadership programmes and inclusive sourcing are used to change them.</w:t>
      </w:r>
    </w:p>
    <w:p>
      <w:pPr>
        <w:numPr>
          <w:ilvl w:val="0"/>
          <w:numId w:val="1"/>
        </w:numPr>
        <w:spacing w:after="80"/>
      </w:pPr>
      <w:r>
        <w:rPr>
          <w:b/>
        </w:rPr>
        <w:t xml:space="preserve">HR technology and well-being:</w:t>
      </w:r>
      <w:r>
        <w:t xml:space="preserve"> how technology is applied to learning in one industry and to listening in another, and how well-being follows the dominant risk of the work.</w:t>
      </w:r>
    </w:p>
    <w:p>
      <w:pPr>
        <w:spacing w:after="60" w:line="120" w:lineRule="auto"/>
      </w:pPr>
    </w:p>
    <w:p>
      <w:pPr>
        <w:keepNext/>
        <w:keepLines/>
        <w:spacing w:before="240"/>
        <w:jc w:val="left"/>
      </w:pPr>
      <w:r>
        <w:rPr>
          <w:b/>
          <w:sz w:val="28"/>
          <w:szCs w:val="28"/>
        </w:rPr>
        <w:t xml:space="preserve">4.2  UNDERSTANDING OF INDUSTRY INFLUENCE ON HR</w:t>
      </w:r>
    </w:p>
    <w:p>
      <w:pPr>
        <w:spacing w:after="140"/>
      </w:pPr>
      <w:r>
        <w:t xml:space="preserve">More important than any single practice was understanding the architecture behind them. Before this project I thought of “best practice” as something that could be copied from one company to another. The audit showed that industry acts like an independent variable: the nature of the work, the labour market and the dominant risk of a sector explain most of the differences in HR practice. Once I saw this, comparing HR systems stopped being an exercise in listing initiatives and became an exercise in explaining them.</w:t>
      </w:r>
    </w:p>
    <w:p>
      <w:pPr>
        <w:keepNext/>
        <w:keepLines/>
        <w:spacing w:before="240"/>
        <w:jc w:val="left"/>
      </w:pPr>
      <w:r>
        <w:rPr>
          <w:b/>
          <w:sz w:val="28"/>
          <w:szCs w:val="28"/>
        </w:rPr>
        <w:t xml:space="preserve">4.3  IMPROVEMENT IN ANALYTICAL AND CRITICAL THINKING</w:t>
      </w:r>
    </w:p>
    <w:p>
      <w:pPr>
        <w:spacing w:after="140"/>
      </w:pPr>
      <w:r>
        <w:t xml:space="preserve">Analytically, the biggest change was learning to ask why a practice exists rather than whether it is good. A quarterly merit increase is not better or worse than an annual cycle in the abstract; it is suitable where individual output is measurable and churn is the main risk, and unsuitable where work is interdependent. Learning to hold that kind of conditional judgement is the analytical habit I value most from the project.</w:t>
      </w:r>
    </w:p>
    <w:p>
      <w:pPr>
        <w:spacing w:after="140"/>
      </w:pPr>
      <w:r>
        <w:t xml:space="preserve">Critically, I learned to read corporate information with care. Company material naturally presents people practices favourably, so I learned to separate stated intentions from reported outcomes, to prefer regulated disclosures and quantified data, and to treat a lack of disclosure as a limitation of evidence rather than proof that a practice is absent.</w:t>
      </w:r>
    </w:p>
    <w:p>
      <w:pPr>
        <w:keepNext/>
        <w:keepLines/>
        <w:spacing w:before="240"/>
        <w:jc w:val="left"/>
      </w:pPr>
      <w:r>
        <w:rPr>
          <w:b/>
          <w:sz w:val="28"/>
          <w:szCs w:val="28"/>
        </w:rPr>
        <w:t xml:space="preserve">4.4  SOFT SKILLS AND PROFESSIONAL TRAITS STRENGTHENED</w:t>
      </w:r>
    </w:p>
    <w:p>
      <w:pPr>
        <w:numPr>
          <w:ilvl w:val="0"/>
          <w:numId w:val="1"/>
        </w:numPr>
        <w:spacing w:after="80"/>
      </w:pPr>
      <w:r>
        <w:rPr>
          <w:b/>
        </w:rPr>
        <w:t xml:space="preserve">Self-discipline:</w:t>
      </w:r>
      <w:r>
        <w:t xml:space="preserve"> sustaining a six-month independent project with monthly milestones alongside coursework.</w:t>
      </w:r>
    </w:p>
    <w:p>
      <w:pPr>
        <w:numPr>
          <w:ilvl w:val="0"/>
          <w:numId w:val="1"/>
        </w:numPr>
        <w:spacing w:after="80"/>
      </w:pPr>
      <w:r>
        <w:rPr>
          <w:b/>
        </w:rPr>
        <w:t xml:space="preserve">Research integrity:</w:t>
      </w:r>
      <w:r>
        <w:t xml:space="preserve"> recording every source, checking every figure and acknowledging the work of others.</w:t>
      </w:r>
    </w:p>
    <w:p>
      <w:pPr>
        <w:numPr>
          <w:ilvl w:val="0"/>
          <w:numId w:val="1"/>
        </w:numPr>
        <w:spacing w:after="80"/>
      </w:pPr>
      <w:r>
        <w:rPr>
          <w:b/>
        </w:rPr>
        <w:t xml:space="preserve">Objectivity:</w:t>
      </w:r>
      <w:r>
        <w:t xml:space="preserve"> comparing two organisations fairly without favouring either, and recognising that different can be equally effective.</w:t>
      </w:r>
    </w:p>
    <w:p>
      <w:pPr>
        <w:numPr>
          <w:ilvl w:val="0"/>
          <w:numId w:val="1"/>
        </w:numPr>
        <w:spacing w:after="80"/>
      </w:pPr>
      <w:r>
        <w:rPr>
          <w:b/>
        </w:rPr>
        <w:t xml:space="preserve">Written communication:</w:t>
      </w:r>
      <w:r>
        <w:t xml:space="preserve"> presenting complex comparisons in a structured, readable format with summary tables.</w:t>
      </w:r>
    </w:p>
    <w:p>
      <w:pPr>
        <w:numPr>
          <w:ilvl w:val="0"/>
          <w:numId w:val="1"/>
        </w:numPr>
        <w:spacing w:after="80"/>
      </w:pPr>
      <w:r>
        <w:rPr>
          <w:b/>
        </w:rPr>
        <w:t xml:space="preserve">Receptiveness to feedback:</w:t>
      </w:r>
      <w:r>
        <w:t xml:space="preserve"> incorporating the faculty guide’s comments on successive drafts.</w:t>
      </w:r>
    </w:p>
    <w:p>
      <w:pPr>
        <w:numPr>
          <w:ilvl w:val="0"/>
          <w:numId w:val="1"/>
        </w:numPr>
        <w:spacing w:after="80"/>
      </w:pPr>
      <w:r>
        <w:rPr>
          <w:b/>
        </w:rPr>
        <w:t xml:space="preserve">Time management:</w:t>
      </w:r>
      <w:r>
        <w:t xml:space="preserve"> planning work backwards from the submission date and keeping each phase on schedule.</w:t>
      </w:r>
    </w:p>
    <w:p>
      <w:pPr>
        <w:numPr>
          <w:ilvl w:val="0"/>
          <w:numId w:val="1"/>
        </w:numPr>
        <w:spacing w:after="80"/>
      </w:pPr>
      <w:r>
        <w:rPr>
          <w:b/>
        </w:rPr>
        <w:t xml:space="preserve">Curiosity:</w:t>
      </w:r>
      <w:r>
        <w:t xml:space="preserve"> following a practice back to the industry conditions that explain it.</w:t>
      </w:r>
    </w:p>
    <w:p>
      <w:pPr>
        <w:spacing w:after="60" w:line="120" w:lineRule="auto"/>
      </w:pPr>
    </w:p>
    <w:p>
      <w:pPr>
        <w:keepNext/>
        <w:keepLines/>
        <w:spacing w:before="240"/>
        <w:jc w:val="left"/>
      </w:pPr>
      <w:r>
        <w:rPr>
          <w:b/>
          <w:sz w:val="28"/>
          <w:szCs w:val="28"/>
        </w:rPr>
        <w:t xml:space="preserve">4.5  ALIGNMENT WITH ACADEMIC LEARNING</w:t>
      </w:r>
    </w:p>
    <w:p>
      <w:pPr>
        <w:spacing w:after="140"/>
      </w:pPr>
      <w:r>
        <w:t xml:space="preserve">The project served as a practical extension of the subjects studied in the MBA programme. The table below maps each subject to the part of the project in which it was applied.</w:t>
      </w:r>
    </w:p>
    <w:tbl>
      <w:tblPr>
        <w:tblStyle w:val="TableGrid"/>
        <w:tblW w:w="8666" w:type="dxa"/>
        <w:tblInd w:w="0" w:type="dxa"/>
        <w:tblLayout w:type="fixed"/>
        <w:tblCellMar>
          <w:top w:w="60" w:type="dxa"/>
          <w:left w:w="108" w:type="dxa"/>
          <w:bottom w:w="60" w:type="dxa"/>
          <w:right w:w="108" w:type="dxa"/>
        </w:tblCellMar>
        <w:tblLook w:val="04A0" w:firstRow="1" w:lastRow="0" w:firstColumn="1" w:lastColumn="0" w:noHBand="0" w:noVBand="1"/>
      </w:tblPr>
      <w:tblGrid>
        <w:gridCol w:w="3200"/>
        <w:gridCol w:w="5466"/>
      </w:tblGrid>
      <w:tr>
        <w:trPr>
          <w:cantSplit/>
          <w:tblHeader/>
        </w:trPr>
        <w:tc>
          <w:tcPr>
            <w:tcW w:w="3200" w:type="dxa"/>
            <w:vAlign w:val="center"/>
          </w:tcPr>
          <w:p>
            <w:pPr>
              <w:spacing w:before="20" w:after="20" w:line="240" w:lineRule="auto"/>
              <w:jc w:val="center"/>
            </w:pPr>
            <w:r>
              <w:rPr>
                <w:b/>
              </w:rPr>
              <w:t xml:space="preserve">Academic Subject</w:t>
            </w:r>
          </w:p>
        </w:tc>
        <w:tc>
          <w:tcPr>
            <w:tcW w:w="5466" w:type="dxa"/>
            <w:vAlign w:val="center"/>
          </w:tcPr>
          <w:p>
            <w:pPr>
              <w:spacing w:before="20" w:after="20" w:line="240" w:lineRule="auto"/>
              <w:jc w:val="center"/>
            </w:pPr>
            <w:r>
              <w:rPr>
                <w:b/>
              </w:rPr>
              <w:t xml:space="preserve">Project Application</w:t>
            </w:r>
          </w:p>
        </w:tc>
      </w:tr>
      <w:tr>
        <w:trPr>
          <w:cantSplit/>
        </w:trPr>
        <w:tc>
          <w:tcPr>
            <w:tcW w:w="3200" w:type="dxa"/>
            <w:vAlign w:val="center"/>
          </w:tcPr>
          <w:p>
            <w:pPr>
              <w:spacing w:before="20" w:after="20" w:line="240" w:lineRule="auto"/>
              <w:jc w:val="left"/>
            </w:pPr>
            <w:r>
              <w:t xml:space="preserve">Human Resource Management</w:t>
            </w:r>
          </w:p>
        </w:tc>
        <w:tc>
          <w:tcPr>
            <w:tcW w:w="5466" w:type="dxa"/>
            <w:vAlign w:val="center"/>
          </w:tcPr>
          <w:p>
            <w:pPr>
              <w:spacing w:before="20" w:after="20" w:line="240" w:lineRule="auto"/>
              <w:jc w:val="left"/>
            </w:pPr>
            <w:r>
              <w:t xml:space="preserve">The ten-function audit framework: acquisition, development, reward, retention and HR bundles</w:t>
            </w:r>
          </w:p>
        </w:tc>
      </w:tr>
      <w:tr>
        <w:trPr>
          <w:cantSplit/>
        </w:trPr>
        <w:tc>
          <w:tcPr>
            <w:tcW w:w="3200" w:type="dxa"/>
            <w:vAlign w:val="center"/>
          </w:tcPr>
          <w:p>
            <w:pPr>
              <w:spacing w:before="20" w:after="20" w:line="240" w:lineRule="auto"/>
              <w:jc w:val="left"/>
            </w:pPr>
            <w:r>
              <w:t xml:space="preserve">Strategic Human Resource Management</w:t>
            </w:r>
          </w:p>
        </w:tc>
        <w:tc>
          <w:tcPr>
            <w:tcW w:w="5466" w:type="dxa"/>
            <w:vAlign w:val="center"/>
          </w:tcPr>
          <w:p>
            <w:pPr>
              <w:spacing w:before="20" w:after="20" w:line="240" w:lineRule="auto"/>
              <w:jc w:val="left"/>
            </w:pPr>
            <w:r>
              <w:t xml:space="preserve">Alignment of HR practices with business strategy; Harvard model and Ulrich’s HR roles</w:t>
            </w:r>
          </w:p>
        </w:tc>
      </w:tr>
      <w:tr>
        <w:trPr>
          <w:cantSplit/>
        </w:trPr>
        <w:tc>
          <w:tcPr>
            <w:tcW w:w="3200" w:type="dxa"/>
            <w:vAlign w:val="center"/>
          </w:tcPr>
          <w:p>
            <w:pPr>
              <w:spacing w:before="20" w:after="20" w:line="240" w:lineRule="auto"/>
              <w:jc w:val="left"/>
            </w:pPr>
            <w:r>
              <w:t xml:space="preserve">Organisational Behaviour</w:t>
            </w:r>
          </w:p>
        </w:tc>
        <w:tc>
          <w:tcPr>
            <w:tcW w:w="5466" w:type="dxa"/>
            <w:vAlign w:val="center"/>
          </w:tcPr>
          <w:p>
            <w:pPr>
              <w:spacing w:before="20" w:after="20" w:line="240" w:lineRule="auto"/>
              <w:jc w:val="left"/>
            </w:pPr>
            <w:r>
              <w:t xml:space="preserve">Herzberg’s two-factor theory, engagement, culture and the psychological contract</w:t>
            </w:r>
          </w:p>
        </w:tc>
      </w:tr>
      <w:tr>
        <w:trPr>
          <w:cantSplit/>
        </w:trPr>
        <w:tc>
          <w:tcPr>
            <w:tcW w:w="3200" w:type="dxa"/>
            <w:vAlign w:val="center"/>
          </w:tcPr>
          <w:p>
            <w:pPr>
              <w:spacing w:before="20" w:after="20" w:line="240" w:lineRule="auto"/>
              <w:jc w:val="left"/>
            </w:pPr>
            <w:r>
              <w:t xml:space="preserve">Strategic Management</w:t>
            </w:r>
          </w:p>
        </w:tc>
        <w:tc>
          <w:tcPr>
            <w:tcW w:w="5466" w:type="dxa"/>
            <w:vAlign w:val="center"/>
          </w:tcPr>
          <w:p>
            <w:pPr>
              <w:spacing w:before="20" w:after="20" w:line="240" w:lineRule="auto"/>
              <w:jc w:val="left"/>
            </w:pPr>
            <w:r>
              <w:t xml:space="preserve">Resource-based view, SWOT analysis and the link between people and competitive advantage</w:t>
            </w:r>
          </w:p>
        </w:tc>
      </w:tr>
      <w:tr>
        <w:trPr>
          <w:cantSplit/>
        </w:trPr>
        <w:tc>
          <w:tcPr>
            <w:tcW w:w="3200" w:type="dxa"/>
            <w:vAlign w:val="center"/>
          </w:tcPr>
          <w:p>
            <w:pPr>
              <w:spacing w:before="20" w:after="20" w:line="240" w:lineRule="auto"/>
              <w:jc w:val="left"/>
            </w:pPr>
            <w:r>
              <w:t xml:space="preserve">Labour Laws and Industrial Relations</w:t>
            </w:r>
          </w:p>
        </w:tc>
        <w:tc>
          <w:tcPr>
            <w:tcW w:w="5466" w:type="dxa"/>
            <w:vAlign w:val="center"/>
          </w:tcPr>
          <w:p>
            <w:pPr>
              <w:spacing w:before="20" w:after="20" w:line="240" w:lineRule="auto"/>
              <w:jc w:val="left"/>
            </w:pPr>
            <w:r>
              <w:t xml:space="preserve">The four Labour Codes and their different impact on manufacturing and services</w:t>
            </w:r>
          </w:p>
        </w:tc>
      </w:tr>
      <w:tr>
        <w:trPr>
          <w:cantSplit/>
        </w:trPr>
        <w:tc>
          <w:tcPr>
            <w:tcW w:w="3200" w:type="dxa"/>
            <w:vAlign w:val="center"/>
          </w:tcPr>
          <w:p>
            <w:pPr>
              <w:spacing w:before="20" w:after="20" w:line="240" w:lineRule="auto"/>
              <w:jc w:val="left"/>
            </w:pPr>
            <w:r>
              <w:t xml:space="preserve">Business Research Methods</w:t>
            </w:r>
          </w:p>
        </w:tc>
        <w:tc>
          <w:tcPr>
            <w:tcW w:w="5466" w:type="dxa"/>
            <w:vAlign w:val="center"/>
          </w:tcPr>
          <w:p>
            <w:pPr>
              <w:spacing w:before="20" w:after="20" w:line="240" w:lineRule="auto"/>
              <w:jc w:val="left"/>
            </w:pPr>
            <w:r>
              <w:t xml:space="preserve">Comparative research design, secondary data collection, triangulation and limitations</w:t>
            </w:r>
          </w:p>
        </w:tc>
      </w:tr>
      <w:tr>
        <w:trPr>
          <w:cantSplit/>
        </w:trPr>
        <w:tc>
          <w:tcPr>
            <w:tcW w:w="3200" w:type="dxa"/>
            <w:vAlign w:val="center"/>
          </w:tcPr>
          <w:p>
            <w:pPr>
              <w:spacing w:before="20" w:after="20" w:line="240" w:lineRule="auto"/>
              <w:jc w:val="left"/>
            </w:pPr>
            <w:r>
              <w:t xml:space="preserve">Business Communication</w:t>
            </w:r>
          </w:p>
        </w:tc>
        <w:tc>
          <w:tcPr>
            <w:tcW w:w="5466" w:type="dxa"/>
            <w:vAlign w:val="center"/>
          </w:tcPr>
          <w:p>
            <w:pPr>
              <w:spacing w:before="20" w:after="20" w:line="240" w:lineRule="auto"/>
              <w:jc w:val="left"/>
            </w:pPr>
            <w:r>
              <w:t xml:space="preserve">Structured report writing, summary tables and presentation of findings</w:t>
            </w:r>
          </w:p>
        </w:tc>
      </w:tr>
    </w:tbl>
    <w:p>
      <w:pPr>
        <w:spacing w:after="140"/>
      </w:pPr>
    </w:p>
    <w:p>
      <w:pPr>
        <w:spacing w:after="140"/>
      </w:pPr>
      <w:r>
        <w:t xml:space="preserve">The project aligned closely with the first-year MBA (HR) curriculum, and in several places it deepened what I had learned. Coursework taught me frameworks such as AMO and RBV as definitions; the project showed me how they explain the behaviour of real organisations. Coursework presented HR functions separately; the project showed me how they reinforce each other as a system.</w:t>
      </w:r>
    </w:p>
    <w:p>
      <w:pPr>
        <w:spacing w:after="140"/>
      </w:pPr>
      <w:r>
        <w:t xml:space="preserve">Equally, the project exposed the limits of purely secondary research. It told me what companies do and say, but not how employees experience it on a Monday morning. That gap between published practice and lived experience is, in my view, the most important thing I would want to explore through primary research or an organisational role in future.</w:t>
      </w:r>
    </w:p>
    <w:p>
      <w:pPr>
        <w:keepNext/>
        <w:keepLines/>
        <w:spacing w:before="240"/>
        <w:jc w:val="left"/>
      </w:pPr>
      <w:r>
        <w:rPr>
          <w:b/>
          <w:sz w:val="28"/>
          <w:szCs w:val="28"/>
        </w:rPr>
        <w:t xml:space="preserve">4.6  OVERALL REALISATIONS</w:t>
      </w:r>
    </w:p>
    <w:p>
      <w:pPr>
        <w:spacing w:after="140"/>
      </w:pPr>
      <w:r>
        <w:t xml:space="preserve">Good HR is contextual: the same principle, “invest in people”, correctly produces different practices once it is filtered through the economics and risks of a specific industry. Pay is necessary but not sufficient; both organisations surround it with recognition, growth and belonging. Measurement matters: what is measured, such as engagement at Omega, is managed actively, while what is inferred can hide early warning signs. Diversity is shaped by the nature of work, but it is not determined by it; targets and deliberate sourcing can change the baseline. Retention is not a single policy but the sum of many practices pointing the same way. And evidence, not opinion, is what gives an HR recommendation credibility.</w:t>
      </w:r>
    </w:p>
    <w:p>
      <w:pPr>
        <w:keepNext/>
        <w:keepLines/>
        <w:spacing w:before="240"/>
        <w:jc w:val="left"/>
      </w:pPr>
      <w:r>
        <w:rPr>
          <w:b/>
          <w:sz w:val="28"/>
          <w:szCs w:val="28"/>
        </w:rPr>
        <w:t xml:space="preserve">4.7  PROFESSIONAL INSIGHTS AND LEARNINGS</w:t>
      </w:r>
    </w:p>
    <w:p>
      <w:pPr>
        <w:spacing w:after="140"/>
      </w:pPr>
      <w:r>
        <w:t xml:space="preserve">Three insights from the project will stay with me beyond the subject content.</w:t>
      </w:r>
    </w:p>
    <w:p>
      <w:pPr>
        <w:spacing w:after="140"/>
      </w:pPr>
      <w:r>
        <w:t xml:space="preserve">The first concerns the strategic role of HR. In both companies, the HR function is not administering policy but actively shaping the business: at Hyundai by reskilling the workforce for electric vehicles, and at Omega by defeating the attrition that would otherwise undermine client delivery. I now understand HR as a function that is accountable for business outcomes.</w:t>
      </w:r>
    </w:p>
    <w:p>
      <w:pPr>
        <w:spacing w:after="140"/>
      </w:pPr>
      <w:r>
        <w:t xml:space="preserve">The second concerns transferability. The most useful lessons were not the practices themselves but the principles beneath them: recognise contribution promptly, build capability deliberately, listen continuously and make inclusion real. Any organisation can adopt these principles, but each must translate them into forms that fit its own industry.</w:t>
      </w:r>
    </w:p>
    <w:p>
      <w:pPr>
        <w:spacing w:after="140"/>
      </w:pPr>
      <w:r>
        <w:t xml:space="preserve">The third concerns my own career direction. Studying two very different HR systems in depth has strengthened my interest in HR roles that combine analysis with people strategy, such as HR business partnering, talent management and learning and development, where understanding the business is as important as understanding people.</w:t>
      </w:r>
    </w:p>
    <w:p>
      <w:pPr>
        <w:keepNext/>
        <w:keepLines/>
        <w:spacing w:before="240"/>
        <w:jc w:val="left"/>
      </w:pPr>
      <w:r>
        <w:rPr>
          <w:b/>
          <w:sz w:val="28"/>
          <w:szCs w:val="28"/>
        </w:rPr>
        <w:t xml:space="preserve">4.8  RELEVANCE TO FUTURE CAREER</w:t>
      </w:r>
    </w:p>
    <w:p>
      <w:pPr>
        <w:spacing w:after="140"/>
      </w:pPr>
      <w:r>
        <w:t xml:space="preserve">The project has a direct bearing on the professional path I intend to follow. The work of comparing, evaluating and recommending improvements to HR practices is the work of an HR business partner or HR analyst, and completing it has given me confidence that I can approach an organisation’s people system analytically.</w:t>
      </w:r>
    </w:p>
    <w:p>
      <w:pPr>
        <w:spacing w:after="140"/>
      </w:pPr>
      <w:r>
        <w:t xml:space="preserve">It has also shown me the capabilities I need to build: comfort with HR analytics and people data, familiarity with HR technology platforms, a working knowledge of the new Labour Codes, and direct experience of how HR practices are implemented on the ground. Going forward, I intend to build these through professional certification, internships or entry-level HR roles, so that I can gradually take on more strategic responsibilities in the HR field.</w:t>
      </w:r>
    </w:p>
    <w:p>
      <w:pPr>
        <w:spacing w:after="0" w:line="240" w:lineRule="auto"/>
      </w:pPr>
      <w:bookmarkStart w:id="7" w:name="ch4_end"/>
      <w:bookmarkEnd w:id="7"/>
    </w:p>
    <w:p>
      <w:pPr>
        <w:sectPr>
          <w:headerReference w:type="default" r:id="rId14"/>
          <w:footerReference w:type="default" r:id="rId15"/>
          <w:pgSz w:w="11906" w:h="16838"/>
          <w:pgMar w:top="1440" w:right="1440" w:bottom="1440" w:left="1800" w:header="720" w:footer="720" w:gutter="0"/>
          <w:cols w:space="720"/>
          <w:docGrid w:linePitch="360"/>
        </w:sectPr>
      </w:pPr>
    </w:p>
    <w:p>
      <w:pPr>
        <w:spacing w:after="0"/>
      </w:pPr>
      <w:bookmarkStart w:id="8" w:name="ch5_start"/>
      <w:bookmarkEnd w:id="8"/>
    </w:p>
    <w:p>
      <w:pPr>
        <w:spacing w:after="0"/>
      </w:pPr>
    </w:p>
    <w:p>
      <w:pPr>
        <w:spacing w:after="0"/>
      </w:pPr>
    </w:p>
    <w:p>
      <w:pPr>
        <w:spacing w:after="0"/>
      </w:pPr>
    </w:p>
    <w:p>
      <w:pPr>
        <w:spacing w:after="0"/>
      </w:pPr>
    </w:p>
    <w:p>
      <w:pPr>
        <w:spacing w:after="0"/>
      </w:pPr>
    </w:p>
    <w:p>
      <w:pPr>
        <w:spacing w:after="0"/>
      </w:pPr>
    </w:p>
    <w:p>
      <w:pPr>
        <w:spacing w:after="0"/>
      </w:pPr>
    </w:p>
    <w:p>
      <w:pPr>
        <w:spacing w:after="0"/>
      </w:pPr>
    </w:p>
    <w:p>
      <w:pPr>
        <w:spacing w:after="0"/>
      </w:pPr>
    </w:p>
    <w:p>
      <w:pPr>
        <w:spacing w:after="0"/>
      </w:pPr>
    </w:p>
    <w:p>
      <w:pPr>
        <w:spacing w:after="0"/>
      </w:pPr>
    </w:p>
    <w:p>
      <w:pPr>
        <w:spacing w:after="0"/>
      </w:pPr>
    </w:p>
    <w:p>
      <w:pPr>
        <w:spacing w:after="240"/>
        <w:jc w:val="center"/>
      </w:pPr>
      <w:r>
        <w:rPr>
          <w:b/>
          <w:sz w:val="32"/>
          <w:szCs w:val="32"/>
        </w:rPr>
        <w:t xml:space="preserve">CHAPTER  5</w:t>
      </w:r>
    </w:p>
    <w:p>
      <w:pPr>
        <w:spacing w:after="0"/>
        <w:jc w:val="center"/>
      </w:pPr>
      <w:r>
        <w:rPr>
          <w:b/>
          <w:sz w:val="32"/>
          <w:szCs w:val="32"/>
        </w:rPr>
        <w:t>SUMMARY AND CONCLUSION</w:t>
      </w:r>
    </w:p>
    <w:p>
      <w:pPr>
        <w:spacing w:after="0" w:line="240" w:lineRule="auto"/>
      </w:pPr>
      <w:r>
        <w:br w:type="page"/>
      </w:r>
    </w:p>
    <w:p>
      <w:pPr>
        <w:keepNext/>
        <w:keepLines/>
        <w:spacing w:after="240"/>
        <w:jc w:val="center"/>
      </w:pPr>
      <w:r>
        <w:rPr>
          <w:b/>
          <w:sz w:val="28"/>
          <w:szCs w:val="28"/>
        </w:rPr>
        <w:t>5. SUMMARY AND CONCLUSION</w:t>
      </w:r>
    </w:p>
    <w:p>
      <w:pPr>
        <w:keepNext/>
        <w:keepLines/>
        <w:spacing w:before="240"/>
        <w:jc w:val="left"/>
      </w:pPr>
      <w:r>
        <w:rPr>
          <w:b/>
          <w:sz w:val="28"/>
          <w:szCs w:val="28"/>
        </w:rPr>
        <w:t xml:space="preserve">5.1  SUMMARY OF THE PROJECT</w:t>
      </w:r>
    </w:p>
    <w:p>
      <w:pPr>
        <w:spacing w:after="140"/>
      </w:pPr>
      <w:r>
        <w:t xml:space="preserve">This Summer Internship Project took the form of a comparative HR audit of Hyundai Motor India Limited, a capital-intensive automobile manufacturer, and Omega Healthcare Management Services, a people-intensive healthcare revenue cycle management provider. It was carried out from January to June 2026 under faculty guidance, using secondary data from company disclosures, career portals, employer-recognition platforms and reputed HR publications.</w:t>
      </w:r>
    </w:p>
    <w:p>
      <w:pPr>
        <w:spacing w:after="140"/>
      </w:pPr>
      <w:r>
        <w:t xml:space="preserve">The project progressed in a deliberate sequence. It began with the selection of the two organisations and the definition of a theoretical framework drawn from SHRM, the Harvard model, Ulrich’s HR roles, the AMO model, the resource-based view and Herzberg’s two-factor theory. It then examined the industry context of each company, followed by a function-by-function audit of employer branding, recruitment and selection, learning and development, performance management, compensation and benefits, employee engagement, diversity, equity and inclusion, career development, HR technology, and well-being and workplace culture.</w:t>
      </w:r>
    </w:p>
    <w:p>
      <w:pPr>
        <w:spacing w:after="140"/>
      </w:pPr>
      <w:r>
        <w:t xml:space="preserve">The purpose was not to decide which company is “better”, which would be a meaningless comparison across such different businesses, but to understand why their HR practices differ, where they converge, and how the logic of each industry pushes the people function in a particular direction.</w:t>
      </w:r>
    </w:p>
    <w:p>
      <w:pPr>
        <w:keepNext/>
        <w:keepLines/>
        <w:spacing w:before="240"/>
        <w:jc w:val="left"/>
      </w:pPr>
      <w:r>
        <w:rPr>
          <w:b/>
          <w:sz w:val="28"/>
          <w:szCs w:val="28"/>
        </w:rPr>
        <w:t xml:space="preserve">5.2  KEY FINDINGS</w:t>
      </w:r>
    </w:p>
    <w:p>
      <w:pPr>
        <w:keepNext/>
        <w:keepLines/>
        <w:spacing w:before="180" w:after="100"/>
        <w:jc w:val="left"/>
      </w:pPr>
      <w:r>
        <w:rPr>
          <w:b/>
        </w:rPr>
        <w:t xml:space="preserve">5.2.1  Strategic Alignment is Strong in Both</w:t>
      </w:r>
    </w:p>
    <w:p>
      <w:pPr>
        <w:spacing w:after="140"/>
      </w:pPr>
      <w:r>
        <w:t xml:space="preserve">Both organisations operate mature, award-winning HR functions in which people practices are clearly aligned with business strategy. Neither treats HR as a purely administrative function.</w:t>
      </w:r>
    </w:p>
    <w:p>
      <w:pPr>
        <w:keepNext/>
        <w:keepLines/>
        <w:spacing w:before="180" w:after="100"/>
        <w:jc w:val="left"/>
      </w:pPr>
      <w:r>
        <w:rPr>
          <w:b/>
        </w:rPr>
        <w:t xml:space="preserve">5.2.2  The Organising Logic Differs by Industry</w:t>
      </w:r>
    </w:p>
    <w:p>
      <w:pPr>
        <w:spacing w:after="140"/>
      </w:pPr>
      <w:r>
        <w:t xml:space="preserve">Hyundai’s HR system is organised around capability, safety and stability to support engineering quality and the electric-vehicle transition. Omega’s is organised around retention and internal mobility to counter the attrition endemic to healthcare services.</w:t>
      </w:r>
    </w:p>
    <w:p>
      <w:pPr>
        <w:keepNext/>
        <w:keepLines/>
        <w:spacing w:before="180" w:after="100"/>
        <w:jc w:val="left"/>
      </w:pPr>
      <w:r>
        <w:rPr>
          <w:b/>
        </w:rPr>
        <w:t xml:space="preserve">5.2.3  Industry Explains Most Differences</w:t>
      </w:r>
    </w:p>
    <w:p>
      <w:pPr>
        <w:spacing w:after="140"/>
      </w:pPr>
      <w:r>
        <w:t xml:space="preserve">Selective versus high-volume hiring, structural versus quarterly performance management, and learning-focused versus listening-focused HR technology all trace back to the nature of the work, the labour market and the dominant risk of each sector.</w:t>
      </w:r>
    </w:p>
    <w:p>
      <w:pPr>
        <w:keepNext/>
        <w:keepLines/>
        <w:spacing w:before="180" w:after="100"/>
        <w:jc w:val="left"/>
      </w:pPr>
      <w:r>
        <w:rPr>
          <w:b/>
        </w:rPr>
        <w:t xml:space="preserve">5.2.4  DEI Shows the Starkest Gap</w:t>
      </w:r>
    </w:p>
    <w:p>
      <w:pPr>
        <w:spacing w:after="140"/>
      </w:pPr>
      <w:r>
        <w:t xml:space="preserve">Around half of Omega’s workforce is female, against just over 8 per cent of Hyundai’s executive workforce. The gap is largely structural, but both companies are actively working to close it; Hyundai’s new target of 20 per cent women executives by 2030 and a 45 per cent women’s share of its 2026 trainee intake show clear momentum.</w:t>
      </w:r>
    </w:p>
    <w:p>
      <w:pPr>
        <w:keepNext/>
        <w:keepLines/>
        <w:spacing w:before="180" w:after="100"/>
        <w:jc w:val="left"/>
      </w:pPr>
      <w:r>
        <w:rPr>
          <w:b/>
        </w:rPr>
        <w:t xml:space="preserve">5.2.5  Both Have Genuinely Innovative Practices</w:t>
      </w:r>
    </w:p>
    <w:p>
      <w:pPr>
        <w:spacing w:after="140"/>
      </w:pPr>
      <w:r>
        <w:t xml:space="preserve">Omega’s Golden Brick awards, Career Lattice and quarterly merit increases, and Hyundai’s academy system, 3Es learning philosophy and Role-Based Organisation, are distinctive, well-designed practices that each represent transferable good practice for the other and for the wider market.</w:t>
      </w:r>
    </w:p>
    <w:p>
      <w:pPr>
        <w:keepNext/>
        <w:keepLines/>
        <w:spacing w:before="180" w:after="100"/>
        <w:jc w:val="left"/>
      </w:pPr>
      <w:r>
        <w:rPr>
          <w:b/>
        </w:rPr>
        <w:t xml:space="preserve">5.2.6  Convergence on Principles, Divergence on Practice</w:t>
      </w:r>
    </w:p>
    <w:p>
      <w:pPr>
        <w:spacing w:after="140"/>
      </w:pPr>
      <w:r>
        <w:t xml:space="preserve">Beneath the differences, both converge on the same modern principles, namely strategic learning, recognition beyond pay, DEI, continuous well-being and evidence-based employer branding, confirming that these have become cross-industry standards of good HR.</w:t>
      </w:r>
    </w:p>
    <w:p>
      <w:pPr>
        <w:keepNext/>
        <w:keepLines/>
        <w:spacing w:before="240"/>
        <w:jc w:val="left"/>
      </w:pPr>
      <w:r>
        <w:rPr>
          <w:b/>
          <w:sz w:val="28"/>
          <w:szCs w:val="28"/>
        </w:rPr>
        <w:t xml:space="preserve">5.3  LIMITATIONS OF THE STUDY</w:t>
      </w:r>
    </w:p>
    <w:p>
      <w:pPr>
        <w:spacing w:after="140"/>
      </w:pPr>
      <w:r>
        <w:t xml:space="preserve">An honest summary has to record what the study could not do. First, because it relies on published material, it reflects information that each company has chosen to disclose; companies naturally present their people practices favourably, and internal realities may differ. Second, the two organisations disclose at different levels of detail: Hyundai, as a listed company, publishes extensive regulated disclosures, whereas Omega, as a private company, communicates more selectively, which makes like-for-like comparison uneven in places.</w:t>
      </w:r>
    </w:p>
    <w:p>
      <w:pPr>
        <w:spacing w:after="140"/>
      </w:pPr>
      <w:r>
        <w:t xml:space="preserve">Third, the audit captures a point in time; HR practices evolve quickly, and some initiatives described here will have moved on by the time the report is read. Finally, without primary data, the study cannot confirm how practices are experienced by employees. These limitations were managed by triangulating across multiple sources and by focusing on well-established, repeatedly reported practices.</w:t>
      </w:r>
    </w:p>
    <w:p>
      <w:pPr>
        <w:keepNext/>
        <w:keepLines/>
        <w:spacing w:before="240"/>
        <w:jc w:val="left"/>
      </w:pPr>
      <w:r>
        <w:rPr>
          <w:b/>
          <w:sz w:val="28"/>
          <w:szCs w:val="28"/>
        </w:rPr>
        <w:t xml:space="preserve">5.4  RECOMMENDATIONS</w:t>
      </w:r>
    </w:p>
    <w:p>
      <w:pPr>
        <w:keepNext/>
        <w:keepLines/>
        <w:spacing w:before="180" w:after="100"/>
        <w:jc w:val="left"/>
      </w:pPr>
      <w:r>
        <w:rPr>
          <w:b/>
        </w:rPr>
        <w:t xml:space="preserve">5.4.1  Suggestions to Hyundai Motor India</w:t>
      </w:r>
    </w:p>
    <w:p>
      <w:pPr>
        <w:numPr>
          <w:ilvl w:val="0"/>
          <w:numId w:val="1"/>
        </w:numPr>
        <w:spacing w:after="80"/>
      </w:pPr>
      <w:r>
        <w:rPr>
          <w:b/>
        </w:rPr>
        <w:t xml:space="preserve">Measure engagement directly:</w:t>
      </w:r>
      <w:r>
        <w:t xml:space="preserve"> introduce explicit, published engagement measurement, such as an engagement score and eNPS, to complement reliance on attrition data, borrowing from Omega’s continuous-listening approach.</w:t>
      </w:r>
    </w:p>
    <w:p>
      <w:pPr>
        <w:numPr>
          <w:ilvl w:val="0"/>
          <w:numId w:val="1"/>
        </w:numPr>
        <w:spacing w:after="80"/>
      </w:pPr>
      <w:r>
        <w:rPr>
          <w:b/>
        </w:rPr>
        <w:t xml:space="preserve">Widen the well-being agenda:</w:t>
      </w:r>
      <w:r>
        <w:t xml:space="preserve"> broaden well-being beyond physical safety to include structured mental-health and employee-assistance provision.</w:t>
      </w:r>
    </w:p>
    <w:p>
      <w:pPr>
        <w:numPr>
          <w:ilvl w:val="0"/>
          <w:numId w:val="1"/>
        </w:numPr>
        <w:spacing w:after="80"/>
      </w:pPr>
      <w:r>
        <w:rPr>
          <w:b/>
        </w:rPr>
        <w:t xml:space="preserve">Recognise loyalty explicitly:</w:t>
      </w:r>
      <w:r>
        <w:t xml:space="preserve"> celebrate long service more visibly, through a milestone-recognition programme similar to the Golden Brick awards.</w:t>
      </w:r>
    </w:p>
    <w:p>
      <w:pPr>
        <w:numPr>
          <w:ilvl w:val="0"/>
          <w:numId w:val="1"/>
        </w:numPr>
        <w:spacing w:after="80"/>
      </w:pPr>
      <w:r>
        <w:rPr>
          <w:b/>
        </w:rPr>
        <w:t xml:space="preserve">Push harder on gender balance:</w:t>
      </w:r>
      <w:r>
        <w:t xml:space="preserve"> support the 2030 target with flexible working, returner programmes and transparent reporting of progress, building on TrailBlazHER and Samarth.</w:t>
      </w:r>
    </w:p>
    <w:p>
      <w:pPr>
        <w:numPr>
          <w:ilvl w:val="0"/>
          <w:numId w:val="1"/>
        </w:numPr>
        <w:spacing w:after="80"/>
      </w:pPr>
      <w:r>
        <w:rPr>
          <w:b/>
        </w:rPr>
        <w:t xml:space="preserve">Extend learning to the frontline:</w:t>
      </w:r>
      <w:r>
        <w:t xml:space="preserve"> ensure academy-based learning reaches plant and dealership employees as fully as engineers and leaders.</w:t>
      </w:r>
    </w:p>
    <w:p>
      <w:pPr>
        <w:spacing w:after="60" w:line="120" w:lineRule="auto"/>
      </w:pPr>
    </w:p>
    <w:p>
      <w:pPr>
        <w:keepNext/>
        <w:keepLines/>
        <w:spacing w:before="180" w:after="100"/>
        <w:jc w:val="left"/>
      </w:pPr>
      <w:r>
        <w:rPr>
          <w:b/>
        </w:rPr>
        <w:t xml:space="preserve">5.4.2  Suggestions to Omega Healthcare</w:t>
      </w:r>
    </w:p>
    <w:p>
      <w:pPr>
        <w:numPr>
          <w:ilvl w:val="0"/>
          <w:numId w:val="1"/>
        </w:numPr>
        <w:spacing w:after="80"/>
      </w:pPr>
      <w:r>
        <w:rPr>
          <w:b/>
        </w:rPr>
        <w:t xml:space="preserve">Formalise learning credentials:</w:t>
      </w:r>
      <w:r>
        <w:t xml:space="preserve"> deepen external academic and certification partnerships, as Hyundai has with the IITs, IIMs and XLRI, to add portable credentials to internal learning.</w:t>
      </w:r>
    </w:p>
    <w:p>
      <w:pPr>
        <w:numPr>
          <w:ilvl w:val="0"/>
          <w:numId w:val="1"/>
        </w:numPr>
        <w:spacing w:after="80"/>
      </w:pPr>
      <w:r>
        <w:rPr>
          <w:b/>
        </w:rPr>
        <w:t xml:space="preserve">Add assessment rigour:</w:t>
      </w:r>
      <w:r>
        <w:t xml:space="preserve"> complement quarterly rewards with structured capability-and-potential assessment, so that progression reflects potential as well as recent output.</w:t>
      </w:r>
    </w:p>
    <w:p>
      <w:pPr>
        <w:numPr>
          <w:ilvl w:val="0"/>
          <w:numId w:val="1"/>
        </w:numPr>
        <w:spacing w:after="80"/>
      </w:pPr>
      <w:r>
        <w:rPr>
          <w:b/>
        </w:rPr>
        <w:t xml:space="preserve">Underpin the lattice with skills mapping:</w:t>
      </w:r>
      <w:r>
        <w:t xml:space="preserve"> map the Career Lattice against a clear competency framework so that lateral moves are consistently developmental.</w:t>
      </w:r>
    </w:p>
    <w:p>
      <w:pPr>
        <w:numPr>
          <w:ilvl w:val="0"/>
          <w:numId w:val="1"/>
        </w:numPr>
        <w:spacing w:after="80"/>
      </w:pPr>
      <w:r>
        <w:rPr>
          <w:b/>
        </w:rPr>
        <w:t xml:space="preserve">Convert parity into leadership parity:</w:t>
      </w:r>
      <w:r>
        <w:t xml:space="preserve"> track and publish the progression rate of women into senior management.</w:t>
      </w:r>
    </w:p>
    <w:p>
      <w:pPr>
        <w:numPr>
          <w:ilvl w:val="0"/>
          <w:numId w:val="1"/>
        </w:numPr>
        <w:spacing w:after="80"/>
      </w:pPr>
      <w:r>
        <w:rPr>
          <w:b/>
        </w:rPr>
        <w:t xml:space="preserve">Keep people analytics ethical:</w:t>
      </w:r>
      <w:r>
        <w:t xml:space="preserve"> govern AI-based sentiment tools transparently, communicating clearly how listening data is used.</w:t>
      </w:r>
    </w:p>
    <w:p>
      <w:pPr>
        <w:spacing w:after="60" w:line="120" w:lineRule="auto"/>
      </w:pPr>
    </w:p>
    <w:p>
      <w:pPr>
        <w:keepNext/>
        <w:keepLines/>
        <w:spacing w:before="180" w:after="100"/>
        <w:jc w:val="left"/>
      </w:pPr>
      <w:r>
        <w:rPr>
          <w:b/>
        </w:rPr>
        <w:t xml:space="preserve">5.4.3  A Shared Lesson for HR Practitioners</w:t>
      </w:r>
    </w:p>
    <w:p>
      <w:pPr>
        <w:spacing w:after="140"/>
      </w:pPr>
      <w:r>
        <w:t xml:space="preserve">The overarching recommendation for any HR practitioner is to resist importing “best practices” wholesale. The practices that make Omega excellent would not all work on Hyundai’s assembly line, and vice versa. What travels is the principle beneath the practice, which each organisation must translate into forms that fit its own industry, workforce and risk profile.</w:t>
      </w:r>
    </w:p>
    <w:p>
      <w:pPr>
        <w:keepNext/>
        <w:keepLines/>
        <w:spacing w:before="240"/>
        <w:jc w:val="left"/>
      </w:pPr>
      <w:r>
        <w:rPr>
          <w:b/>
          <w:sz w:val="28"/>
          <w:szCs w:val="28"/>
        </w:rPr>
        <w:t xml:space="preserve">5.5  PERSONAL REFLECTION</w:t>
      </w:r>
    </w:p>
    <w:p>
      <w:pPr>
        <w:spacing w:after="140"/>
      </w:pPr>
      <w:r>
        <w:t xml:space="preserve">On a personal level, the project asked for a kind of discipline that coursework rarely tests. Without the structure of an office, a supervisor or fixed working hours, the pace of the work depended entirely on me. There were weeks when the evidence for one company was plentiful and for the other was thin, and the only useful response was to keep searching, record what I found and be honest about what I could not find.</w:t>
      </w:r>
    </w:p>
    <w:p>
      <w:pPr>
        <w:spacing w:after="140"/>
      </w:pPr>
      <w:r>
        <w:t xml:space="preserve">What changed over the six months was less my knowledge of HR than my way of thinking about it. I began the project looking for the better company and ended it looking for the better explanation. That shift, from judging practices to understanding them, is the most durable thing I take away from the project.</w:t>
      </w:r>
    </w:p>
    <w:p>
      <w:pPr>
        <w:keepNext/>
        <w:keepLines/>
        <w:spacing w:before="240"/>
        <w:jc w:val="left"/>
      </w:pPr>
      <w:r>
        <w:rPr>
          <w:b/>
          <w:sz w:val="28"/>
          <w:szCs w:val="28"/>
        </w:rPr>
        <w:t xml:space="preserve">5.6  CONCLUSION</w:t>
      </w:r>
    </w:p>
    <w:p>
      <w:pPr>
        <w:spacing w:after="140"/>
      </w:pPr>
      <w:r>
        <w:t xml:space="preserve">This comparative HR audit set out to examine how strategic HR practices differ across two organisations from very different industry sectors, and to explain why. The evidence across ten HR functions supports a clear conclusion: both Hyundai Motor India and Omega Healthcare run sophisticated, strategically aligned HR functions, but each has designed its people practices around the specific demands of its industry.</w:t>
      </w:r>
    </w:p>
    <w:p>
      <w:pPr>
        <w:spacing w:after="140"/>
      </w:pPr>
      <w:r>
        <w:t xml:space="preserve">Hyundai’s HR architecture is that of a modern manufacturer preparing for technological disruption, built on selective hiring, academy-based learning, a role-based approach to performance and progression, and a culture in which safety and stability are the foundation of well-being. Omega’s HR architecture is that of a people-intensive services provider determined to defeat the attrition that defines its sector, built on inclusive high-volume recruitment, contextual learning, high-frequency reward and recognition, a lattice rather than a ladder for careers, and an actively measured approach to engagement and well-being.</w:t>
      </w:r>
    </w:p>
    <w:p>
      <w:pPr>
        <w:spacing w:after="140"/>
      </w:pPr>
      <w:r>
        <w:t xml:space="preserve">These differences are not signs that one company is more advanced than the other; they are rational, well-judged responses to different competitive and human realities. Where the companies converge, we can be reasonably confident we are looking at durable good practice; where they diverge, we are looking at intelligent adaptation.</w:t>
      </w:r>
    </w:p>
    <w:p>
      <w:pPr>
        <w:spacing w:after="140"/>
      </w:pPr>
      <w:r>
        <w:t xml:space="preserve">In conclusion, the project achieved what a Summer Internship Project is intended to achieve. It connected the MBA curriculum to the practices of real organisations, it developed my research and analytical skills, and it clarified my career direction towards strategic HR. For a student of human resource management, the central lesson is simple: excellent HR is never generic. It is the disciplined application of sound principles to the particular circumstances of a business.</w:t>
      </w:r>
    </w:p>
    <w:p>
      <w:pPr>
        <w:spacing w:after="0" w:line="240" w:lineRule="auto"/>
      </w:pPr>
      <w:bookmarkStart w:id="9" w:name="ch5_end"/>
      <w:bookmarkEnd w:id="9"/>
    </w:p>
    <w:p>
      <w:pPr>
        <w:sectPr>
          <w:headerReference w:type="default" r:id="rId16"/>
          <w:footerReference w:type="default" r:id="rId17"/>
          <w:pgSz w:w="11906" w:h="16838"/>
          <w:pgMar w:top="1440" w:right="1440" w:bottom="1440" w:left="1800" w:header="720" w:footer="720" w:gutter="0"/>
          <w:cols w:space="720"/>
          <w:docGrid w:linePitch="360"/>
        </w:sectPr>
      </w:pPr>
    </w:p>
    <w:p>
      <w:pPr>
        <w:spacing w:after="0"/>
      </w:pPr>
      <w:bookmarkStart w:id="10" w:name="ch6_start"/>
      <w:bookmarkEnd w:id="10"/>
    </w:p>
    <w:p>
      <w:pPr>
        <w:spacing w:after="0"/>
      </w:pPr>
    </w:p>
    <w:p>
      <w:pPr>
        <w:spacing w:after="0"/>
      </w:pPr>
    </w:p>
    <w:p>
      <w:pPr>
        <w:spacing w:after="0"/>
      </w:pPr>
    </w:p>
    <w:p>
      <w:pPr>
        <w:spacing w:after="0"/>
      </w:pPr>
    </w:p>
    <w:p>
      <w:pPr>
        <w:spacing w:after="0"/>
      </w:pPr>
    </w:p>
    <w:p>
      <w:pPr>
        <w:spacing w:after="0"/>
      </w:pPr>
    </w:p>
    <w:p>
      <w:pPr>
        <w:spacing w:after="0"/>
      </w:pPr>
    </w:p>
    <w:p>
      <w:pPr>
        <w:spacing w:after="0"/>
      </w:pPr>
    </w:p>
    <w:p>
      <w:pPr>
        <w:spacing w:after="0"/>
      </w:pPr>
    </w:p>
    <w:p>
      <w:pPr>
        <w:spacing w:after="0"/>
      </w:pPr>
    </w:p>
    <w:p>
      <w:pPr>
        <w:spacing w:after="0"/>
      </w:pPr>
    </w:p>
    <w:p>
      <w:pPr>
        <w:spacing w:after="0"/>
      </w:pPr>
    </w:p>
    <w:p>
      <w:pPr>
        <w:spacing w:after="0"/>
      </w:pPr>
    </w:p>
    <w:p>
      <w:pPr>
        <w:spacing w:after="0"/>
        <w:jc w:val="center"/>
      </w:pPr>
      <w:r>
        <w:rPr>
          <w:b/>
          <w:sz w:val="32"/>
          <w:szCs w:val="32"/>
        </w:rPr>
        <w:t>REFERENCES</w:t>
      </w:r>
    </w:p>
    <w:p>
      <w:pPr>
        <w:spacing w:after="0" w:line="240" w:lineRule="auto"/>
      </w:pPr>
      <w:r>
        <w:br w:type="page"/>
      </w:r>
    </w:p>
    <w:p>
      <w:pPr>
        <w:keepNext/>
        <w:keepLines/>
        <w:spacing w:after="240"/>
        <w:jc w:val="center"/>
      </w:pPr>
      <w:r>
        <w:rPr>
          <w:b/>
          <w:sz w:val="28"/>
          <w:szCs w:val="28"/>
        </w:rPr>
        <w:t>REFERENCES</w:t>
      </w:r>
    </w:p>
    <w:p>
      <w:pPr>
        <w:numPr>
          <w:ilvl w:val="0"/>
          <w:numId w:val="1"/>
        </w:numPr>
        <w:spacing w:after="80"/>
        <w:jc w:val="left"/>
      </w:pPr>
      <w:r>
        <w:t xml:space="preserve">Appelbaum, E., Bailey, T., Berg, P., &amp; Kalleberg, A. L. (2000). Manufacturing advantage: Why high-performance work systems pay off. Cornell University Press.</w:t>
      </w:r>
    </w:p>
    <w:p>
      <w:pPr>
        <w:numPr>
          <w:ilvl w:val="0"/>
          <w:numId w:val="1"/>
        </w:numPr>
        <w:spacing w:after="80"/>
        <w:jc w:val="left"/>
      </w:pPr>
      <w:r>
        <w:t xml:space="preserve">Armstrong, M., &amp; Taylor, S. (2023). Armstrong’s handbook of human resource management practice (16th ed.). Kogan Page.</w:t>
      </w:r>
    </w:p>
    <w:p>
      <w:pPr>
        <w:numPr>
          <w:ilvl w:val="0"/>
          <w:numId w:val="1"/>
        </w:numPr>
        <w:spacing w:after="80"/>
        <w:jc w:val="left"/>
      </w:pPr>
      <w:r>
        <w:t xml:space="preserve">Barney, J. (1991). Firm resources and sustained competitive advantage. Journal of Management, 17(1), 99-120.</w:t>
      </w:r>
    </w:p>
    <w:p>
      <w:pPr>
        <w:numPr>
          <w:ilvl w:val="0"/>
          <w:numId w:val="1"/>
        </w:numPr>
        <w:spacing w:after="80"/>
        <w:jc w:val="left"/>
      </w:pPr>
      <w:r>
        <w:t xml:space="preserve">Beer, M., Spector, B., Lawrence, P. R., Mills, D. Q., &amp; Walton, R. E. (1984). Managing human assets. Free Press.</w:t>
      </w:r>
    </w:p>
    <w:p>
      <w:pPr>
        <w:numPr>
          <w:ilvl w:val="0"/>
          <w:numId w:val="1"/>
        </w:numPr>
        <w:spacing w:after="80"/>
        <w:jc w:val="left"/>
      </w:pPr>
      <w:r>
        <w:t xml:space="preserve">BusinessWorld. (2026). India auto sales hit record 2.83 crore units in FY26: SIAM. Retrieved September 2026, from https://www.businessworld.in/article/india-auto-sales-hit-record-2-83-cr-units-in-fy26-siam-602222</w:t>
      </w:r>
    </w:p>
    <w:p>
      <w:pPr>
        <w:numPr>
          <w:ilvl w:val="0"/>
          <w:numId w:val="1"/>
        </w:numPr>
        <w:spacing w:after="80"/>
        <w:jc w:val="left"/>
      </w:pPr>
      <w:r>
        <w:t xml:space="preserve">BW People. (2026). Hyundai Motors is transforming HR practices for role-based organisational excellence. Retrieved September 2026, from https://www.bwpeople.in/article/hyundai-motors-is-transforming-hr-practices-for-role-based-organisational-excellence-477611</w:t>
      </w:r>
    </w:p>
    <w:p>
      <w:pPr>
        <w:numPr>
          <w:ilvl w:val="0"/>
          <w:numId w:val="1"/>
        </w:numPr>
        <w:spacing w:after="80"/>
        <w:jc w:val="left"/>
      </w:pPr>
      <w:r>
        <w:t xml:space="preserve">Climate Policy Initiative. (2026). Driving jobs, economic growth, and climate action: The role of clean mobility in India. Retrieved September 2026, from https://www.climatepolicyinitiative.org/publication/driving-jobs-economic-growth-and-climate-action-the-role-of-clean-mobility-in-india/</w:t>
      </w:r>
    </w:p>
    <w:p>
      <w:pPr>
        <w:numPr>
          <w:ilvl w:val="0"/>
          <w:numId w:val="1"/>
        </w:numPr>
        <w:spacing w:after="80"/>
        <w:jc w:val="left"/>
      </w:pPr>
      <w:r>
        <w:t xml:space="preserve">ETAuto. (2026). Auto Inc sets new benchmark in FY26 with record 28mn units. The Economic Times. Retrieved September 2026, from https://auto.economictimes.indiatimes.com/news/industry/auto-sales-hit-7-year-high-in-fy26-as-all-segments-fire-siam/130255853</w:t>
      </w:r>
    </w:p>
    <w:p>
      <w:pPr>
        <w:numPr>
          <w:ilvl w:val="0"/>
          <w:numId w:val="1"/>
        </w:numPr>
        <w:spacing w:after="80"/>
        <w:jc w:val="left"/>
      </w:pPr>
      <w:r>
        <w:t xml:space="preserve">ETHRWorld. (2023). How Hyundai Motor India implemented the role-based organisation structure. The Economic Times. Retrieved September 2026, from https://hr.economictimes.indiatimes.com/news/hrtech/organization-development/how-hyundai-motor-india-implemented-the-role-based-organisation-structure/102154344</w:t>
      </w:r>
    </w:p>
    <w:p>
      <w:pPr>
        <w:numPr>
          <w:ilvl w:val="0"/>
          <w:numId w:val="1"/>
        </w:numPr>
        <w:spacing w:after="80"/>
        <w:jc w:val="left"/>
      </w:pPr>
      <w:r>
        <w:t xml:space="preserve">ETHRWorld. (2026). Hyundai Motor India trains nearly 50,000 people in FY26 as it ramps up leadership and future-skills investment. The Economic Times. Retrieved September 2026, from https://hr.economictimes.indiatimes.com/news/workplace-4-0/learning-and-development/hyundai-motor-india-trains-nearly-50000-people-in-fy26-as-it-ramps-up-leadership-future-skills-investment/132923199</w:t>
      </w:r>
    </w:p>
    <w:p>
      <w:pPr>
        <w:numPr>
          <w:ilvl w:val="0"/>
          <w:numId w:val="1"/>
        </w:numPr>
        <w:spacing w:after="80"/>
        <w:jc w:val="left"/>
      </w:pPr>
      <w:r>
        <w:t xml:space="preserve">Healthcare IT Today. (2026, July 23). AI and automation are reshaping revenue cycle management. Retrieved September 2026, from https://www.healthcareittoday.com/2026/07/23/ai-and-automation-are-reshaping-revenue-cycle-management/</w:t>
      </w:r>
    </w:p>
    <w:p>
      <w:pPr>
        <w:numPr>
          <w:ilvl w:val="0"/>
          <w:numId w:val="1"/>
        </w:numPr>
        <w:spacing w:after="80"/>
        <w:jc w:val="left"/>
      </w:pPr>
      <w:r>
        <w:t xml:space="preserve">Herzberg, F. (1968). One more time: How do you motivate employees? Harvard Business Review, 46(1), 53-62.</w:t>
      </w:r>
    </w:p>
    <w:p>
      <w:pPr>
        <w:numPr>
          <w:ilvl w:val="0"/>
          <w:numId w:val="1"/>
        </w:numPr>
        <w:spacing w:after="80"/>
        <w:jc w:val="left"/>
      </w:pPr>
      <w:r>
        <w:t xml:space="preserve">HRKatha. (n.d.). The golden brick strategy: How this firm defies healthcare’s churn culture. Retrieved September 2026, from https://www.hrkatha.com/</w:t>
      </w:r>
    </w:p>
    <w:p>
      <w:pPr>
        <w:numPr>
          <w:ilvl w:val="0"/>
          <w:numId w:val="1"/>
        </w:numPr>
        <w:spacing w:after="80"/>
        <w:jc w:val="left"/>
      </w:pPr>
      <w:r>
        <w:t xml:space="preserve">Hyundai Motor India Limited. (2025a, October 1). Intimation of commencement of passenger vehicle production at Talegaon plant. Retrieved September 2026, from https://org1.hyundai.com/content/dam/hyundai/in/en/data/investor-relations/annoucements/commence-production-vehiclelist.pdf</w:t>
      </w:r>
    </w:p>
    <w:p>
      <w:pPr>
        <w:numPr>
          <w:ilvl w:val="0"/>
          <w:numId w:val="1"/>
        </w:numPr>
        <w:spacing w:after="80"/>
        <w:jc w:val="left"/>
      </w:pPr>
      <w:r>
        <w:t xml:space="preserve">Hyundai Motor India Limited. (2025b). Integrated annual report 2024-25 and Business Responsibility and Sustainability Report. Retrieved September 2026, from https://www.hyundai.com/content/dam/hyundai/in/en/data/investor-relations/annual-report/annual-report2024-25.pdf</w:t>
      </w:r>
    </w:p>
    <w:p>
      <w:pPr>
        <w:numPr>
          <w:ilvl w:val="0"/>
          <w:numId w:val="1"/>
        </w:numPr>
        <w:spacing w:after="80"/>
        <w:jc w:val="left"/>
      </w:pPr>
      <w:r>
        <w:t xml:space="preserve">Hyundai Motor India Limited. (2026a, May 6). Hyundai Motor celebrates 30 glorious years in India. Retrieved September 2026, from https://www.hyundai.com/in/en/hyundai-story/media-center/press-release/hmil-celebrates-30-glorious-years-in-india</w:t>
      </w:r>
    </w:p>
    <w:p>
      <w:pPr>
        <w:numPr>
          <w:ilvl w:val="0"/>
          <w:numId w:val="1"/>
        </w:numPr>
        <w:spacing w:after="80"/>
        <w:jc w:val="left"/>
      </w:pPr>
      <w:r>
        <w:t xml:space="preserve">Hyundai Motor India Limited. (2026b, September 7). Hyundai Motor India targets 20 percent women workforce by 2030. Retrieved September 2026, from https://www.hyundai.com/in/en/hyundai-story/media-center/press-release/hmil-targets-20-percent-women-workforce-by-2030</w:t>
      </w:r>
    </w:p>
    <w:p>
      <w:pPr>
        <w:numPr>
          <w:ilvl w:val="0"/>
          <w:numId w:val="1"/>
        </w:numPr>
        <w:spacing w:after="80"/>
        <w:jc w:val="left"/>
      </w:pPr>
      <w:r>
        <w:t xml:space="preserve">Hyundai Motor India Limited. (2026c). Hyundai Motor India named Top Employer in India for the 3rd consecutive year. Retrieved September 2026, from https://www.hyundai.com/in/en/hyundai-story/media-center/press-release/top-employer-in-india-for-the-3rd-consecutive-year</w:t>
      </w:r>
    </w:p>
    <w:p>
      <w:pPr>
        <w:numPr>
          <w:ilvl w:val="0"/>
          <w:numId w:val="1"/>
        </w:numPr>
        <w:spacing w:after="80"/>
        <w:jc w:val="left"/>
      </w:pPr>
      <w:r>
        <w:t xml:space="preserve">IJPREMS. (n.d.). A study on factors affecting employee attrition in the IT/BPO sector. International Journal of Progressive Research in Engineering Management and Science. Retrieved September 2026, from https://www.ijprems.com/ijprems-paper/a-study-on-factors-affecting-employee-attrition-in-the-itbpo-sector</w:t>
      </w:r>
    </w:p>
    <w:p>
      <w:pPr>
        <w:numPr>
          <w:ilvl w:val="0"/>
          <w:numId w:val="1"/>
        </w:numPr>
        <w:spacing w:after="80"/>
        <w:jc w:val="left"/>
      </w:pPr>
      <w:r>
        <w:t xml:space="preserve">IMARC Group. (n.d.). India revenue cycle management market size, share and report, 2034. Retrieved September 2026, from https://www.imarcgroup.com/india-revenue-cycle-management-market</w:t>
      </w:r>
    </w:p>
    <w:p>
      <w:pPr>
        <w:numPr>
          <w:ilvl w:val="0"/>
          <w:numId w:val="1"/>
        </w:numPr>
        <w:spacing w:after="80"/>
        <w:jc w:val="left"/>
      </w:pPr>
      <w:r>
        <w:t xml:space="preserve">Mihup. (2026). AI in BPO operations: Guide and vendors (India 2026). Retrieved September 2026, from https://mihup.ai/blog/ai-in-bpo-operations-india</w:t>
      </w:r>
    </w:p>
    <w:p>
      <w:pPr>
        <w:numPr>
          <w:ilvl w:val="0"/>
          <w:numId w:val="1"/>
        </w:numPr>
        <w:spacing w:after="80"/>
        <w:jc w:val="left"/>
      </w:pPr>
      <w:r>
        <w:t xml:space="preserve">Omega Healthcare Management Services. (2024). Omega Healthcare recognized as the “Most Preferred Workplace for Women 2024-2025”. Retrieved September 2026, from https://www.omegahms.com/newsroom/omega-healthcare-recognized-as-the-most-preferred-workplace-for-women-2024-2025/</w:t>
      </w:r>
    </w:p>
    <w:p>
      <w:pPr>
        <w:numPr>
          <w:ilvl w:val="0"/>
          <w:numId w:val="1"/>
        </w:numPr>
        <w:spacing w:after="80"/>
        <w:jc w:val="left"/>
      </w:pPr>
      <w:r>
        <w:t xml:space="preserve">Omega Healthcare Management Services. (2026a). Omega Healthcare named a Leader and the only Star Performer in the Everest Group RCM Operations PEAK Matrix Assessment. Retrieved September 2026, from https://www.omegahms.com/newsroom/omega-healthcare-named-a-leader-and-the-only-star-performer-in-the-everest-group-revenue-cycle-management-rcm-intelligent-operations-peak-matrix-assessment/</w:t>
      </w:r>
    </w:p>
    <w:p>
      <w:pPr>
        <w:numPr>
          <w:ilvl w:val="0"/>
          <w:numId w:val="1"/>
        </w:numPr>
        <w:spacing w:after="80"/>
        <w:jc w:val="left"/>
      </w:pPr>
      <w:r>
        <w:t xml:space="preserve">Omega Healthcare Management Services. (2026b). Omega Healthcare wins 2026 Best in KLAS award for Ambulatory RCM Services. Retrieved September 2026, from https://www.omegahms.com/newsroom/omega-healthcare-wins-2026-best-in-klas-award-for-ambulatory-rcm-services-ehr-agnostic/</w:t>
      </w:r>
    </w:p>
    <w:p>
      <w:pPr>
        <w:numPr>
          <w:ilvl w:val="0"/>
          <w:numId w:val="1"/>
        </w:numPr>
        <w:spacing w:after="80"/>
        <w:jc w:val="left"/>
      </w:pPr>
      <w:r>
        <w:t xml:space="preserve">Omega Healthcare Management Services. (n.d.-a). Executive leadership team. Retrieved September 2026, from https://www.omegahms.com/about/executive-leadership-team/</w:t>
      </w:r>
    </w:p>
    <w:p>
      <w:pPr>
        <w:numPr>
          <w:ilvl w:val="0"/>
          <w:numId w:val="1"/>
        </w:numPr>
        <w:spacing w:after="80"/>
        <w:jc w:val="left"/>
      </w:pPr>
      <w:r>
        <w:t xml:space="preserve">Omega Healthcare Management Services. (n.d.-b). Omega Healthcare recognized by Invest in Bogotá for excellence in people practices. Retrieved September 2026, from https://www.omegahms.com/newsroom/omega-healthcare-honored-by-invest-in-bogota-for-outstanding-commitment-to-best-people-practices-talent-growth-and-inclusive-excellence/</w:t>
      </w:r>
    </w:p>
    <w:p>
      <w:pPr>
        <w:numPr>
          <w:ilvl w:val="0"/>
          <w:numId w:val="1"/>
        </w:numPr>
        <w:spacing w:after="80"/>
        <w:jc w:val="left"/>
      </w:pPr>
      <w:r>
        <w:t xml:space="preserve">Omega Healthcare Management Services. (n.d.-c). Careers India and Life at Omega Healthcare. Retrieved September 2026, from https://www.omegahms.com/careers-india/</w:t>
      </w:r>
    </w:p>
    <w:p>
      <w:pPr>
        <w:numPr>
          <w:ilvl w:val="0"/>
          <w:numId w:val="1"/>
        </w:numPr>
        <w:spacing w:after="80"/>
        <w:jc w:val="left"/>
      </w:pPr>
      <w:r>
        <w:t xml:space="preserve">Outsource Accelerator. (2026a). U.S. hospitals to outsource more RCM to India. Retrieved September 2026, from https://news.outsourceaccelerator.com/us-hospitals-rcm-india/</w:t>
      </w:r>
    </w:p>
    <w:p>
      <w:pPr>
        <w:numPr>
          <w:ilvl w:val="0"/>
          <w:numId w:val="1"/>
        </w:numPr>
        <w:spacing w:after="80"/>
        <w:jc w:val="left"/>
      </w:pPr>
      <w:r>
        <w:t xml:space="preserve">Outsource Accelerator. (2026b). Global tech growth outpaces India in Q4 2025: Nasscom report. Retrieved September 2026, from https://news.outsourceaccelerator.com/global-tech-growth-outpaces-india/</w:t>
      </w:r>
    </w:p>
    <w:p>
      <w:pPr>
        <w:numPr>
          <w:ilvl w:val="0"/>
          <w:numId w:val="1"/>
        </w:numPr>
        <w:spacing w:after="80"/>
        <w:jc w:val="left"/>
      </w:pPr>
      <w:r>
        <w:t xml:space="preserve">People Matters. (n.d.-a). Hyundai Motor’s Charles Walter shares the 3Es of impactful workplace learning. Retrieved September 2026, from https://www.peoplematters.in/</w:t>
      </w:r>
    </w:p>
    <w:p>
      <w:pPr>
        <w:numPr>
          <w:ilvl w:val="0"/>
          <w:numId w:val="1"/>
        </w:numPr>
        <w:spacing w:after="80"/>
        <w:jc w:val="left"/>
      </w:pPr>
      <w:r>
        <w:t xml:space="preserve">People Matters. (n.d.-b). World EV Day: The toughest EV upgrade? Mindsets, says Hyundai HR chief. Retrieved September 2026, from https://www.peoplematters.in/</w:t>
      </w:r>
    </w:p>
    <w:p>
      <w:pPr>
        <w:numPr>
          <w:ilvl w:val="0"/>
          <w:numId w:val="1"/>
        </w:numPr>
        <w:spacing w:after="80"/>
        <w:jc w:val="left"/>
      </w:pPr>
      <w:r>
        <w:t xml:space="preserve">People Matters. (n.d.-c). Employee well-being is not just a priority, it’s a way of life: Hyundai Motor India’s Charles Walter. Retrieved September 2026, from https://sea.peoplemattersglobal.com/article/employee-engagement/employee-wellbeing-not-just-priority-its-a-way-of-life-hyundai-motor-indias-charles-walter-32654</w:t>
      </w:r>
    </w:p>
    <w:p>
      <w:pPr>
        <w:numPr>
          <w:ilvl w:val="0"/>
          <w:numId w:val="1"/>
        </w:numPr>
        <w:spacing w:after="80"/>
        <w:jc w:val="left"/>
      </w:pPr>
      <w:r>
        <w:t xml:space="preserve">People Matters. (n.d.-d). Building careers, not just jobs: Dr. Guruvayurappan PV on talent, education and lifelong learning. Retrieved September 2026, from https://www.peoplematters.in/</w:t>
      </w:r>
    </w:p>
    <w:p>
      <w:pPr>
        <w:numPr>
          <w:ilvl w:val="0"/>
          <w:numId w:val="1"/>
        </w:numPr>
        <w:spacing w:after="80"/>
        <w:jc w:val="left"/>
      </w:pPr>
      <w:r>
        <w:t xml:space="preserve">Press Information Bureau. (2025, November 21). Government of India announces implementation of four Labour Codes. Retrieved September 2026, from https://labour.tn.gov.in/pdf/PressRelease.pdf</w:t>
      </w:r>
    </w:p>
    <w:p>
      <w:pPr>
        <w:numPr>
          <w:ilvl w:val="0"/>
          <w:numId w:val="1"/>
        </w:numPr>
        <w:spacing w:after="80"/>
        <w:jc w:val="left"/>
      </w:pPr>
      <w:r>
        <w:t xml:space="preserve">Rousseau, D. M. (1995). Psychological contracts in organizations: Understanding written and unwritten agreements. Sage.</w:t>
      </w:r>
    </w:p>
    <w:p>
      <w:pPr>
        <w:numPr>
          <w:ilvl w:val="0"/>
          <w:numId w:val="1"/>
        </w:numPr>
        <w:spacing w:after="80"/>
        <w:jc w:val="left"/>
      </w:pPr>
      <w:r>
        <w:t xml:space="preserve">Society of Indian Automobile Manufacturers. (n.d.). Economic contribution of the automobile industry. Retrieved September 2026, from https://www.siam.in/knowledge/industry-data/economic-contribution</w:t>
      </w:r>
    </w:p>
    <w:p>
      <w:pPr>
        <w:numPr>
          <w:ilvl w:val="0"/>
          <w:numId w:val="1"/>
        </w:numPr>
        <w:spacing w:after="80"/>
        <w:jc w:val="left"/>
      </w:pPr>
      <w:r>
        <w:t xml:space="preserve">The Hindu. (2025, November 21). Centre notifies four new Labour Codes. Retrieved September 2026, from https://www.thehindu.com/business/Economy/labour-laws-passed-by-parliament-in-2020-comes-into-effect-today/article70307091.ece</w:t>
      </w:r>
    </w:p>
    <w:p>
      <w:pPr>
        <w:numPr>
          <w:ilvl w:val="0"/>
          <w:numId w:val="1"/>
        </w:numPr>
        <w:spacing w:after="80"/>
        <w:jc w:val="left"/>
      </w:pPr>
      <w:r>
        <w:t xml:space="preserve">The Hindu. (2026, September 7). Hyundai Motor India to increase women executive workforce from 8% to 20% by 2030. Retrieved September 2026, from https://www.thehindu.com/business/Industry/hyundai-motor-india-to-increase-women-executive-workforce-from-8-to-20-by-2030/article71437854.ece</w:t>
      </w:r>
    </w:p>
    <w:p>
      <w:pPr>
        <w:numPr>
          <w:ilvl w:val="0"/>
          <w:numId w:val="1"/>
        </w:numPr>
        <w:spacing w:after="80"/>
        <w:jc w:val="left"/>
      </w:pPr>
      <w:r>
        <w:t xml:space="preserve">Ulrich, D. (1997). Human resource champions: The next agenda for adding value and delivering results. Harvard Business School Press.</w:t>
      </w:r>
      <w:bookmarkStart w:id="11" w:name="ch6_end"/>
      <w:bookmarkEnd w:id="11"/>
    </w:p>
    <w:sectPr>
      <w:headerReference w:type="default" r:id="rId18"/>
      <w:footerReference w:type="default" r:id="rId19"/>
      <w:pgSz w:w="11906" w:h="16838"/>
      <w:pgMar w:top="1440" w:right="144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CF14F3" w14:textId="77777777" w:rsidR="007840E4" w:rsidRDefault="007840E4">
      <w:pPr>
        <w:spacing w:after="0" w:line="240" w:lineRule="auto"/>
      </w:pPr>
      <w:r>
        <w:separator/>
      </w:r>
    </w:p>
  </w:endnote>
  <w:endnote w:type="continuationSeparator" w:id="0">
    <w:p w14:paraId="6A870831" w14:textId="77777777" w:rsidR="007840E4" w:rsidRDefault="007840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7D1CA" w14:textId="77777777" w:rsidR="00234C41" w:rsidRDefault="00000000">
    <w:pPr>
      <w:pBdr>
        <w:top w:val="single" w:sz="12" w:space="1" w:color="5B9BD5"/>
      </w:pBdr>
      <w:tabs>
        <w:tab w:val="right" w:pos="8666"/>
      </w:tabs>
      <w:spacing w:after="0" w:line="240" w:lineRule="auto"/>
      <w:jc w:val="left"/>
    </w:pPr>
    <w:r>
      <w:t>SUMMER INTERNSHIP PROJECT</w:t>
    </w:r>
    <w:r>
      <w:tab/>
    </w:r>
    <w:r>
      <w:fldChar w:fldCharType="begin"/>
    </w:r>
    <w:r>
      <w:instrText xml:space="preserve"> PAGE   \* MERGEFORMAT </w:instrText>
    </w:r>
    <w:r>
      <w:fldChar w:fldCharType="separate"/>
    </w:r>
    <w:r>
      <w:rPr>
        <w:noProof/>
      </w:rPr>
      <w:t>1</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05615" w14:textId="77777777" w:rsidR="00234C41" w:rsidRDefault="00000000">
    <w:pPr>
      <w:pBdr>
        <w:top w:val="single" w:sz="12" w:space="1" w:color="5B9BD5"/>
      </w:pBdr>
      <w:tabs>
        <w:tab w:val="right" w:pos="8666"/>
      </w:tabs>
      <w:spacing w:after="0" w:line="240" w:lineRule="auto"/>
      <w:jc w:val="left"/>
    </w:pPr>
    <w:r>
      <w:t>SUMMER INTERNSHIP PROJECT</w:t>
    </w:r>
    <w:r>
      <w:tab/>
    </w:r>
    <w:r>
      <w:fldChar w:fldCharType="begin"/>
    </w:r>
    <w:r>
      <w:instrText xml:space="preserve"> PAGE   \* MERGEFORMAT </w:instrText>
    </w:r>
    <w:r>
      <w:fldChar w:fldCharType="separate"/>
    </w:r>
    <w:r>
      <w:rPr>
        <w:noProof/>
      </w:rPr>
      <w:t>1</w:t>
    </w:r>
    <w:r>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D1F7A" w14:textId="77777777" w:rsidR="00234C41" w:rsidRDefault="00000000">
    <w:pPr>
      <w:pBdr>
        <w:top w:val="single" w:sz="12" w:space="1" w:color="5B9BD5"/>
      </w:pBdr>
      <w:tabs>
        <w:tab w:val="right" w:pos="8666"/>
      </w:tabs>
      <w:spacing w:after="0" w:line="240" w:lineRule="auto"/>
      <w:jc w:val="left"/>
    </w:pPr>
    <w:r>
      <w:t>SUMMER INTERNSHIP PROJECT</w:t>
    </w:r>
    <w:r>
      <w:tab/>
    </w:r>
    <w:r>
      <w:fldChar w:fldCharType="begin"/>
    </w:r>
    <w:r>
      <w:instrText xml:space="preserve"> PAGE   \* MERGEFORMAT </w:instrText>
    </w:r>
    <w:r>
      <w:fldChar w:fldCharType="separate"/>
    </w:r>
    <w:r>
      <w:rPr>
        <w:noProof/>
      </w:rPr>
      <w:t>1</w:t>
    </w:r>
    <w:r>
      <w:rPr>
        <w:noProof/>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1D352" w14:textId="77777777" w:rsidR="00234C41" w:rsidRDefault="00000000">
    <w:pPr>
      <w:pBdr>
        <w:top w:val="single" w:sz="12" w:space="1" w:color="5B9BD5"/>
      </w:pBdr>
      <w:tabs>
        <w:tab w:val="right" w:pos="8666"/>
      </w:tabs>
      <w:spacing w:after="0" w:line="240" w:lineRule="auto"/>
      <w:jc w:val="left"/>
    </w:pPr>
    <w:r>
      <w:t>SUMMER INTERNSHIP PROJECT</w:t>
    </w:r>
    <w:r>
      <w:tab/>
    </w:r>
    <w:r>
      <w:fldChar w:fldCharType="begin"/>
    </w:r>
    <w:r>
      <w:instrText xml:space="preserve"> PAGE   \* MERGEFORMAT </w:instrText>
    </w:r>
    <w:r>
      <w:fldChar w:fldCharType="separate"/>
    </w:r>
    <w:r>
      <w:rPr>
        <w:noProof/>
      </w:rPr>
      <w:t>1</w:t>
    </w:r>
    <w:r>
      <w:rPr>
        <w:noProof/>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F47163" w14:textId="77777777" w:rsidR="00234C41" w:rsidRDefault="00000000">
    <w:pPr>
      <w:pBdr>
        <w:top w:val="single" w:sz="12" w:space="1" w:color="5B9BD5"/>
      </w:pBdr>
      <w:tabs>
        <w:tab w:val="right" w:pos="8666"/>
      </w:tabs>
      <w:spacing w:after="0" w:line="240" w:lineRule="auto"/>
      <w:jc w:val="left"/>
    </w:pPr>
    <w:r>
      <w:t>SUMMER INTERNSHIP PROJECT</w:t>
    </w:r>
    <w:r>
      <w:tab/>
    </w:r>
    <w:r>
      <w:fldChar w:fldCharType="begin"/>
    </w:r>
    <w:r>
      <w:instrText xml:space="preserve"> PAGE   \* MERGEFORMAT </w:instrText>
    </w:r>
    <w:r>
      <w:fldChar w:fldCharType="separate"/>
    </w:r>
    <w:r>
      <w:rPr>
        <w:noProof/>
      </w:rPr>
      <w:t>1</w:t>
    </w:r>
    <w:r>
      <w:rPr>
        <w:noProof/>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1FE62" w14:textId="77777777" w:rsidR="00234C41" w:rsidRDefault="00000000">
    <w:pPr>
      <w:pBdr>
        <w:top w:val="single" w:sz="12" w:space="1" w:color="5B9BD5"/>
      </w:pBdr>
      <w:tabs>
        <w:tab w:val="right" w:pos="8666"/>
      </w:tabs>
      <w:spacing w:after="0" w:line="240" w:lineRule="auto"/>
      <w:jc w:val="left"/>
    </w:pPr>
    <w:r>
      <w:t>SUMMER INTERNSHIP PROJECT</w:t>
    </w:r>
    <w:r>
      <w:tab/>
    </w: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D5BAD5" w14:textId="77777777" w:rsidR="007840E4" w:rsidRDefault="007840E4">
      <w:pPr>
        <w:spacing w:after="0" w:line="240" w:lineRule="auto"/>
      </w:pPr>
      <w:r>
        <w:separator/>
      </w:r>
    </w:p>
  </w:footnote>
  <w:footnote w:type="continuationSeparator" w:id="0">
    <w:p w14:paraId="061F77E0" w14:textId="77777777" w:rsidR="007840E4" w:rsidRDefault="007840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E5157" w14:textId="77777777" w:rsidR="00234C41" w:rsidRDefault="00000000">
    <w:pPr>
      <w:pBdr>
        <w:bottom w:val="single" w:sz="6" w:space="1" w:color="5B9BD5"/>
      </w:pBdr>
      <w:tabs>
        <w:tab w:val="right" w:pos="8666"/>
      </w:tabs>
      <w:spacing w:after="0" w:line="240" w:lineRule="auto"/>
      <w:jc w:val="left"/>
    </w:pPr>
    <w:r>
      <w:rPr>
        <w:b/>
      </w:rPr>
      <w:t>CHAPTER 1</w:t>
    </w:r>
    <w:r>
      <w:tab/>
    </w:r>
    <w:r>
      <w:rPr>
        <w:b/>
      </w:rPr>
      <w:t>INDUSTRY AND COMPANY OVERVIEW</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85B624" w14:textId="77777777" w:rsidR="00234C41" w:rsidRDefault="00000000">
    <w:pPr>
      <w:pBdr>
        <w:bottom w:val="single" w:sz="6" w:space="1" w:color="5B9BD5"/>
      </w:pBdr>
      <w:tabs>
        <w:tab w:val="right" w:pos="8666"/>
      </w:tabs>
      <w:spacing w:after="0" w:line="240" w:lineRule="auto"/>
      <w:jc w:val="left"/>
    </w:pPr>
    <w:r>
      <w:rPr>
        <w:b/>
      </w:rPr>
      <w:t>CHAPTER 2</w:t>
    </w:r>
    <w:r>
      <w:tab/>
    </w:r>
    <w:r>
      <w:rPr>
        <w:b/>
      </w:rPr>
      <w:t>PROJECT DESCRIPTION AND METHODOLOGY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63EBE" w14:textId="77777777" w:rsidR="00234C41" w:rsidRDefault="00000000">
    <w:pPr>
      <w:pBdr>
        <w:bottom w:val="single" w:sz="6" w:space="1" w:color="5B9BD5"/>
      </w:pBdr>
      <w:tabs>
        <w:tab w:val="right" w:pos="8666"/>
      </w:tabs>
      <w:spacing w:after="0" w:line="240" w:lineRule="auto"/>
      <w:jc w:val="left"/>
    </w:pPr>
    <w:r>
      <w:rPr>
        <w:b/>
      </w:rPr>
      <w:t>CHAPTER 3</w:t>
    </w:r>
    <w:r>
      <w:tab/>
    </w:r>
    <w:r>
      <w:rPr>
        <w:b/>
      </w:rPr>
      <w:t>COMPARATIVE HR AUDIT AND ANALYSIS</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82F62" w14:textId="77777777" w:rsidR="00234C41" w:rsidRDefault="00000000">
    <w:pPr>
      <w:pBdr>
        <w:bottom w:val="single" w:sz="6" w:space="1" w:color="5B9BD5"/>
      </w:pBdr>
      <w:tabs>
        <w:tab w:val="right" w:pos="8666"/>
      </w:tabs>
      <w:spacing w:after="0" w:line="240" w:lineRule="auto"/>
      <w:jc w:val="left"/>
    </w:pPr>
    <w:r>
      <w:rPr>
        <w:b/>
      </w:rPr>
      <w:t>CHAPTER 4</w:t>
    </w:r>
    <w:r>
      <w:tab/>
    </w:r>
    <w:r>
      <w:rPr>
        <w:b/>
      </w:rPr>
      <w:t>LEARNING OUTCOMES</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5D9777" w14:textId="77777777" w:rsidR="00234C41" w:rsidRDefault="00000000">
    <w:pPr>
      <w:pBdr>
        <w:bottom w:val="single" w:sz="6" w:space="1" w:color="5B9BD5"/>
      </w:pBdr>
      <w:tabs>
        <w:tab w:val="right" w:pos="8666"/>
      </w:tabs>
      <w:spacing w:after="0" w:line="240" w:lineRule="auto"/>
      <w:jc w:val="left"/>
    </w:pPr>
    <w:r>
      <w:rPr>
        <w:b/>
      </w:rPr>
      <w:t>CHAPTER 5</w:t>
    </w:r>
    <w:r>
      <w:tab/>
    </w:r>
    <w:r>
      <w:rPr>
        <w:b/>
      </w:rPr>
      <w:t>SUMMARY AND CONCLUSION</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A6EC0" w14:textId="77777777" w:rsidR="00234C41" w:rsidRDefault="00000000">
    <w:pPr>
      <w:pBdr>
        <w:bottom w:val="single" w:sz="6" w:space="1" w:color="5B9BD5"/>
      </w:pBdr>
      <w:tabs>
        <w:tab w:val="right" w:pos="8666"/>
      </w:tabs>
      <w:spacing w:after="0" w:line="240" w:lineRule="auto"/>
      <w:jc w:val="left"/>
    </w:pPr>
    <w:r>
      <w:tab/>
    </w:r>
    <w:r>
      <w:rPr>
        <w:b/>
      </w:rPr>
      <w:t>REFERENCES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6140DE"/>
    <w:multiLevelType w:val="hybridMultilevel"/>
    <w:tmpl w:val="33E40E96"/>
    <w:lvl w:ilvl="0" w:tplc="12BE7D64">
      <w:start w:val="1"/>
      <w:numFmt w:val="bullet"/>
      <w:lvlText w:val="•"/>
      <w:lvlJc w:val="left"/>
      <w:pPr>
        <w:ind w:left="720" w:hanging="360"/>
      </w:pPr>
      <w:rPr>
        <w:rFonts w:ascii="Times New Roman" w:hAnsi="Times New Roman" w:hint="default"/>
      </w:rPr>
    </w:lvl>
    <w:lvl w:ilvl="1" w:tplc="CF441C32">
      <w:start w:val="1"/>
      <w:numFmt w:val="bullet"/>
      <w:lvlText w:val="○"/>
      <w:lvlJc w:val="left"/>
      <w:pPr>
        <w:ind w:left="1080" w:hanging="360"/>
      </w:pPr>
      <w:rPr>
        <w:rFonts w:ascii="Times New Roman" w:hAnsi="Times New Roman" w:hint="default"/>
      </w:rPr>
    </w:lvl>
    <w:lvl w:ilvl="2" w:tplc="F93E8A62">
      <w:start w:val="1"/>
      <w:numFmt w:val="bullet"/>
      <w:lvlText w:val="▪"/>
      <w:lvlJc w:val="left"/>
      <w:pPr>
        <w:ind w:left="1440" w:hanging="360"/>
      </w:pPr>
      <w:rPr>
        <w:rFonts w:ascii="Times New Roman" w:hAnsi="Times New Roman" w:hint="default"/>
      </w:rPr>
    </w:lvl>
    <w:lvl w:ilvl="3" w:tplc="38600B2C">
      <w:numFmt w:val="decimal"/>
      <w:lvlText w:val=""/>
      <w:lvlJc w:val="left"/>
    </w:lvl>
    <w:lvl w:ilvl="4" w:tplc="D2AA3B12">
      <w:numFmt w:val="decimal"/>
      <w:lvlText w:val=""/>
      <w:lvlJc w:val="left"/>
    </w:lvl>
    <w:lvl w:ilvl="5" w:tplc="80B2BD64">
      <w:numFmt w:val="decimal"/>
      <w:lvlText w:val=""/>
      <w:lvlJc w:val="left"/>
    </w:lvl>
    <w:lvl w:ilvl="6" w:tplc="25C094C2">
      <w:numFmt w:val="decimal"/>
      <w:lvlText w:val=""/>
      <w:lvlJc w:val="left"/>
    </w:lvl>
    <w:lvl w:ilvl="7" w:tplc="852456F0">
      <w:numFmt w:val="decimal"/>
      <w:lvlText w:val=""/>
      <w:lvlJc w:val="left"/>
    </w:lvl>
    <w:lvl w:ilvl="8" w:tplc="9D44DA3E">
      <w:numFmt w:val="decimal"/>
      <w:lvlText w:val=""/>
      <w:lvlJc w:val="left"/>
    </w:lvl>
  </w:abstractNum>
  <w:num w:numId="1" w16cid:durableId="9419113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4C41"/>
    <w:rsid w:val="00000BA8"/>
    <w:rsid w:val="00007D8C"/>
    <w:rsid w:val="00234C41"/>
    <w:rsid w:val="003556CB"/>
    <w:rsid w:val="00360AA7"/>
    <w:rsid w:val="0054191E"/>
    <w:rsid w:val="00560819"/>
    <w:rsid w:val="0066055C"/>
    <w:rsid w:val="007840E4"/>
    <w:rsid w:val="0087113E"/>
    <w:rsid w:val="008F5D65"/>
    <w:rsid w:val="00943473"/>
    <w:rsid w:val="00C96770"/>
    <w:rsid w:val="00CB035C"/>
    <w:rsid w:val="00E32F77"/>
    <w:rsid w:val="00EF0679"/>
    <w:rsid w:val="00F57AC2"/>
    <w:rsid w:val="00F94D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0B15D3"/>
  <w15:docId w15:val="{7F6E0F4F-103B-464A-BD0E-F7CFF48151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pPr>
        <w:spacing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pPr>
      <w:ind w:left="720"/>
      <w:contextualSpacing/>
    </w:pPr>
  </w:style>
  <w:style w:type="table" w:styleId="TableGrid">
    <w:name w:val="Table Grid"/>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0" w:type="dxa"/>
        <w:bottom w:w="0" w:type="dxa"/>
        <w:right w:w="0" w:type="dxa"/>
      </w:tblCellMar>
    </w:tblPr>
  </w:style>
  <w:style w:type="character" w:styleId="Hyperlink">
    <w:name w:val="Hyperlink"/>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header" Target="header3.xml"/><Relationship Id="rId17" Type="http://schemas.openxmlformats.org/officeDocument/2006/relationships/footer" Target="footer5.xml"/><Relationship Id="rId2" Type="http://schemas.openxmlformats.org/officeDocument/2006/relationships/styles" Target="styles.xml"/><Relationship Id="rId16" Type="http://schemas.openxmlformats.org/officeDocument/2006/relationships/header" Target="header5.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header" Target="header2.xml"/><Relationship Id="rId19"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63</Pages>
  <Words>15165</Words>
  <Characters>85282</Characters>
  <Application>Microsoft Office Word</Application>
  <DocSecurity>0</DocSecurity>
  <Lines>710</Lines>
  <Paragraphs>200</Paragraphs>
  <ScaleCrop>false</ScaleCrop>
  <HeadingPairs>
    <vt:vector size="2" baseType="variant">
      <vt:variant>
        <vt:lpstr>Title</vt:lpstr>
      </vt:variant>
      <vt:variant>
        <vt:i4>1</vt:i4>
      </vt:variant>
    </vt:vector>
  </HeadingPairs>
  <TitlesOfParts>
    <vt:vector size="1" baseType="lpstr">
      <vt:lpstr>SIP Report 2026 - Comparative HR Audit - Deva N</vt:lpstr>
    </vt:vector>
  </TitlesOfParts>
  <Company/>
  <LinksUpToDate>false</LinksUpToDate>
  <CharactersWithSpaces>100043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SIP Report 2026 - Comparative HR Audit - Deva N</dc:title>
  <dc:creator>Deva N</dc:creator>
  <cp:lastModifiedBy>Deva N</cp:lastModifiedBy>
  <cp:revision>1</cp:revision>
  <dcterms:created xsi:type="dcterms:W3CDTF">2026-09-28T09:00:00Z</dcterms:created>
  <dcterms:modified xsi:type="dcterms:W3CDTF">2026-09-28T09:00:00Z</dcterms:modified>
</cp:coreProperties>
</file>