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120" w:line="360" w:lineRule="auto"/>
        <w:jc w:val="center"/>
      </w:pPr>
      <w:r>
        <w:rPr>
          <w:rFonts w:ascii="Times New Roman" w:hAnsi="Times New Roman" w:eastAsia="Times New Roman"/>
          <w:b/>
          <w:i w:val="0"/>
          <w:sz w:val="26"/>
        </w:rPr>
        <w:t>A PROJECT REPORT ON</w:t>
      </w:r>
    </w:p>
    <w:p>
      <w:pPr>
        <w:spacing w:after="80" w:before="0" w:line="360" w:lineRule="auto"/>
        <w:jc w:val="center"/>
      </w:pPr>
      <w:r>
        <w:rPr>
          <w:rFonts w:ascii="Times New Roman" w:hAnsi="Times New Roman" w:eastAsia="Times New Roman"/>
          <w:b/>
          <w:i w:val="0"/>
          <w:color w:val="1F3864"/>
          <w:sz w:val="34"/>
        </w:rPr>
        <w:t>STRATEGIC HUMAN RESOURCE PRACTICES AT HYUNDAI MOTOR INDIA LIMITED:</w:t>
      </w:r>
    </w:p>
    <w:p>
      <w:pPr>
        <w:spacing w:after="320" w:before="0" w:line="360" w:lineRule="auto"/>
        <w:jc w:val="center"/>
      </w:pPr>
      <w:r>
        <w:rPr>
          <w:rFonts w:ascii="Times New Roman" w:hAnsi="Times New Roman" w:eastAsia="Times New Roman"/>
          <w:b/>
          <w:i w:val="0"/>
          <w:color w:val="1F3864"/>
          <w:sz w:val="34"/>
        </w:rPr>
        <w:t>AN ANALYTICAL STUDY OF HR IN THE AUTOMOBILE SECTOR</w:t>
      </w:r>
    </w:p>
    <w:p>
      <w:pPr>
        <w:spacing w:after="520" w:before="0" w:line="360" w:lineRule="auto"/>
        <w:jc w:val="center"/>
      </w:pPr>
      <w:r>
        <w:rPr>
          <w:rFonts w:ascii="Times New Roman" w:hAnsi="Times New Roman" w:eastAsia="Times New Roman"/>
          <w:b w:val="0"/>
          <w:i/>
          <w:sz w:val="26"/>
        </w:rPr>
        <w:t>An evaluation of the people practices of a leading automobile manufacturer and their contribution to organisational goals</w:t>
      </w:r>
    </w:p>
    <w:p>
      <w:pPr>
        <w:spacing w:after="80" w:before="0" w:line="360" w:lineRule="auto"/>
        <w:jc w:val="center"/>
      </w:pPr>
      <w:r>
        <w:rPr>
          <w:rFonts w:ascii="Times New Roman" w:hAnsi="Times New Roman" w:eastAsia="Times New Roman"/>
          <w:b w:val="0"/>
          <w:i w:val="0"/>
          <w:sz w:val="24"/>
        </w:rPr>
        <w:t>Submitted in partial fulfilment of the requirements for the award of the degree of</w:t>
      </w:r>
    </w:p>
    <w:p>
      <w:pPr>
        <w:spacing w:after="520" w:before="0" w:line="360" w:lineRule="auto"/>
        <w:jc w:val="center"/>
      </w:pPr>
      <w:r>
        <w:rPr>
          <w:rFonts w:ascii="Times New Roman" w:hAnsi="Times New Roman" w:eastAsia="Times New Roman"/>
          <w:b/>
          <w:i w:val="0"/>
          <w:sz w:val="26"/>
        </w:rPr>
        <w:t>Master of Business Administration (MBA) – Human Resource Management</w:t>
      </w:r>
    </w:p>
    <w:p>
      <w:pPr>
        <w:spacing w:after="600" w:before="0" w:line="360" w:lineRule="auto"/>
        <w:jc w:val="center"/>
      </w:pPr>
      <w:r>
        <w:rPr>
          <w:rFonts w:ascii="Times New Roman" w:hAnsi="Times New Roman" w:eastAsia="Times New Roman"/>
          <w:b/>
          <w:i w:val="0"/>
          <w:sz w:val="24"/>
        </w:rPr>
        <w:t>Research / Reporting Period: January – June 2026</w:t>
      </w:r>
    </w:p>
    <w:p>
      <w:pPr>
        <w:spacing w:after="40" w:before="0" w:line="360" w:lineRule="auto"/>
        <w:jc w:val="center"/>
      </w:pPr>
      <w:r>
        <w:rPr>
          <w:rFonts w:ascii="Times New Roman" w:hAnsi="Times New Roman" w:eastAsia="Times New Roman"/>
          <w:b w:val="0"/>
          <w:i w:val="0"/>
          <w:sz w:val="24"/>
        </w:rPr>
        <w:t>Submitted by</w:t>
      </w:r>
    </w:p>
    <w:p>
      <w:pPr>
        <w:spacing w:after="40" w:before="0" w:line="360" w:lineRule="auto"/>
        <w:jc w:val="center"/>
      </w:pPr>
      <w:r>
        <w:rPr>
          <w:rFonts w:ascii="Times New Roman" w:hAnsi="Times New Roman" w:eastAsia="Times New Roman"/>
          <w:b/>
          <w:i w:val="0"/>
          <w:sz w:val="26"/>
        </w:rPr>
        <w:t>[Student Name]</w:t>
      </w:r>
    </w:p>
    <w:p>
      <w:pPr>
        <w:spacing w:after="400" w:before="0" w:line="360" w:lineRule="auto"/>
        <w:jc w:val="center"/>
      </w:pPr>
      <w:r>
        <w:rPr>
          <w:rFonts w:ascii="Times New Roman" w:hAnsi="Times New Roman" w:eastAsia="Times New Roman"/>
          <w:b w:val="0"/>
          <w:i w:val="0"/>
          <w:sz w:val="24"/>
        </w:rPr>
        <w:t>Register / Roll No.: [__________]</w:t>
      </w:r>
    </w:p>
    <w:p>
      <w:pPr>
        <w:spacing w:after="40" w:before="0" w:line="360" w:lineRule="auto"/>
        <w:jc w:val="center"/>
      </w:pPr>
      <w:r>
        <w:rPr>
          <w:rFonts w:ascii="Times New Roman" w:hAnsi="Times New Roman" w:eastAsia="Times New Roman"/>
          <w:b w:val="0"/>
          <w:i w:val="0"/>
          <w:sz w:val="24"/>
        </w:rPr>
        <w:t>Under the guidance of</w:t>
      </w:r>
    </w:p>
    <w:p>
      <w:pPr>
        <w:spacing w:after="520" w:before="0" w:line="360" w:lineRule="auto"/>
        <w:jc w:val="center"/>
      </w:pPr>
      <w:r>
        <w:rPr>
          <w:rFonts w:ascii="Times New Roman" w:hAnsi="Times New Roman" w:eastAsia="Times New Roman"/>
          <w:b/>
          <w:i w:val="0"/>
          <w:sz w:val="26"/>
        </w:rPr>
        <w:t>[Faculty Guide Name], [Designation]</w:t>
      </w:r>
    </w:p>
    <w:p>
      <w:pPr>
        <w:spacing w:after="40" w:before="0" w:line="360" w:lineRule="auto"/>
        <w:jc w:val="center"/>
      </w:pPr>
      <w:r>
        <w:rPr>
          <w:rFonts w:ascii="Times New Roman" w:hAnsi="Times New Roman" w:eastAsia="Times New Roman"/>
          <w:b/>
          <w:i w:val="0"/>
          <w:sz w:val="26"/>
        </w:rPr>
        <w:t>[Name of the College / Institute]</w:t>
      </w:r>
    </w:p>
    <w:p>
      <w:pPr>
        <w:spacing w:after="40" w:before="0" w:line="360" w:lineRule="auto"/>
        <w:jc w:val="center"/>
      </w:pPr>
      <w:r>
        <w:rPr>
          <w:rFonts w:ascii="Times New Roman" w:hAnsi="Times New Roman" w:eastAsia="Times New Roman"/>
          <w:b w:val="0"/>
          <w:i w:val="0"/>
          <w:sz w:val="24"/>
        </w:rPr>
        <w:t>[Affiliated University]</w:t>
      </w:r>
    </w:p>
    <w:p>
      <w:pPr>
        <w:spacing w:after="120" w:before="0" w:line="360" w:lineRule="auto"/>
        <w:jc w:val="center"/>
      </w:pPr>
      <w:r>
        <w:rPr>
          <w:rFonts w:ascii="Times New Roman" w:hAnsi="Times New Roman" w:eastAsia="Times New Roman"/>
          <w:b w:val="0"/>
          <w:i w:val="0"/>
          <w:sz w:val="24"/>
        </w:rPr>
        <w:t>Academic Year 2025 – 2026</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Declaration</w:t>
      </w:r>
    </w:p>
    <w:p>
      <w:pPr>
        <w:spacing w:after="120" w:before="0" w:line="360" w:lineRule="auto"/>
        <w:jc w:val="both"/>
      </w:pPr>
      <w:r>
        <w:rPr>
          <w:rFonts w:ascii="Times New Roman" w:hAnsi="Times New Roman" w:eastAsia="Times New Roman"/>
          <w:b w:val="0"/>
          <w:i w:val="0"/>
          <w:sz w:val="24"/>
        </w:rPr>
        <w:t>I hereby declare that this project report titled “Strategic Human Resource Practices at Hyundai Motor India Limited: An Analytical Study of HR in the Automobile Sector” is the result of my own work carried out during the period January to June 2026. The study is based entirely on secondary data drawn from publicly available sources such as the company’s annual and integrated reports, its Business Responsibility and Sustainability Report, corporate and career web pages, and reputed business and human-resource publications.</w:t>
      </w:r>
    </w:p>
    <w:p>
      <w:pPr>
        <w:spacing w:after="120" w:before="0" w:line="360" w:lineRule="auto"/>
        <w:jc w:val="both"/>
      </w:pPr>
      <w:r>
        <w:rPr>
          <w:rFonts w:ascii="Times New Roman" w:hAnsi="Times New Roman" w:eastAsia="Times New Roman"/>
          <w:b w:val="0"/>
          <w:i w:val="0"/>
          <w:sz w:val="24"/>
        </w:rPr>
        <w:t>This work has not been submitted earlier, in part or in full, for the award of any degree or diploma of this or any other university. Wherever the work of others has been referred to, it has been duly acknowledged in the text and listed in the references.</w:t>
      </w:r>
    </w:p>
    <w:p>
      <w:pPr>
        <w:spacing w:after="120" w:before="0" w:line="360" w:lineRule="auto"/>
        <w:jc w:val="both"/>
      </w:pPr>
    </w:p>
    <w:p>
      <w:pPr>
        <w:spacing w:after="40" w:before="0" w:line="360" w:lineRule="auto"/>
        <w:jc w:val="both"/>
      </w:pPr>
      <w:r>
        <w:rPr>
          <w:rFonts w:ascii="Times New Roman" w:hAnsi="Times New Roman" w:eastAsia="Times New Roman"/>
          <w:b w:val="0"/>
          <w:i w:val="0"/>
          <w:sz w:val="24"/>
        </w:rPr>
        <w:t>Place: [City]</w:t>
      </w:r>
    </w:p>
    <w:p>
      <w:pPr>
        <w:spacing w:after="360" w:before="0" w:line="360" w:lineRule="auto"/>
        <w:jc w:val="both"/>
      </w:pPr>
      <w:r>
        <w:rPr>
          <w:rFonts w:ascii="Times New Roman" w:hAnsi="Times New Roman" w:eastAsia="Times New Roman"/>
          <w:b w:val="0"/>
          <w:i w:val="0"/>
          <w:sz w:val="24"/>
        </w:rPr>
        <w:t>Date:  [DD/MM/2026]</w:t>
      </w:r>
    </w:p>
    <w:p>
      <w:pPr>
        <w:spacing w:after="0" w:before="0" w:line="360" w:lineRule="auto"/>
        <w:jc w:val="right"/>
      </w:pPr>
      <w:r>
        <w:rPr>
          <w:rFonts w:ascii="Times New Roman" w:hAnsi="Times New Roman" w:eastAsia="Times New Roman"/>
          <w:b/>
          <w:i w:val="0"/>
          <w:sz w:val="24"/>
        </w:rPr>
        <w:t>[Student Name]</w:t>
      </w:r>
    </w:p>
    <w:p>
      <w:pPr>
        <w:spacing w:after="120" w:before="0" w:line="360" w:lineRule="auto"/>
        <w:jc w:val="right"/>
      </w:pPr>
      <w:r>
        <w:rPr>
          <w:rFonts w:ascii="Times New Roman" w:hAnsi="Times New Roman" w:eastAsia="Times New Roman"/>
          <w:b w:val="0"/>
          <w:i/>
          <w:sz w:val="24"/>
        </w:rPr>
        <w:t>(Signature)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Acknowledgement</w:t>
      </w:r>
    </w:p>
    <w:p>
      <w:pPr>
        <w:spacing w:after="120" w:before="0" w:line="360" w:lineRule="auto"/>
        <w:jc w:val="both"/>
      </w:pPr>
      <w:r>
        <w:rPr>
          <w:rFonts w:ascii="Times New Roman" w:hAnsi="Times New Roman" w:eastAsia="Times New Roman"/>
          <w:b w:val="0"/>
          <w:i w:val="0"/>
          <w:sz w:val="24"/>
        </w:rPr>
        <w:t>I would like to place on record my sincere gratitude to everyone who supported me in completing this study. My deepest thanks go to my faculty guide, [Faculty Guide Name], whose thoughtful direction and steady encouragement helped me move from simply collecting information about Hyundai to genuinely analysing why its HR practices take the shape they do.</w:t>
      </w:r>
    </w:p>
    <w:p>
      <w:pPr>
        <w:spacing w:after="120" w:before="0" w:line="360" w:lineRule="auto"/>
        <w:jc w:val="both"/>
      </w:pPr>
      <w:r>
        <w:rPr>
          <w:rFonts w:ascii="Times New Roman" w:hAnsi="Times New Roman" w:eastAsia="Times New Roman"/>
          <w:b w:val="0"/>
          <w:i w:val="0"/>
          <w:sz w:val="24"/>
        </w:rPr>
        <w:t>I am also grateful to the Head of the Department and the faculty of the Department of Management Studies at [Name of the College / Institute] for building an environment that encourages independent enquiry, and to the library and digital-resource staff who helped me access annual reports and industry publications. Finally, I thank my family and friends for their patience and support throughout. Any shortcomings that remain are entirely my own.</w:t>
      </w:r>
    </w:p>
    <w:p>
      <w:pPr>
        <w:spacing w:after="120" w:before="0" w:line="360" w:lineRule="auto"/>
        <w:jc w:val="both"/>
      </w:pPr>
    </w:p>
    <w:p>
      <w:pPr>
        <w:spacing w:after="120" w:before="0" w:line="360" w:lineRule="auto"/>
        <w:jc w:val="right"/>
      </w:pPr>
      <w:r>
        <w:rPr>
          <w:rFonts w:ascii="Times New Roman" w:hAnsi="Times New Roman" w:eastAsia="Times New Roman"/>
          <w:b/>
          <w:i w:val="0"/>
          <w:sz w:val="24"/>
        </w:rPr>
        <w:t>[Student Name]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Table of Contents</w:t>
      </w:r>
    </w:p>
    <w:p>
      <w:pPr>
        <w:spacing w:after="80" w:before="0" w:line="360" w:lineRule="auto"/>
        <w:jc w:val="left"/>
      </w:pPr>
      <w:r>
        <w:rPr>
          <w:rFonts w:ascii="Times New Roman" w:hAnsi="Times New Roman" w:eastAsia="Times New Roman"/>
          <w:b/>
          <w:i w:val="0"/>
          <w:sz w:val="24"/>
        </w:rPr>
        <w:t>Executive Summary</w:t>
      </w:r>
    </w:p>
    <w:p>
      <w:pPr>
        <w:spacing w:after="80" w:before="0" w:line="360" w:lineRule="auto"/>
        <w:jc w:val="left"/>
      </w:pPr>
      <w:r>
        <w:rPr>
          <w:rFonts w:ascii="Times New Roman" w:hAnsi="Times New Roman" w:eastAsia="Times New Roman"/>
          <w:b/>
          <w:i w:val="0"/>
          <w:sz w:val="24"/>
        </w:rPr>
        <w:t>1.  Introduction</w:t>
      </w:r>
    </w:p>
    <w:p>
      <w:pPr>
        <w:spacing w:after="80" w:before="0" w:line="360" w:lineRule="auto"/>
        <w:jc w:val="left"/>
      </w:pPr>
      <w:r>
        <w:rPr>
          <w:rFonts w:ascii="Times New Roman" w:hAnsi="Times New Roman" w:eastAsia="Times New Roman"/>
          <w:b w:val="0"/>
          <w:i w:val="0"/>
          <w:sz w:val="24"/>
        </w:rPr>
        <w:t xml:space="preserve">      1.1  Background and Rationale</w:t>
      </w:r>
    </w:p>
    <w:p>
      <w:pPr>
        <w:spacing w:after="80" w:before="0" w:line="360" w:lineRule="auto"/>
        <w:jc w:val="left"/>
      </w:pPr>
      <w:r>
        <w:rPr>
          <w:rFonts w:ascii="Times New Roman" w:hAnsi="Times New Roman" w:eastAsia="Times New Roman"/>
          <w:b w:val="0"/>
          <w:i w:val="0"/>
          <w:sz w:val="24"/>
        </w:rPr>
        <w:t xml:space="preserve">      1.2  Objectives of the Study</w:t>
      </w:r>
    </w:p>
    <w:p>
      <w:pPr>
        <w:spacing w:after="80" w:before="0" w:line="360" w:lineRule="auto"/>
        <w:jc w:val="left"/>
      </w:pPr>
      <w:r>
        <w:rPr>
          <w:rFonts w:ascii="Times New Roman" w:hAnsi="Times New Roman" w:eastAsia="Times New Roman"/>
          <w:b w:val="0"/>
          <w:i w:val="0"/>
          <w:sz w:val="24"/>
        </w:rPr>
        <w:t xml:space="preserve">      1.3  Scope of the Study</w:t>
      </w:r>
    </w:p>
    <w:p>
      <w:pPr>
        <w:spacing w:after="80" w:before="0" w:line="360" w:lineRule="auto"/>
        <w:jc w:val="left"/>
      </w:pPr>
      <w:r>
        <w:rPr>
          <w:rFonts w:ascii="Times New Roman" w:hAnsi="Times New Roman" w:eastAsia="Times New Roman"/>
          <w:b w:val="0"/>
          <w:i w:val="0"/>
          <w:sz w:val="24"/>
        </w:rPr>
        <w:t xml:space="preserve">      1.4  Research Methodology</w:t>
      </w:r>
    </w:p>
    <w:p>
      <w:pPr>
        <w:spacing w:after="80" w:before="0" w:line="360" w:lineRule="auto"/>
        <w:jc w:val="left"/>
      </w:pPr>
      <w:r>
        <w:rPr>
          <w:rFonts w:ascii="Times New Roman" w:hAnsi="Times New Roman" w:eastAsia="Times New Roman"/>
          <w:b w:val="0"/>
          <w:i w:val="0"/>
          <w:sz w:val="24"/>
        </w:rPr>
        <w:t xml:space="preserve">      1.5  Limitations</w:t>
      </w:r>
    </w:p>
    <w:p>
      <w:pPr>
        <w:spacing w:after="80" w:before="0" w:line="360" w:lineRule="auto"/>
        <w:jc w:val="left"/>
      </w:pPr>
      <w:r>
        <w:rPr>
          <w:rFonts w:ascii="Times New Roman" w:hAnsi="Times New Roman" w:eastAsia="Times New Roman"/>
          <w:b/>
          <w:i w:val="0"/>
          <w:sz w:val="24"/>
        </w:rPr>
        <w:t>2.  Conceptual Framework of Strategic HRM</w:t>
      </w:r>
    </w:p>
    <w:p>
      <w:pPr>
        <w:spacing w:after="80" w:before="0" w:line="360" w:lineRule="auto"/>
        <w:jc w:val="left"/>
      </w:pPr>
      <w:r>
        <w:rPr>
          <w:rFonts w:ascii="Times New Roman" w:hAnsi="Times New Roman" w:eastAsia="Times New Roman"/>
          <w:b/>
          <w:i w:val="0"/>
          <w:sz w:val="24"/>
        </w:rPr>
        <w:t>3.  Company and Industry Profile</w:t>
      </w:r>
    </w:p>
    <w:p>
      <w:pPr>
        <w:spacing w:after="80" w:before="0" w:line="360" w:lineRule="auto"/>
        <w:jc w:val="left"/>
      </w:pPr>
      <w:r>
        <w:rPr>
          <w:rFonts w:ascii="Times New Roman" w:hAnsi="Times New Roman" w:eastAsia="Times New Roman"/>
          <w:b/>
          <w:i w:val="0"/>
          <w:sz w:val="24"/>
        </w:rPr>
        <w:t>4.  Analysis of HR Practices at Hyundai Motor India</w:t>
      </w:r>
    </w:p>
    <w:p>
      <w:pPr>
        <w:spacing w:after="80" w:before="0" w:line="360" w:lineRule="auto"/>
        <w:jc w:val="left"/>
      </w:pPr>
      <w:r>
        <w:rPr>
          <w:rFonts w:ascii="Times New Roman" w:hAnsi="Times New Roman" w:eastAsia="Times New Roman"/>
          <w:b w:val="0"/>
          <w:i w:val="0"/>
          <w:sz w:val="24"/>
        </w:rPr>
        <w:t xml:space="preserve">      4.1  Employer Branding</w:t>
      </w:r>
    </w:p>
    <w:p>
      <w:pPr>
        <w:spacing w:after="80" w:before="0" w:line="360" w:lineRule="auto"/>
        <w:jc w:val="left"/>
      </w:pPr>
      <w:r>
        <w:rPr>
          <w:rFonts w:ascii="Times New Roman" w:hAnsi="Times New Roman" w:eastAsia="Times New Roman"/>
          <w:b w:val="0"/>
          <w:i w:val="0"/>
          <w:sz w:val="24"/>
        </w:rPr>
        <w:t xml:space="preserve">      4.2  Recruitment and Selection</w:t>
      </w:r>
    </w:p>
    <w:p>
      <w:pPr>
        <w:spacing w:after="80" w:before="0" w:line="360" w:lineRule="auto"/>
        <w:jc w:val="left"/>
      </w:pPr>
      <w:r>
        <w:rPr>
          <w:rFonts w:ascii="Times New Roman" w:hAnsi="Times New Roman" w:eastAsia="Times New Roman"/>
          <w:b w:val="0"/>
          <w:i w:val="0"/>
          <w:sz w:val="24"/>
        </w:rPr>
        <w:t xml:space="preserve">      4.3  Learning and Development</w:t>
      </w:r>
    </w:p>
    <w:p>
      <w:pPr>
        <w:spacing w:after="80" w:before="0" w:line="360" w:lineRule="auto"/>
        <w:jc w:val="left"/>
      </w:pPr>
      <w:r>
        <w:rPr>
          <w:rFonts w:ascii="Times New Roman" w:hAnsi="Times New Roman" w:eastAsia="Times New Roman"/>
          <w:b w:val="0"/>
          <w:i w:val="0"/>
          <w:sz w:val="24"/>
        </w:rPr>
        <w:t xml:space="preserve">      4.4  Performance Management</w:t>
      </w:r>
    </w:p>
    <w:p>
      <w:pPr>
        <w:spacing w:after="80" w:before="0" w:line="360" w:lineRule="auto"/>
        <w:jc w:val="left"/>
      </w:pPr>
      <w:r>
        <w:rPr>
          <w:rFonts w:ascii="Times New Roman" w:hAnsi="Times New Roman" w:eastAsia="Times New Roman"/>
          <w:b w:val="0"/>
          <w:i w:val="0"/>
          <w:sz w:val="24"/>
        </w:rPr>
        <w:t xml:space="preserve">      4.5  Compensation and Benefits</w:t>
      </w:r>
    </w:p>
    <w:p>
      <w:pPr>
        <w:spacing w:after="80" w:before="0" w:line="360" w:lineRule="auto"/>
        <w:jc w:val="left"/>
      </w:pPr>
      <w:r>
        <w:rPr>
          <w:rFonts w:ascii="Times New Roman" w:hAnsi="Times New Roman" w:eastAsia="Times New Roman"/>
          <w:b w:val="0"/>
          <w:i w:val="0"/>
          <w:sz w:val="24"/>
        </w:rPr>
        <w:t xml:space="preserve">      4.6  Employee Engagement</w:t>
      </w:r>
    </w:p>
    <w:p>
      <w:pPr>
        <w:spacing w:after="80" w:before="0" w:line="360" w:lineRule="auto"/>
        <w:jc w:val="left"/>
      </w:pPr>
      <w:r>
        <w:rPr>
          <w:rFonts w:ascii="Times New Roman" w:hAnsi="Times New Roman" w:eastAsia="Times New Roman"/>
          <w:b w:val="0"/>
          <w:i w:val="0"/>
          <w:sz w:val="24"/>
        </w:rPr>
        <w:t xml:space="preserve">      4.7  Diversity, Equity and Inclusion</w:t>
      </w:r>
    </w:p>
    <w:p>
      <w:pPr>
        <w:spacing w:after="80" w:before="0" w:line="360" w:lineRule="auto"/>
        <w:jc w:val="left"/>
      </w:pPr>
      <w:r>
        <w:rPr>
          <w:rFonts w:ascii="Times New Roman" w:hAnsi="Times New Roman" w:eastAsia="Times New Roman"/>
          <w:b w:val="0"/>
          <w:i w:val="0"/>
          <w:sz w:val="24"/>
        </w:rPr>
        <w:t xml:space="preserve">      4.8  Career Development</w:t>
      </w:r>
    </w:p>
    <w:p>
      <w:pPr>
        <w:spacing w:after="80" w:before="0" w:line="360" w:lineRule="auto"/>
        <w:jc w:val="left"/>
      </w:pPr>
      <w:r>
        <w:rPr>
          <w:rFonts w:ascii="Times New Roman" w:hAnsi="Times New Roman" w:eastAsia="Times New Roman"/>
          <w:b w:val="0"/>
          <w:i w:val="0"/>
          <w:sz w:val="24"/>
        </w:rPr>
        <w:t xml:space="preserve">      4.9  HR Technology</w:t>
      </w:r>
    </w:p>
    <w:p>
      <w:pPr>
        <w:spacing w:after="80" w:before="0" w:line="360" w:lineRule="auto"/>
        <w:jc w:val="left"/>
      </w:pPr>
      <w:r>
        <w:rPr>
          <w:rFonts w:ascii="Times New Roman" w:hAnsi="Times New Roman" w:eastAsia="Times New Roman"/>
          <w:b w:val="0"/>
          <w:i w:val="0"/>
          <w:sz w:val="24"/>
        </w:rPr>
        <w:t xml:space="preserve">      4.10 Employee Well-being and Workplace Culture</w:t>
      </w:r>
    </w:p>
    <w:p>
      <w:pPr>
        <w:spacing w:after="80" w:before="0" w:line="360" w:lineRule="auto"/>
        <w:jc w:val="left"/>
      </w:pPr>
      <w:r>
        <w:rPr>
          <w:rFonts w:ascii="Times New Roman" w:hAnsi="Times New Roman" w:eastAsia="Times New Roman"/>
          <w:b w:val="0"/>
          <w:i w:val="0"/>
          <w:sz w:val="24"/>
        </w:rPr>
        <w:t xml:space="preserve">      4.11 Employee and Industrial Relations</w:t>
      </w:r>
    </w:p>
    <w:p>
      <w:pPr>
        <w:spacing w:after="80" w:before="0" w:line="360" w:lineRule="auto"/>
        <w:jc w:val="left"/>
      </w:pPr>
      <w:r>
        <w:rPr>
          <w:rFonts w:ascii="Times New Roman" w:hAnsi="Times New Roman" w:eastAsia="Times New Roman"/>
          <w:b/>
          <w:i w:val="0"/>
          <w:sz w:val="24"/>
        </w:rPr>
        <w:t>5.  Discussion: How HR Supports Strategy</w:t>
      </w:r>
    </w:p>
    <w:p>
      <w:pPr>
        <w:spacing w:after="80" w:before="0" w:line="360" w:lineRule="auto"/>
        <w:jc w:val="left"/>
      </w:pPr>
      <w:r>
        <w:rPr>
          <w:rFonts w:ascii="Times New Roman" w:hAnsi="Times New Roman" w:eastAsia="Times New Roman"/>
          <w:b/>
          <w:i w:val="0"/>
          <w:sz w:val="24"/>
        </w:rPr>
        <w:t>6.  Key Findings</w:t>
      </w:r>
    </w:p>
    <w:p>
      <w:pPr>
        <w:spacing w:after="80" w:before="0" w:line="360" w:lineRule="auto"/>
        <w:jc w:val="left"/>
      </w:pPr>
      <w:r>
        <w:rPr>
          <w:rFonts w:ascii="Times New Roman" w:hAnsi="Times New Roman" w:eastAsia="Times New Roman"/>
          <w:b/>
          <w:i w:val="0"/>
          <w:sz w:val="24"/>
        </w:rPr>
        <w:t>7.  Recommendations</w:t>
      </w:r>
    </w:p>
    <w:p>
      <w:pPr>
        <w:spacing w:after="80" w:before="0" w:line="360" w:lineRule="auto"/>
        <w:jc w:val="left"/>
      </w:pPr>
      <w:r>
        <w:rPr>
          <w:rFonts w:ascii="Times New Roman" w:hAnsi="Times New Roman" w:eastAsia="Times New Roman"/>
          <w:b/>
          <w:i w:val="0"/>
          <w:sz w:val="24"/>
        </w:rPr>
        <w:t>8.  Conclusion</w:t>
      </w:r>
    </w:p>
    <w:p>
      <w:pPr>
        <w:spacing w:after="80" w:before="0" w:line="360" w:lineRule="auto"/>
        <w:jc w:val="left"/>
      </w:pPr>
      <w:r>
        <w:rPr>
          <w:rFonts w:ascii="Times New Roman" w:hAnsi="Times New Roman" w:eastAsia="Times New Roman"/>
          <w:b/>
          <w:i w:val="0"/>
          <w:sz w:val="24"/>
        </w:rPr>
        <w:t>References</w:t>
      </w:r>
    </w:p>
    <w:p>
      <w:pPr>
        <w:spacing w:after="80" w:before="0" w:line="360" w:lineRule="auto"/>
        <w:jc w:val="left"/>
      </w:pPr>
      <w:r>
        <w:rPr>
          <w:rFonts w:ascii="Times New Roman" w:hAnsi="Times New Roman" w:eastAsia="Times New Roman"/>
          <w:b/>
          <w:i w:val="0"/>
          <w:sz w:val="24"/>
        </w:rPr>
        <w:t>Appendix A: Mapping HR Practices to Industry Drivers</w:t>
      </w:r>
    </w:p>
    <w:p>
      <w:pPr>
        <w:spacing w:after="80" w:before="0" w:line="360" w:lineRule="auto"/>
        <w:jc w:val="left"/>
      </w:pPr>
      <w:r>
        <w:rPr>
          <w:rFonts w:ascii="Times New Roman" w:hAnsi="Times New Roman" w:eastAsia="Times New Roman"/>
          <w:b/>
          <w:i w:val="0"/>
          <w:sz w:val="24"/>
        </w:rPr>
        <w:t>Appendix B: Glossary of Key HR Terms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Executive Summary</w:t>
      </w:r>
    </w:p>
    <w:p>
      <w:pPr>
        <w:spacing w:after="120" w:before="0" w:line="360" w:lineRule="auto"/>
        <w:jc w:val="both"/>
      </w:pPr>
      <w:r>
        <w:rPr>
          <w:rFonts w:ascii="Times New Roman" w:hAnsi="Times New Roman" w:eastAsia="Times New Roman"/>
          <w:b w:val="0"/>
          <w:i w:val="0"/>
          <w:sz w:val="24"/>
        </w:rPr>
        <w:t>This report examines the strategic human resource (HR) practices of Hyundai Motor India Limited (HMIL), one of the country’s leading passenger-vehicle manufacturers, and evaluates how those practices support the company’s business objectives. The study is analytical rather than descriptive: its aim is to understand why an automobile manufacturer designs its people function the way it does, and how well that design works in practice.</w:t>
      </w:r>
    </w:p>
    <w:p>
      <w:pPr>
        <w:spacing w:after="120" w:before="0" w:line="360" w:lineRule="auto"/>
        <w:jc w:val="both"/>
      </w:pPr>
      <w:r>
        <w:rPr>
          <w:rFonts w:ascii="Times New Roman" w:hAnsi="Times New Roman" w:eastAsia="Times New Roman"/>
          <w:b w:val="0"/>
          <w:i w:val="0"/>
          <w:sz w:val="24"/>
        </w:rPr>
        <w:t>The analysis covers ten HR domains – employer branding, recruitment and selection, learning and development, performance management, compensation and benefits, employee engagement, diversity, equity and inclusion (DEI), career development, HR technology, and employee well-being and workplace culture – together with a short treatment of employee and industrial relations, which is particularly relevant to a manufacturer. For each area the report describes what Hyundai does, explains how the practice fits the demands of the automobile industry, and evaluates its effectiveness, drawing out strengths and areas for improvement.</w:t>
      </w:r>
    </w:p>
    <w:p>
      <w:pPr>
        <w:spacing w:after="120" w:before="0" w:line="360" w:lineRule="auto"/>
        <w:jc w:val="both"/>
      </w:pPr>
      <w:r>
        <w:rPr>
          <w:rFonts w:ascii="Times New Roman" w:hAnsi="Times New Roman" w:eastAsia="Times New Roman"/>
          <w:b w:val="0"/>
          <w:i w:val="0"/>
          <w:sz w:val="24"/>
        </w:rPr>
        <w:t>A single thread runs through the findings. Hyundai’s HR architecture is built for a capital-intensive, safety-critical manufacturer that is living through a once-in-a-generation shift to electric and software-defined vehicles. Its transformation into a “Role-Based Organisation”, its academy-led learning model anchored in a philosophy of Education, Exposure and Experience, its institution-linked reskilling for electric mobility, and its safety-first approach to well-being all point in the same direction: building deep, future-ready capability while keeping attrition low. External recognition – including certification as a Top Employer in India for three consecutive years and a first-place ranking within the automobile sector – suggests the model is working.</w:t>
      </w:r>
    </w:p>
    <w:p>
      <w:pPr>
        <w:spacing w:after="120" w:before="0" w:line="360" w:lineRule="auto"/>
        <w:jc w:val="both"/>
      </w:pPr>
      <w:r>
        <w:rPr>
          <w:rFonts w:ascii="Times New Roman" w:hAnsi="Times New Roman" w:eastAsia="Times New Roman"/>
          <w:b w:val="0"/>
          <w:i w:val="0"/>
          <w:sz w:val="24"/>
        </w:rPr>
        <w:t>The report concludes that Hyundai runs a mature, strategically aligned HR function whose main opportunities lie in measuring engagement more explicitly, widening well-being beyond physical safety, and accelerating gender diversity from a currently modest base. These are refinements to a fundamentally strong system rather than corrections of weaknesses.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1. Introduction</w:t>
      </w:r>
    </w:p>
    <w:p>
      <w:pPr>
        <w:keepNext/>
        <w:spacing w:before="200" w:after="80"/>
      </w:pPr>
      <w:r>
        <w:rPr>
          <w:rFonts w:ascii="Times New Roman" w:hAnsi="Times New Roman" w:eastAsia="Times New Roman"/>
          <w:b/>
          <w:i w:val="0"/>
          <w:color w:val="2E5496"/>
          <w:sz w:val="26"/>
        </w:rPr>
        <w:t>1.1 Background and Rationale</w:t>
      </w:r>
    </w:p>
    <w:p>
      <w:pPr>
        <w:spacing w:after="120" w:before="0" w:line="360" w:lineRule="auto"/>
        <w:jc w:val="both"/>
      </w:pPr>
      <w:r>
        <w:rPr>
          <w:rFonts w:ascii="Times New Roman" w:hAnsi="Times New Roman" w:eastAsia="Times New Roman"/>
          <w:b w:val="0"/>
          <w:i w:val="0"/>
          <w:sz w:val="24"/>
        </w:rPr>
        <w:t>Human resource management has evolved from a largely administrative activity into a strategic function that shapes culture, builds capability and helps deliver the business plan. Yet the way this strategic role is expressed depends heavily on the industry in which an organisation operates. A vehicle manufacturer, for instance, must manage safety on the shop floor, coordinate large and interdependent teams, and continually renew technical skills as its products change. Studying HR inside a specific company therefore reveals far more than studying HR in the abstract, because it shows how universal principles are translated into concrete, context-specific practice.</w:t>
      </w:r>
    </w:p>
    <w:p>
      <w:pPr>
        <w:spacing w:after="120" w:before="0" w:line="360" w:lineRule="auto"/>
        <w:jc w:val="both"/>
      </w:pPr>
      <w:r>
        <w:rPr>
          <w:rFonts w:ascii="Times New Roman" w:hAnsi="Times New Roman" w:eastAsia="Times New Roman"/>
          <w:b w:val="0"/>
          <w:i w:val="0"/>
          <w:sz w:val="24"/>
        </w:rPr>
        <w:t>This project takes Hyundai Motor India Limited as its subject. Hyundai is a strong choice for an HR study for three reasons. First, it operates in the automobile sector, a capital-intensive, technology-driven industry currently undergoing a profound transition toward electric mobility, which places unusual demands on the people function. Second, it is a large, listed company that discloses a great deal of workforce information publicly, making rigorous secondary research possible. Third, it has been repeatedly recognised for its HR practices, which makes it a useful example of what good, industry-appropriate HR looks like when it is done well.</w:t>
      </w:r>
    </w:p>
    <w:p>
      <w:pPr>
        <w:keepNext/>
        <w:spacing w:before="200" w:after="80"/>
      </w:pPr>
      <w:r>
        <w:rPr>
          <w:rFonts w:ascii="Times New Roman" w:hAnsi="Times New Roman" w:eastAsia="Times New Roman"/>
          <w:b/>
          <w:i w:val="0"/>
          <w:color w:val="2E5496"/>
          <w:sz w:val="26"/>
        </w:rPr>
        <w:t>1.2 Objectives of the Study</w:t>
      </w:r>
    </w:p>
    <w:p>
      <w:pPr>
        <w:spacing w:after="120" w:before="0" w:line="360" w:lineRule="auto"/>
        <w:jc w:val="both"/>
      </w:pPr>
      <w:r>
        <w:rPr>
          <w:rFonts w:ascii="Times New Roman" w:hAnsi="Times New Roman" w:eastAsia="Times New Roman"/>
          <w:b w:val="0"/>
          <w:i w:val="0"/>
          <w:sz w:val="24"/>
        </w:rPr>
        <w:t>The study is guided by the following objectives:</w:t>
      </w:r>
    </w:p>
    <w:p>
      <w:pPr>
        <w:pStyle w:val="ListBullet"/>
        <w:spacing w:after="60" w:line="360" w:lineRule="auto"/>
        <w:jc w:val="both"/>
      </w:pPr>
      <w:r>
        <w:rPr>
          <w:rFonts w:ascii="Times New Roman" w:hAnsi="Times New Roman" w:eastAsia="Times New Roman"/>
          <w:b w:val="0"/>
          <w:i w:val="0"/>
          <w:sz w:val="24"/>
        </w:rPr>
        <w:t>to examine the HR practices of Hyundai Motor India across the defined HR functions;</w:t>
      </w:r>
    </w:p>
    <w:p>
      <w:pPr>
        <w:pStyle w:val="ListBullet"/>
        <w:spacing w:after="60" w:line="360" w:lineRule="auto"/>
        <w:jc w:val="both"/>
      </w:pPr>
      <w:r>
        <w:rPr>
          <w:rFonts w:ascii="Times New Roman" w:hAnsi="Times New Roman" w:eastAsia="Times New Roman"/>
          <w:b w:val="0"/>
          <w:i w:val="0"/>
          <w:sz w:val="24"/>
        </w:rPr>
        <w:t>to explain how the characteristics of the automobile industry shape those practices;</w:t>
      </w:r>
    </w:p>
    <w:p>
      <w:pPr>
        <w:pStyle w:val="ListBullet"/>
        <w:spacing w:after="60" w:line="360" w:lineRule="auto"/>
        <w:jc w:val="both"/>
      </w:pPr>
      <w:r>
        <w:rPr>
          <w:rFonts w:ascii="Times New Roman" w:hAnsi="Times New Roman" w:eastAsia="Times New Roman"/>
          <w:b w:val="0"/>
          <w:i w:val="0"/>
          <w:sz w:val="24"/>
        </w:rPr>
        <w:t>to evaluate the effectiveness of the practices and identify the company’s HR strengths and areas for improvement;</w:t>
      </w:r>
    </w:p>
    <w:p>
      <w:pPr>
        <w:pStyle w:val="ListBullet"/>
        <w:spacing w:after="60" w:line="360" w:lineRule="auto"/>
        <w:jc w:val="both"/>
      </w:pPr>
      <w:r>
        <w:rPr>
          <w:rFonts w:ascii="Times New Roman" w:hAnsi="Times New Roman" w:eastAsia="Times New Roman"/>
          <w:b w:val="0"/>
          <w:i w:val="0"/>
          <w:sz w:val="24"/>
        </w:rPr>
        <w:t>to relate the observations to established HR concepts and theories; and</w:t>
      </w:r>
    </w:p>
    <w:p>
      <w:pPr>
        <w:pStyle w:val="ListBullet"/>
        <w:spacing w:after="60" w:line="360" w:lineRule="auto"/>
        <w:jc w:val="both"/>
      </w:pPr>
      <w:r>
        <w:rPr>
          <w:rFonts w:ascii="Times New Roman" w:hAnsi="Times New Roman" w:eastAsia="Times New Roman"/>
          <w:b w:val="0"/>
          <w:i w:val="0"/>
          <w:sz w:val="24"/>
        </w:rPr>
        <w:t>to offer practical recommendations for further strengthening the HR function.</w:t>
      </w:r>
    </w:p>
    <w:p>
      <w:pPr>
        <w:keepNext/>
        <w:spacing w:before="200" w:after="80"/>
      </w:pPr>
      <w:r>
        <w:rPr>
          <w:rFonts w:ascii="Times New Roman" w:hAnsi="Times New Roman" w:eastAsia="Times New Roman"/>
          <w:b/>
          <w:i w:val="0"/>
          <w:color w:val="2E5496"/>
          <w:sz w:val="26"/>
        </w:rPr>
        <w:t>1.3 Scope of the Study</w:t>
      </w:r>
    </w:p>
    <w:p>
      <w:pPr>
        <w:spacing w:after="120" w:before="0" w:line="360" w:lineRule="auto"/>
        <w:jc w:val="both"/>
      </w:pPr>
      <w:r>
        <w:rPr>
          <w:rFonts w:ascii="Times New Roman" w:hAnsi="Times New Roman" w:eastAsia="Times New Roman"/>
          <w:b w:val="0"/>
          <w:i w:val="0"/>
          <w:sz w:val="24"/>
        </w:rPr>
        <w:t>The study is confined to the HR domains listed above and focuses on Hyundai’s Indian operations. In keeping with an analytical brief, it does not attempt to narrate the company’s commercial or financial history except where such context is necessary to make sense of an HR decision. The reporting period for the secondary data is January to June 2026, drawing on the company’s most recent public disclosures.</w:t>
      </w:r>
    </w:p>
    <w:p>
      <w:pPr>
        <w:keepNext/>
        <w:spacing w:before="200" w:after="80"/>
      </w:pPr>
      <w:r>
        <w:rPr>
          <w:rFonts w:ascii="Times New Roman" w:hAnsi="Times New Roman" w:eastAsia="Times New Roman"/>
          <w:b/>
          <w:i w:val="0"/>
          <w:color w:val="2E5496"/>
          <w:sz w:val="26"/>
        </w:rPr>
        <w:t>1.4 Research Methodology</w:t>
      </w:r>
    </w:p>
    <w:p>
      <w:pPr>
        <w:spacing w:after="120" w:before="0" w:line="360" w:lineRule="auto"/>
        <w:jc w:val="both"/>
      </w:pPr>
      <w:r>
        <w:rPr>
          <w:rFonts w:ascii="Times New Roman" w:hAnsi="Times New Roman" w:eastAsia="Times New Roman"/>
          <w:b w:val="0"/>
          <w:i w:val="0"/>
          <w:sz w:val="24"/>
        </w:rPr>
        <w:t>This is a qualitative, descriptive-analytical study based entirely on secondary data; no surveys or interviews were conducted. Information was gathered from credible public sources including Hyundai’s integrated annual report and Business Responsibility and Sustainability Report (BRSR), its corporate and career web pages, employer-recognition bodies such as the Top Employers Institute, and respected HR publications such as People Matters, BW People and ETHRWorld. Each HR function was analysed using a consistent template – describe the practice, explain the industry influence, and evaluate it against strengths and improvement areas – and the findings were then interpreted through recognised HR frameworks so that the analysis stays grounded in theory rather than opinion.</w:t>
      </w:r>
    </w:p>
    <w:p>
      <w:pPr>
        <w:keepNext/>
        <w:spacing w:before="200" w:after="80"/>
      </w:pPr>
      <w:r>
        <w:rPr>
          <w:rFonts w:ascii="Times New Roman" w:hAnsi="Times New Roman" w:eastAsia="Times New Roman"/>
          <w:b/>
          <w:i w:val="0"/>
          <w:color w:val="2E5496"/>
          <w:sz w:val="26"/>
        </w:rPr>
        <w:t>1.5 Limitations</w:t>
      </w:r>
    </w:p>
    <w:p>
      <w:pPr>
        <w:spacing w:after="120" w:before="0" w:line="360" w:lineRule="auto"/>
        <w:jc w:val="both"/>
      </w:pPr>
      <w:r>
        <w:rPr>
          <w:rFonts w:ascii="Times New Roman" w:hAnsi="Times New Roman" w:eastAsia="Times New Roman"/>
          <w:b w:val="0"/>
          <w:i w:val="0"/>
          <w:sz w:val="24"/>
        </w:rPr>
        <w:t>Three limitations should be noted. First, because the study relies on published material, it reflects information the company has chosen to disclose, and internal realities may differ from the public account. Second, some HR metrics are reported at an aggregate level, which limits the granularity of the analysis. Third, HR practices evolve quickly – Hyundai’s own leadership succession and its role-based transformation are recent examples – so the report captures a moment in an ongoing journey. These limitations are managed by triangulating across multiple sources wherever possible.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2. Conceptual Framework of Strategic HRM</w:t>
      </w:r>
    </w:p>
    <w:p>
      <w:pPr>
        <w:spacing w:after="120" w:before="0" w:line="360" w:lineRule="auto"/>
        <w:jc w:val="both"/>
      </w:pPr>
      <w:r>
        <w:rPr>
          <w:rFonts w:ascii="Times New Roman" w:hAnsi="Times New Roman" w:eastAsia="Times New Roman"/>
          <w:b w:val="0"/>
          <w:i w:val="0"/>
          <w:sz w:val="24"/>
        </w:rPr>
        <w:t>To keep the analysis grounded, it helps to set out the theoretical lenses through which Hyundai’s practices are read. These frameworks are referred to throughout the report and provide the vocabulary for the evaluation that follows.</w:t>
      </w:r>
    </w:p>
    <w:p>
      <w:pPr>
        <w:keepNext/>
        <w:spacing w:before="200" w:after="80"/>
      </w:pPr>
      <w:r>
        <w:rPr>
          <w:rFonts w:ascii="Times New Roman" w:hAnsi="Times New Roman" w:eastAsia="Times New Roman"/>
          <w:b/>
          <w:i w:val="0"/>
          <w:color w:val="2E5496"/>
          <w:sz w:val="26"/>
        </w:rPr>
        <w:t>2.1 Strategic HRM and the idea of ‘bundling’</w:t>
      </w:r>
    </w:p>
    <w:p>
      <w:pPr>
        <w:spacing w:after="120" w:before="0" w:line="360" w:lineRule="auto"/>
        <w:jc w:val="both"/>
      </w:pPr>
      <w:r>
        <w:rPr>
          <w:rFonts w:ascii="Times New Roman" w:hAnsi="Times New Roman" w:eastAsia="Times New Roman"/>
          <w:b w:val="0"/>
          <w:i w:val="0"/>
          <w:sz w:val="24"/>
        </w:rPr>
        <w:t>Strategic Human Resource Management (SHRM) holds that people practices work best when they are aligned with business strategy and reinforce one another as a coherent bundle rather than operating as isolated initiatives. Hyundai illustrates this vividly: its recruitment, learning academies, role-based performance system and reward structure all pull toward the same goals of engineering quality, safety and readiness for the electric-vehicle transition.</w:t>
      </w:r>
    </w:p>
    <w:p>
      <w:pPr>
        <w:keepNext/>
        <w:spacing w:before="200" w:after="80"/>
      </w:pPr>
      <w:r>
        <w:rPr>
          <w:rFonts w:ascii="Times New Roman" w:hAnsi="Times New Roman" w:eastAsia="Times New Roman"/>
          <w:b/>
          <w:i w:val="0"/>
          <w:color w:val="2E5496"/>
          <w:sz w:val="26"/>
        </w:rPr>
        <w:t>2.2 Best-practice versus best-fit</w:t>
      </w:r>
    </w:p>
    <w:p>
      <w:pPr>
        <w:spacing w:after="120" w:before="0" w:line="360" w:lineRule="auto"/>
        <w:jc w:val="both"/>
      </w:pPr>
      <w:r>
        <w:rPr>
          <w:rFonts w:ascii="Times New Roman" w:hAnsi="Times New Roman" w:eastAsia="Times New Roman"/>
          <w:b w:val="0"/>
          <w:i w:val="0"/>
          <w:sz w:val="24"/>
        </w:rPr>
        <w:t>A long-running debate in the field contrasts the ‘best-practice’ view, which argues that certain high-performance HR practices benefit any organisation, with the ‘best-fit’ or contingency view, which argues that practices must fit the specific context, strategy and industry. Hyundai is a useful test of this debate: while it adopts universally admired practices such as structured learning and mentoring, the precise form they take – safety-embedded, engineering-heavy, EV-focused – is unmistakably shaped to fit the automobile context. The evidence in this report leans toward best-fit.</w:t>
      </w:r>
    </w:p>
    <w:p>
      <w:pPr>
        <w:keepNext/>
        <w:spacing w:before="200" w:after="80"/>
      </w:pPr>
      <w:r>
        <w:rPr>
          <w:rFonts w:ascii="Times New Roman" w:hAnsi="Times New Roman" w:eastAsia="Times New Roman"/>
          <w:b/>
          <w:i w:val="0"/>
          <w:color w:val="2E5496"/>
          <w:sz w:val="26"/>
        </w:rPr>
        <w:t>2.3 The Harvard and Ulrich models</w:t>
      </w:r>
    </w:p>
    <w:p>
      <w:pPr>
        <w:spacing w:after="120" w:before="0" w:line="360" w:lineRule="auto"/>
        <w:jc w:val="both"/>
      </w:pPr>
      <w:r>
        <w:rPr>
          <w:rFonts w:ascii="Times New Roman" w:hAnsi="Times New Roman" w:eastAsia="Times New Roman"/>
          <w:b w:val="0"/>
          <w:i w:val="0"/>
          <w:sz w:val="24"/>
        </w:rPr>
        <w:t>The Harvard model stresses that situational factors – the labour market, technology, workforce characteristics – strongly condition HR choices. For Hyundai, the scarcity of engineering and EV talent and the safety demands of manufacturing are exactly such factors. Dave Ulrich’s model of HR roles – strategic partner, administrative expert, employee champion and change agent – is also useful: Hyundai’s move to a Role-Based Organisation is a clear example of HR acting as a change agent and strategic partner rather than a purely administrative function.</w:t>
      </w:r>
    </w:p>
    <w:p>
      <w:pPr>
        <w:keepNext/>
        <w:spacing w:before="200" w:after="80"/>
      </w:pPr>
      <w:r>
        <w:rPr>
          <w:rFonts w:ascii="Times New Roman" w:hAnsi="Times New Roman" w:eastAsia="Times New Roman"/>
          <w:b/>
          <w:i w:val="0"/>
          <w:color w:val="2E5496"/>
          <w:sz w:val="26"/>
        </w:rPr>
        <w:t>2.4 The AMO model and the resource-based view</w:t>
      </w:r>
    </w:p>
    <w:p>
      <w:pPr>
        <w:spacing w:after="120" w:before="0" w:line="360" w:lineRule="auto"/>
        <w:jc w:val="both"/>
      </w:pPr>
      <w:r>
        <w:rPr>
          <w:rFonts w:ascii="Times New Roman" w:hAnsi="Times New Roman" w:eastAsia="Times New Roman"/>
          <w:b w:val="0"/>
          <w:i w:val="0"/>
          <w:sz w:val="24"/>
        </w:rPr>
        <w:t>The AMO framework proposes that performance flows from employees’ Ability, Motivation and Opportunity to contribute. It offers a convenient structure for the analysis: Hyundai’s academies build Ability, its reward and purpose-led culture drive Motivation, and its role-based, fluid career streams create Opportunity. The resource-based view (RBV) adds that people become a source of durable advantage when they are valuable, rare and hard to imitate; Hyundai’s deliberate investment in scarce EV and digital capability is, in effect, an attempt to build precisely such an inimitable human-capital asset.</w:t>
      </w:r>
    </w:p>
    <w:p>
      <w:pPr>
        <w:keepNext/>
        <w:spacing w:before="200" w:after="80"/>
      </w:pPr>
      <w:r>
        <w:rPr>
          <w:rFonts w:ascii="Times New Roman" w:hAnsi="Times New Roman" w:eastAsia="Times New Roman"/>
          <w:b/>
          <w:i w:val="0"/>
          <w:color w:val="2E5496"/>
          <w:sz w:val="26"/>
        </w:rPr>
        <w:t>2.5 Herzberg and the psychological contract</w:t>
      </w:r>
    </w:p>
    <w:p>
      <w:pPr>
        <w:spacing w:after="120" w:before="0" w:line="360" w:lineRule="auto"/>
        <w:jc w:val="both"/>
      </w:pPr>
      <w:r>
        <w:rPr>
          <w:rFonts w:ascii="Times New Roman" w:hAnsi="Times New Roman" w:eastAsia="Times New Roman"/>
          <w:b w:val="0"/>
          <w:i w:val="0"/>
          <w:sz w:val="24"/>
        </w:rPr>
        <w:t>Herzberg’s two-factor theory – distinguishing hygiene factors that prevent dissatisfaction from motivators that create genuine engagement – helps explain why Hyundai relies on purpose, mastery and recognition rather than pay alone. The notion of the psychological contract, the unwritten mutual expectations between employer and employee, is helpful for interpreting the company’s notably low attrition and long-tenure culture.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3. Company and Industry Profile</w:t>
      </w:r>
    </w:p>
    <w:p>
      <w:pPr>
        <w:spacing w:after="120" w:before="0" w:line="360" w:lineRule="auto"/>
        <w:jc w:val="both"/>
      </w:pPr>
      <w:r>
        <w:rPr>
          <w:rFonts w:ascii="Times New Roman" w:hAnsi="Times New Roman" w:eastAsia="Times New Roman"/>
          <w:b w:val="0"/>
          <w:i w:val="0"/>
          <w:sz w:val="24"/>
        </w:rPr>
        <w:t>This chapter provides only the context needed to understand the HR analysis that follows; in keeping with the analytical focus of the study it avoids a long operational narrative.</w:t>
      </w:r>
    </w:p>
    <w:p>
      <w:pPr>
        <w:keepNext/>
        <w:spacing w:before="200" w:after="80"/>
      </w:pPr>
      <w:r>
        <w:rPr>
          <w:rFonts w:ascii="Times New Roman" w:hAnsi="Times New Roman" w:eastAsia="Times New Roman"/>
          <w:b/>
          <w:i w:val="0"/>
          <w:color w:val="2E5496"/>
          <w:sz w:val="26"/>
        </w:rPr>
        <w:t>3.1 Hyundai Motor India Limited</w:t>
      </w:r>
    </w:p>
    <w:p>
      <w:pPr>
        <w:spacing w:after="120" w:before="0" w:line="360" w:lineRule="auto"/>
        <w:jc w:val="both"/>
      </w:pPr>
      <w:r>
        <w:rPr>
          <w:rFonts w:ascii="Times New Roman" w:hAnsi="Times New Roman" w:eastAsia="Times New Roman"/>
          <w:b w:val="0"/>
          <w:i w:val="0"/>
          <w:sz w:val="24"/>
        </w:rPr>
        <w:t>Hyundai Motor India Limited is the Indian arm of the South Korean automotive group and one of the country’s largest manufacturers and exporters of passenger vehicles. Incorporated in 1996, its principal manufacturing base is at Sriperumbudur near Chennai, and it has been expanding its footprint, including a new facility at Talegaon in Maharashtra. In October 2024 the company completed what was then the largest initial public offering in Indian corporate history, a milestone that has sharpened its focus on structured governance and long-term leadership planning. In a notable people-and-leadership development, the board approved the elevation of Tarun Garg as the first Indian Managing Director and Chief Executive Officer of the company, effective January 2026 – a leader widely described as ‘people-first’ and credited with record sales and the successful IPO during his tenure as Chief Operating Officer.</w:t>
      </w:r>
    </w:p>
    <w:p>
      <w:pPr>
        <w:spacing w:after="120" w:before="0" w:line="360" w:lineRule="auto"/>
        <w:jc w:val="both"/>
      </w:pPr>
      <w:r>
        <w:rPr>
          <w:rFonts w:ascii="Times New Roman" w:hAnsi="Times New Roman" w:eastAsia="Times New Roman"/>
          <w:b w:val="0"/>
          <w:i w:val="0"/>
          <w:sz w:val="24"/>
        </w:rPr>
        <w:t>As an automobile original-equipment manufacturer (OEM), Hyundai employs a large, technically skilled workforce spanning shop-floor operators, engineers, designers and corporate professionals. Its HR function, operating under the group’s guiding purpose of ‘Progress for Humanity’, has been recognised as a Top Employer in India for three consecutive years, ranking first within the automobile sector and among the leading employers nationally. The snapshot below situates the company for the HR analysis.</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Indicator</w:t>
            </w:r>
          </w:p>
        </w:tc>
        <w:tc>
          <w:tcPr>
            <w:tcW w:type="dxa" w:w="4608"/>
            <w:shd w:val="clear" w:color="auto" w:fill="2E5496"/>
          </w:tcPr>
          <w:p>
            <w:pPr>
              <w:jc w:val="center"/>
            </w:pPr>
            <w:r/>
            <w:r>
              <w:rPr>
                <w:rFonts w:ascii="Times New Roman" w:hAnsi="Times New Roman" w:eastAsia="Times New Roman"/>
                <w:b/>
                <w:i w:val="0"/>
                <w:color w:val="FFFFFF"/>
                <w:sz w:val="22"/>
              </w:rPr>
              <w:t>Position (most recent public disclosures)</w:t>
            </w:r>
          </w:p>
        </w:tc>
      </w:tr>
      <w:tr>
        <w:tc>
          <w:tcPr>
            <w:tcW w:type="dxa" w:w="4608"/>
          </w:tcPr>
          <w:p>
            <w:pPr>
              <w:spacing w:after="40" w:line="240" w:lineRule="auto"/>
            </w:pPr>
            <w:r/>
            <w:r>
              <w:rPr>
                <w:rFonts w:ascii="Times New Roman" w:hAnsi="Times New Roman" w:eastAsia="Times New Roman"/>
                <w:b w:val="0"/>
                <w:i w:val="0"/>
                <w:sz w:val="21"/>
              </w:rPr>
              <w:t>Sector</w:t>
            </w:r>
          </w:p>
        </w:tc>
        <w:tc>
          <w:tcPr>
            <w:tcW w:type="dxa" w:w="4608"/>
          </w:tcPr>
          <w:p>
            <w:pPr>
              <w:spacing w:after="40" w:line="240" w:lineRule="auto"/>
            </w:pPr>
            <w:r/>
            <w:r>
              <w:rPr>
                <w:rFonts w:ascii="Times New Roman" w:hAnsi="Times New Roman" w:eastAsia="Times New Roman"/>
                <w:b w:val="0"/>
                <w:i w:val="0"/>
                <w:sz w:val="21"/>
              </w:rPr>
              <w:t>Automobile – passenger-vehicle manufacturing (OEM)</w:t>
            </w:r>
          </w:p>
        </w:tc>
      </w:tr>
      <w:tr>
        <w:tc>
          <w:tcPr>
            <w:tcW w:type="dxa" w:w="4608"/>
          </w:tcPr>
          <w:p>
            <w:pPr>
              <w:spacing w:after="40" w:line="240" w:lineRule="auto"/>
            </w:pPr>
            <w:r/>
            <w:r>
              <w:rPr>
                <w:rFonts w:ascii="Times New Roman" w:hAnsi="Times New Roman" w:eastAsia="Times New Roman"/>
                <w:b w:val="0"/>
                <w:i w:val="0"/>
                <w:sz w:val="21"/>
              </w:rPr>
              <w:t>Incorporated</w:t>
            </w:r>
          </w:p>
        </w:tc>
        <w:tc>
          <w:tcPr>
            <w:tcW w:type="dxa" w:w="4608"/>
          </w:tcPr>
          <w:p>
            <w:pPr>
              <w:spacing w:after="40" w:line="240" w:lineRule="auto"/>
            </w:pPr>
            <w:r/>
            <w:r>
              <w:rPr>
                <w:rFonts w:ascii="Times New Roman" w:hAnsi="Times New Roman" w:eastAsia="Times New Roman"/>
                <w:b w:val="0"/>
                <w:i w:val="0"/>
                <w:sz w:val="21"/>
              </w:rPr>
              <w:t>1996; corporate office in Gurugram, plant at Sriperumbudur, Tamil Nadu</w:t>
            </w:r>
          </w:p>
        </w:tc>
      </w:tr>
      <w:tr>
        <w:tc>
          <w:tcPr>
            <w:tcW w:type="dxa" w:w="4608"/>
          </w:tcPr>
          <w:p>
            <w:pPr>
              <w:spacing w:after="40" w:line="240" w:lineRule="auto"/>
            </w:pPr>
            <w:r/>
            <w:r>
              <w:rPr>
                <w:rFonts w:ascii="Times New Roman" w:hAnsi="Times New Roman" w:eastAsia="Times New Roman"/>
                <w:b w:val="0"/>
                <w:i w:val="0"/>
                <w:sz w:val="21"/>
              </w:rPr>
              <w:t>Listing</w:t>
            </w:r>
          </w:p>
        </w:tc>
        <w:tc>
          <w:tcPr>
            <w:tcW w:type="dxa" w:w="4608"/>
          </w:tcPr>
          <w:p>
            <w:pPr>
              <w:spacing w:after="40" w:line="240" w:lineRule="auto"/>
            </w:pPr>
            <w:r/>
            <w:r>
              <w:rPr>
                <w:rFonts w:ascii="Times New Roman" w:hAnsi="Times New Roman" w:eastAsia="Times New Roman"/>
                <w:b w:val="0"/>
                <w:i w:val="0"/>
                <w:sz w:val="21"/>
              </w:rPr>
              <w:t>Listed in October 2024 (among the largest Indian IPOs)</w:t>
            </w:r>
          </w:p>
        </w:tc>
      </w:tr>
      <w:tr>
        <w:tc>
          <w:tcPr>
            <w:tcW w:type="dxa" w:w="4608"/>
          </w:tcPr>
          <w:p>
            <w:pPr>
              <w:spacing w:after="40" w:line="240" w:lineRule="auto"/>
            </w:pPr>
            <w:r/>
            <w:r>
              <w:rPr>
                <w:rFonts w:ascii="Times New Roman" w:hAnsi="Times New Roman" w:eastAsia="Times New Roman"/>
                <w:b w:val="0"/>
                <w:i w:val="0"/>
                <w:sz w:val="21"/>
              </w:rPr>
              <w:t>Workforce</w:t>
            </w:r>
          </w:p>
        </w:tc>
        <w:tc>
          <w:tcPr>
            <w:tcW w:type="dxa" w:w="4608"/>
          </w:tcPr>
          <w:p>
            <w:pPr>
              <w:spacing w:after="40" w:line="240" w:lineRule="auto"/>
            </w:pPr>
            <w:r/>
            <w:r>
              <w:rPr>
                <w:rFonts w:ascii="Times New Roman" w:hAnsi="Times New Roman" w:eastAsia="Times New Roman"/>
                <w:b w:val="0"/>
                <w:i w:val="0"/>
                <w:sz w:val="21"/>
              </w:rPr>
              <w:t>Large, technically skilled; shop-floor, engineering and corporate roles</w:t>
            </w:r>
          </w:p>
        </w:tc>
      </w:tr>
      <w:tr>
        <w:tc>
          <w:tcPr>
            <w:tcW w:type="dxa" w:w="4608"/>
          </w:tcPr>
          <w:p>
            <w:pPr>
              <w:spacing w:after="40" w:line="240" w:lineRule="auto"/>
            </w:pPr>
            <w:r/>
            <w:r>
              <w:rPr>
                <w:rFonts w:ascii="Times New Roman" w:hAnsi="Times New Roman" w:eastAsia="Times New Roman"/>
                <w:b w:val="0"/>
                <w:i w:val="0"/>
                <w:sz w:val="21"/>
              </w:rPr>
              <w:t>Leadership</w:t>
            </w:r>
          </w:p>
        </w:tc>
        <w:tc>
          <w:tcPr>
            <w:tcW w:type="dxa" w:w="4608"/>
          </w:tcPr>
          <w:p>
            <w:pPr>
              <w:spacing w:after="40" w:line="240" w:lineRule="auto"/>
            </w:pPr>
            <w:r/>
            <w:r>
              <w:rPr>
                <w:rFonts w:ascii="Times New Roman" w:hAnsi="Times New Roman" w:eastAsia="Times New Roman"/>
                <w:b w:val="0"/>
                <w:i w:val="0"/>
                <w:sz w:val="21"/>
              </w:rPr>
              <w:t>Tarun Garg to be first Indian MD &amp; CEO, effective January 2026</w:t>
            </w:r>
          </w:p>
        </w:tc>
      </w:tr>
      <w:tr>
        <w:tc>
          <w:tcPr>
            <w:tcW w:type="dxa" w:w="4608"/>
          </w:tcPr>
          <w:p>
            <w:pPr>
              <w:spacing w:after="40" w:line="240" w:lineRule="auto"/>
            </w:pPr>
            <w:r/>
            <w:r>
              <w:rPr>
                <w:rFonts w:ascii="Times New Roman" w:hAnsi="Times New Roman" w:eastAsia="Times New Roman"/>
                <w:b w:val="0"/>
                <w:i w:val="0"/>
                <w:sz w:val="21"/>
              </w:rPr>
              <w:t>Employer recognition</w:t>
            </w:r>
          </w:p>
        </w:tc>
        <w:tc>
          <w:tcPr>
            <w:tcW w:type="dxa" w:w="4608"/>
          </w:tcPr>
          <w:p>
            <w:pPr>
              <w:spacing w:after="40" w:line="240" w:lineRule="auto"/>
            </w:pPr>
            <w:r/>
            <w:r>
              <w:rPr>
                <w:rFonts w:ascii="Times New Roman" w:hAnsi="Times New Roman" w:eastAsia="Times New Roman"/>
                <w:b w:val="0"/>
                <w:i w:val="0"/>
                <w:sz w:val="21"/>
              </w:rPr>
              <w:t>Top Employer in India (3 consecutive years); #1 in the auto sector</w:t>
            </w:r>
          </w:p>
        </w:tc>
      </w:tr>
      <w:tr>
        <w:tc>
          <w:tcPr>
            <w:tcW w:type="dxa" w:w="4608"/>
          </w:tcPr>
          <w:p>
            <w:pPr>
              <w:spacing w:after="40" w:line="240" w:lineRule="auto"/>
            </w:pPr>
            <w:r/>
            <w:r>
              <w:rPr>
                <w:rFonts w:ascii="Times New Roman" w:hAnsi="Times New Roman" w:eastAsia="Times New Roman"/>
                <w:b w:val="0"/>
                <w:i w:val="0"/>
                <w:sz w:val="21"/>
              </w:rPr>
              <w:t>Guiding purpose</w:t>
            </w:r>
          </w:p>
        </w:tc>
        <w:tc>
          <w:tcPr>
            <w:tcW w:type="dxa" w:w="4608"/>
          </w:tcPr>
          <w:p>
            <w:pPr>
              <w:spacing w:after="40" w:line="240" w:lineRule="auto"/>
            </w:pPr>
            <w:r/>
            <w:r>
              <w:rPr>
                <w:rFonts w:ascii="Times New Roman" w:hAnsi="Times New Roman" w:eastAsia="Times New Roman"/>
                <w:b w:val="0"/>
                <w:i w:val="0"/>
                <w:sz w:val="21"/>
              </w:rPr>
              <w:t>‘Progress for Humanity’</w:t>
            </w:r>
          </w:p>
        </w:tc>
      </w:tr>
    </w:tbl>
    <w:p>
      <w:pPr>
        <w:spacing w:after="40"/>
      </w:pPr>
    </w:p>
    <w:p>
      <w:pPr>
        <w:keepNext/>
        <w:spacing w:before="200" w:after="80"/>
      </w:pPr>
      <w:r>
        <w:rPr>
          <w:rFonts w:ascii="Times New Roman" w:hAnsi="Times New Roman" w:eastAsia="Times New Roman"/>
          <w:b/>
          <w:i w:val="0"/>
          <w:color w:val="2E5496"/>
          <w:sz w:val="26"/>
        </w:rPr>
        <w:t>3.2 The Automobile Industry as the Context for HR</w:t>
      </w:r>
    </w:p>
    <w:p>
      <w:pPr>
        <w:spacing w:after="120" w:before="0" w:line="360" w:lineRule="auto"/>
        <w:jc w:val="both"/>
      </w:pPr>
      <w:r>
        <w:rPr>
          <w:rFonts w:ascii="Times New Roman" w:hAnsi="Times New Roman" w:eastAsia="Times New Roman"/>
          <w:b w:val="0"/>
          <w:i w:val="0"/>
          <w:sz w:val="24"/>
        </w:rPr>
        <w:t>Several features of the automobile industry shape almost every HR decision Hyundai makes, and it is worth naming them explicitly before the analysis begins.</w:t>
      </w:r>
    </w:p>
    <w:p>
      <w:pPr>
        <w:pStyle w:val="ListBullet"/>
        <w:spacing w:after="60" w:line="360" w:lineRule="auto"/>
        <w:jc w:val="both"/>
      </w:pPr>
      <w:r>
        <w:rPr>
          <w:rFonts w:ascii="Times New Roman" w:hAnsi="Times New Roman" w:eastAsia="Times New Roman"/>
          <w:b/>
          <w:i w:val="0"/>
          <w:sz w:val="24"/>
        </w:rPr>
        <w:t xml:space="preserve">Scale and interdependence. </w:t>
      </w:r>
      <w:r>
        <w:rPr>
          <w:rFonts w:ascii="Times New Roman" w:hAnsi="Times New Roman" w:eastAsia="Times New Roman"/>
          <w:b w:val="0"/>
          <w:i w:val="0"/>
          <w:sz w:val="24"/>
        </w:rPr>
        <w:t>manufacturing is capital-intensive and interdependent, so consistency, discipline and coordination across large teams matter enormously.</w:t>
      </w:r>
    </w:p>
    <w:p>
      <w:pPr>
        <w:pStyle w:val="ListBullet"/>
        <w:spacing w:after="60" w:line="360" w:lineRule="auto"/>
        <w:jc w:val="both"/>
      </w:pPr>
      <w:r>
        <w:rPr>
          <w:rFonts w:ascii="Times New Roman" w:hAnsi="Times New Roman" w:eastAsia="Times New Roman"/>
          <w:b/>
          <w:i w:val="0"/>
          <w:sz w:val="24"/>
        </w:rPr>
        <w:t xml:space="preserve">Safety-critical work. </w:t>
      </w:r>
      <w:r>
        <w:rPr>
          <w:rFonts w:ascii="Times New Roman" w:hAnsi="Times New Roman" w:eastAsia="Times New Roman"/>
          <w:b w:val="0"/>
          <w:i w:val="0"/>
          <w:sz w:val="24"/>
        </w:rPr>
        <w:t>vehicle assembly carries real physical risk, which makes safety the first duty of care and a non-negotiable element of culture and well-being.</w:t>
      </w:r>
    </w:p>
    <w:p>
      <w:pPr>
        <w:pStyle w:val="ListBullet"/>
        <w:spacing w:after="60" w:line="360" w:lineRule="auto"/>
        <w:jc w:val="both"/>
      </w:pPr>
      <w:r>
        <w:rPr>
          <w:rFonts w:ascii="Times New Roman" w:hAnsi="Times New Roman" w:eastAsia="Times New Roman"/>
          <w:b/>
          <w:i w:val="0"/>
          <w:sz w:val="24"/>
        </w:rPr>
        <w:t xml:space="preserve">Technology disruption. </w:t>
      </w:r>
      <w:r>
        <w:rPr>
          <w:rFonts w:ascii="Times New Roman" w:hAnsi="Times New Roman" w:eastAsia="Times New Roman"/>
          <w:b w:val="0"/>
          <w:i w:val="0"/>
          <w:sz w:val="24"/>
        </w:rPr>
        <w:t>the shift to electric and software-defined vehicles is rewriting the skills the industry needs, turning learning and reskilling into a strategic priority.</w:t>
      </w:r>
    </w:p>
    <w:p>
      <w:pPr>
        <w:pStyle w:val="ListBullet"/>
        <w:spacing w:after="60" w:line="360" w:lineRule="auto"/>
        <w:jc w:val="both"/>
      </w:pPr>
      <w:r>
        <w:rPr>
          <w:rFonts w:ascii="Times New Roman" w:hAnsi="Times New Roman" w:eastAsia="Times New Roman"/>
          <w:b/>
          <w:i w:val="0"/>
          <w:sz w:val="24"/>
        </w:rPr>
        <w:t xml:space="preserve">A tight talent market. </w:t>
      </w:r>
      <w:r>
        <w:rPr>
          <w:rFonts w:ascii="Times New Roman" w:hAnsi="Times New Roman" w:eastAsia="Times New Roman"/>
          <w:b w:val="0"/>
          <w:i w:val="0"/>
          <w:sz w:val="24"/>
        </w:rPr>
        <w:t>engineering and EV talent is scarce and highly contested, which pushes the company toward selective hiring, strong campus relationships and retention.</w:t>
      </w:r>
    </w:p>
    <w:p>
      <w:pPr>
        <w:pStyle w:val="ListBullet"/>
        <w:spacing w:after="60" w:line="360" w:lineRule="auto"/>
        <w:jc w:val="both"/>
      </w:pPr>
      <w:r>
        <w:rPr>
          <w:rFonts w:ascii="Times New Roman" w:hAnsi="Times New Roman" w:eastAsia="Times New Roman"/>
          <w:b/>
          <w:i w:val="0"/>
          <w:sz w:val="24"/>
        </w:rPr>
        <w:t xml:space="preserve">Organised labour. </w:t>
      </w:r>
      <w:r>
        <w:rPr>
          <w:rFonts w:ascii="Times New Roman" w:hAnsi="Times New Roman" w:eastAsia="Times New Roman"/>
          <w:b w:val="0"/>
          <w:i w:val="0"/>
          <w:sz w:val="24"/>
        </w:rPr>
        <w:t>large manufacturing workforces have historically been unionised, making constructive employee and industrial relations an important part of the HR remit.</w:t>
      </w:r>
    </w:p>
    <w:p>
      <w:pPr>
        <w:spacing w:after="120" w:before="0" w:line="360" w:lineRule="auto"/>
        <w:jc w:val="both"/>
      </w:pPr>
      <w:r>
        <w:rPr>
          <w:rFonts w:ascii="Times New Roman" w:hAnsi="Times New Roman" w:eastAsia="Times New Roman"/>
          <w:b w:val="0"/>
          <w:i w:val="0"/>
          <w:sz w:val="24"/>
        </w:rPr>
        <w:t>As the analysis will show, each of Hyundai’s distinctive HR practices can be traced back to one or more of these industry characteristics.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4. Analysis of HR Practices at Hyundai Motor India</w:t>
      </w:r>
    </w:p>
    <w:p>
      <w:pPr>
        <w:spacing w:after="120" w:before="0" w:line="360" w:lineRule="auto"/>
        <w:jc w:val="both"/>
      </w:pPr>
      <w:r>
        <w:rPr>
          <w:rFonts w:ascii="Times New Roman" w:hAnsi="Times New Roman" w:eastAsia="Times New Roman"/>
          <w:b w:val="0"/>
          <w:i w:val="0"/>
          <w:sz w:val="24"/>
        </w:rPr>
        <w:t>This chapter forms the core of the report. Each HR function is examined under three headings – current practice and how it works, effectiveness and strengths, and areas for improvement – with the influence of the automobile industry drawn out throughout. The table below offers a high-level map of the practices before they are examined in detail.</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HR function</w:t>
            </w:r>
          </w:p>
        </w:tc>
        <w:tc>
          <w:tcPr>
            <w:tcW w:type="dxa" w:w="4608"/>
            <w:shd w:val="clear" w:color="auto" w:fill="2E5496"/>
          </w:tcPr>
          <w:p>
            <w:pPr>
              <w:jc w:val="center"/>
            </w:pPr>
            <w:r/>
            <w:r>
              <w:rPr>
                <w:rFonts w:ascii="Times New Roman" w:hAnsi="Times New Roman" w:eastAsia="Times New Roman"/>
                <w:b/>
                <w:i w:val="0"/>
                <w:color w:val="FFFFFF"/>
                <w:sz w:val="22"/>
              </w:rPr>
              <w:t>Signature practice at Hyundai</w:t>
            </w:r>
          </w:p>
        </w:tc>
      </w:tr>
      <w:tr>
        <w:tc>
          <w:tcPr>
            <w:tcW w:type="dxa" w:w="4608"/>
          </w:tcPr>
          <w:p>
            <w:pPr>
              <w:spacing w:after="40" w:line="240" w:lineRule="auto"/>
            </w:pPr>
            <w:r/>
            <w:r>
              <w:rPr>
                <w:rFonts w:ascii="Times New Roman" w:hAnsi="Times New Roman" w:eastAsia="Times New Roman"/>
                <w:b w:val="0"/>
                <w:i w:val="0"/>
                <w:sz w:val="21"/>
              </w:rPr>
              <w:t>Employer branding</w:t>
            </w:r>
          </w:p>
        </w:tc>
        <w:tc>
          <w:tcPr>
            <w:tcW w:type="dxa" w:w="4608"/>
          </w:tcPr>
          <w:p>
            <w:pPr>
              <w:spacing w:after="40" w:line="240" w:lineRule="auto"/>
            </w:pPr>
            <w:r/>
            <w:r>
              <w:rPr>
                <w:rFonts w:ascii="Times New Roman" w:hAnsi="Times New Roman" w:eastAsia="Times New Roman"/>
                <w:b w:val="0"/>
                <w:i w:val="0"/>
                <w:sz w:val="21"/>
              </w:rPr>
              <w:t>‘Progress for Humanity’; Top Employer certification</w:t>
            </w:r>
          </w:p>
        </w:tc>
      </w:tr>
      <w:tr>
        <w:tc>
          <w:tcPr>
            <w:tcW w:type="dxa" w:w="4608"/>
          </w:tcPr>
          <w:p>
            <w:pPr>
              <w:spacing w:after="40" w:line="240" w:lineRule="auto"/>
            </w:pPr>
            <w:r/>
            <w:r>
              <w:rPr>
                <w:rFonts w:ascii="Times New Roman" w:hAnsi="Times New Roman" w:eastAsia="Times New Roman"/>
                <w:b w:val="0"/>
                <w:i w:val="0"/>
                <w:sz w:val="21"/>
              </w:rPr>
              <w:t>Recruitment &amp; selection</w:t>
            </w:r>
          </w:p>
        </w:tc>
        <w:tc>
          <w:tcPr>
            <w:tcW w:type="dxa" w:w="4608"/>
          </w:tcPr>
          <w:p>
            <w:pPr>
              <w:spacing w:after="40" w:line="240" w:lineRule="auto"/>
            </w:pPr>
            <w:r/>
            <w:r>
              <w:rPr>
                <w:rFonts w:ascii="Times New Roman" w:hAnsi="Times New Roman" w:eastAsia="Times New Roman"/>
                <w:b w:val="0"/>
                <w:i w:val="0"/>
                <w:sz w:val="21"/>
              </w:rPr>
              <w:t>Young Talent Program; role-based talent acquisition</w:t>
            </w:r>
          </w:p>
        </w:tc>
      </w:tr>
      <w:tr>
        <w:tc>
          <w:tcPr>
            <w:tcW w:type="dxa" w:w="4608"/>
          </w:tcPr>
          <w:p>
            <w:pPr>
              <w:spacing w:after="40" w:line="240" w:lineRule="auto"/>
            </w:pPr>
            <w:r/>
            <w:r>
              <w:rPr>
                <w:rFonts w:ascii="Times New Roman" w:hAnsi="Times New Roman" w:eastAsia="Times New Roman"/>
                <w:b w:val="0"/>
                <w:i w:val="0"/>
                <w:sz w:val="21"/>
              </w:rPr>
              <w:t>Learning &amp; development</w:t>
            </w:r>
          </w:p>
        </w:tc>
        <w:tc>
          <w:tcPr>
            <w:tcW w:type="dxa" w:w="4608"/>
          </w:tcPr>
          <w:p>
            <w:pPr>
              <w:spacing w:after="40" w:line="240" w:lineRule="auto"/>
            </w:pPr>
            <w:r/>
            <w:r>
              <w:rPr>
                <w:rFonts w:ascii="Times New Roman" w:hAnsi="Times New Roman" w:eastAsia="Times New Roman"/>
                <w:b w:val="0"/>
                <w:i w:val="0"/>
                <w:sz w:val="21"/>
              </w:rPr>
              <w:t>Academy system; 3Es; EV reskilling with IITs</w:t>
            </w:r>
          </w:p>
        </w:tc>
      </w:tr>
      <w:tr>
        <w:tc>
          <w:tcPr>
            <w:tcW w:type="dxa" w:w="4608"/>
          </w:tcPr>
          <w:p>
            <w:pPr>
              <w:spacing w:after="40" w:line="240" w:lineRule="auto"/>
            </w:pPr>
            <w:r/>
            <w:r>
              <w:rPr>
                <w:rFonts w:ascii="Times New Roman" w:hAnsi="Times New Roman" w:eastAsia="Times New Roman"/>
                <w:b w:val="0"/>
                <w:i w:val="0"/>
                <w:sz w:val="21"/>
              </w:rPr>
              <w:t>Performance management</w:t>
            </w:r>
          </w:p>
        </w:tc>
        <w:tc>
          <w:tcPr>
            <w:tcW w:type="dxa" w:w="4608"/>
          </w:tcPr>
          <w:p>
            <w:pPr>
              <w:spacing w:after="40" w:line="240" w:lineRule="auto"/>
            </w:pPr>
            <w:r/>
            <w:r>
              <w:rPr>
                <w:rFonts w:ascii="Times New Roman" w:hAnsi="Times New Roman" w:eastAsia="Times New Roman"/>
                <w:b w:val="0"/>
                <w:i w:val="0"/>
                <w:sz w:val="21"/>
              </w:rPr>
              <w:t>Role-Based Organisation; assessment &amp; development centre</w:t>
            </w:r>
          </w:p>
        </w:tc>
      </w:tr>
      <w:tr>
        <w:tc>
          <w:tcPr>
            <w:tcW w:type="dxa" w:w="4608"/>
          </w:tcPr>
          <w:p>
            <w:pPr>
              <w:spacing w:after="40" w:line="240" w:lineRule="auto"/>
            </w:pPr>
            <w:r/>
            <w:r>
              <w:rPr>
                <w:rFonts w:ascii="Times New Roman" w:hAnsi="Times New Roman" w:eastAsia="Times New Roman"/>
                <w:b w:val="0"/>
                <w:i w:val="0"/>
                <w:sz w:val="21"/>
              </w:rPr>
              <w:t>Compensation &amp; benefits</w:t>
            </w:r>
          </w:p>
        </w:tc>
        <w:tc>
          <w:tcPr>
            <w:tcW w:type="dxa" w:w="4608"/>
          </w:tcPr>
          <w:p>
            <w:pPr>
              <w:spacing w:after="40" w:line="240" w:lineRule="auto"/>
            </w:pPr>
            <w:r/>
            <w:r>
              <w:rPr>
                <w:rFonts w:ascii="Times New Roman" w:hAnsi="Times New Roman" w:eastAsia="Times New Roman"/>
                <w:b w:val="0"/>
                <w:i w:val="0"/>
                <w:sz w:val="21"/>
              </w:rPr>
              <w:t>Role-linked, market-competitive; rising median pay</w:t>
            </w:r>
          </w:p>
        </w:tc>
      </w:tr>
      <w:tr>
        <w:tc>
          <w:tcPr>
            <w:tcW w:type="dxa" w:w="4608"/>
          </w:tcPr>
          <w:p>
            <w:pPr>
              <w:spacing w:after="40" w:line="240" w:lineRule="auto"/>
            </w:pPr>
            <w:r/>
            <w:r>
              <w:rPr>
                <w:rFonts w:ascii="Times New Roman" w:hAnsi="Times New Roman" w:eastAsia="Times New Roman"/>
                <w:b w:val="0"/>
                <w:i w:val="0"/>
                <w:sz w:val="21"/>
              </w:rPr>
              <w:t>Employee engagement</w:t>
            </w:r>
          </w:p>
        </w:tc>
        <w:tc>
          <w:tcPr>
            <w:tcW w:type="dxa" w:w="4608"/>
          </w:tcPr>
          <w:p>
            <w:pPr>
              <w:spacing w:after="40" w:line="240" w:lineRule="auto"/>
            </w:pPr>
            <w:r/>
            <w:r>
              <w:rPr>
                <w:rFonts w:ascii="Times New Roman" w:hAnsi="Times New Roman" w:eastAsia="Times New Roman"/>
                <w:b w:val="0"/>
                <w:i w:val="0"/>
                <w:sz w:val="21"/>
              </w:rPr>
              <w:t>Purpose-led culture; Knowledge Labs; low attrition</w:t>
            </w:r>
          </w:p>
        </w:tc>
      </w:tr>
      <w:tr>
        <w:tc>
          <w:tcPr>
            <w:tcW w:type="dxa" w:w="4608"/>
          </w:tcPr>
          <w:p>
            <w:pPr>
              <w:spacing w:after="40" w:line="240" w:lineRule="auto"/>
            </w:pPr>
            <w:r/>
            <w:r>
              <w:rPr>
                <w:rFonts w:ascii="Times New Roman" w:hAnsi="Times New Roman" w:eastAsia="Times New Roman"/>
                <w:b w:val="0"/>
                <w:i w:val="0"/>
                <w:sz w:val="21"/>
              </w:rPr>
              <w:t>Diversity, equity &amp; inclusion</w:t>
            </w:r>
          </w:p>
        </w:tc>
        <w:tc>
          <w:tcPr>
            <w:tcW w:type="dxa" w:w="4608"/>
          </w:tcPr>
          <w:p>
            <w:pPr>
              <w:spacing w:after="40" w:line="240" w:lineRule="auto"/>
            </w:pPr>
            <w:r/>
            <w:r>
              <w:rPr>
                <w:rFonts w:ascii="Times New Roman" w:hAnsi="Times New Roman" w:eastAsia="Times New Roman"/>
                <w:b w:val="0"/>
                <w:i w:val="0"/>
                <w:sz w:val="21"/>
              </w:rPr>
              <w:t>TrailBlazHER women’s leadership; Samarth (disability)</w:t>
            </w:r>
          </w:p>
        </w:tc>
      </w:tr>
      <w:tr>
        <w:tc>
          <w:tcPr>
            <w:tcW w:type="dxa" w:w="4608"/>
          </w:tcPr>
          <w:p>
            <w:pPr>
              <w:spacing w:after="40" w:line="240" w:lineRule="auto"/>
            </w:pPr>
            <w:r/>
            <w:r>
              <w:rPr>
                <w:rFonts w:ascii="Times New Roman" w:hAnsi="Times New Roman" w:eastAsia="Times New Roman"/>
                <w:b w:val="0"/>
                <w:i w:val="0"/>
                <w:sz w:val="21"/>
              </w:rPr>
              <w:t>Career development</w:t>
            </w:r>
          </w:p>
        </w:tc>
        <w:tc>
          <w:tcPr>
            <w:tcW w:type="dxa" w:w="4608"/>
          </w:tcPr>
          <w:p>
            <w:pPr>
              <w:spacing w:after="40" w:line="240" w:lineRule="auto"/>
            </w:pPr>
            <w:r/>
            <w:r>
              <w:rPr>
                <w:rFonts w:ascii="Times New Roman" w:hAnsi="Times New Roman" w:eastAsia="Times New Roman"/>
                <w:b w:val="0"/>
                <w:i w:val="0"/>
                <w:sz w:val="21"/>
              </w:rPr>
              <w:t>Core Talent Program; fluid role-based career streams</w:t>
            </w:r>
          </w:p>
        </w:tc>
      </w:tr>
      <w:tr>
        <w:tc>
          <w:tcPr>
            <w:tcW w:type="dxa" w:w="4608"/>
          </w:tcPr>
          <w:p>
            <w:pPr>
              <w:spacing w:after="40" w:line="240" w:lineRule="auto"/>
            </w:pPr>
            <w:r/>
            <w:r>
              <w:rPr>
                <w:rFonts w:ascii="Times New Roman" w:hAnsi="Times New Roman" w:eastAsia="Times New Roman"/>
                <w:b w:val="0"/>
                <w:i w:val="0"/>
                <w:sz w:val="21"/>
              </w:rPr>
              <w:t>HR technology</w:t>
            </w:r>
          </w:p>
        </w:tc>
        <w:tc>
          <w:tcPr>
            <w:tcW w:type="dxa" w:w="4608"/>
          </w:tcPr>
          <w:p>
            <w:pPr>
              <w:spacing w:after="40" w:line="240" w:lineRule="auto"/>
            </w:pPr>
            <w:r/>
            <w:r>
              <w:rPr>
                <w:rFonts w:ascii="Times New Roman" w:hAnsi="Times New Roman" w:eastAsia="Times New Roman"/>
                <w:b w:val="0"/>
                <w:i w:val="0"/>
                <w:sz w:val="21"/>
              </w:rPr>
              <w:t>Digital learning platforms; leadership digital transformation</w:t>
            </w:r>
          </w:p>
        </w:tc>
      </w:tr>
      <w:tr>
        <w:tc>
          <w:tcPr>
            <w:tcW w:type="dxa" w:w="4608"/>
          </w:tcPr>
          <w:p>
            <w:pPr>
              <w:spacing w:after="40" w:line="240" w:lineRule="auto"/>
            </w:pPr>
            <w:r/>
            <w:r>
              <w:rPr>
                <w:rFonts w:ascii="Times New Roman" w:hAnsi="Times New Roman" w:eastAsia="Times New Roman"/>
                <w:b w:val="0"/>
                <w:i w:val="0"/>
                <w:sz w:val="21"/>
              </w:rPr>
              <w:t>Well-being &amp; culture</w:t>
            </w:r>
          </w:p>
        </w:tc>
        <w:tc>
          <w:tcPr>
            <w:tcW w:type="dxa" w:w="4608"/>
          </w:tcPr>
          <w:p>
            <w:pPr>
              <w:spacing w:after="40" w:line="240" w:lineRule="auto"/>
            </w:pPr>
            <w:r/>
            <w:r>
              <w:rPr>
                <w:rFonts w:ascii="Times New Roman" w:hAnsi="Times New Roman" w:eastAsia="Times New Roman"/>
                <w:b w:val="0"/>
                <w:i w:val="0"/>
                <w:sz w:val="21"/>
              </w:rPr>
              <w:t>Safety-first; stability; ‘well-being as a way of life’</w:t>
            </w:r>
          </w:p>
        </w:tc>
      </w:tr>
    </w:tbl>
    <w:p>
      <w:pPr>
        <w:spacing w:after="40"/>
      </w:pPr>
    </w:p>
    <w:p>
      <w:pPr>
        <w:keepNext/>
        <w:spacing w:before="200" w:after="80"/>
      </w:pPr>
      <w:r>
        <w:rPr>
          <w:rFonts w:ascii="Times New Roman" w:hAnsi="Times New Roman" w:eastAsia="Times New Roman"/>
          <w:b/>
          <w:i w:val="0"/>
          <w:color w:val="2E5496"/>
          <w:sz w:val="26"/>
        </w:rPr>
        <w:t>4.1 Employer Branding</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Hyundai’s employer brand rests on two pillars: engineering excellence and its global purpose statement, ‘Progress for Humanity’. The brand is reinforced by strong external validation – certification as a Top Employer in India for three consecutive years, a first-place ranking within the automobile sector, and a high national ranking across all industries. For prospective engineers and management trainees, the promise is essentially one of working on aspirational products, at scale, inside a disciplined organisation that is actively leading the move to electric mobility.</w:t>
      </w:r>
    </w:p>
    <w:p>
      <w:pPr>
        <w:spacing w:after="120" w:before="0" w:line="360" w:lineRule="auto"/>
        <w:jc w:val="both"/>
      </w:pPr>
      <w:r>
        <w:rPr>
          <w:rFonts w:ascii="Times New Roman" w:hAnsi="Times New Roman" w:eastAsia="Times New Roman"/>
          <w:b w:val="0"/>
          <w:i w:val="0"/>
          <w:sz w:val="24"/>
        </w:rPr>
        <w:t>This positioning fits the industry well. Because engineering talent is scarce and contested, an automobile employer must offer prestige, technological leadership and career scale to stand out, and Hyundai does exactly that, supported by a near-universal ‘Day Zero / Day One’ presence at target campuses.</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brand is externally validated by independent certification rather than self-declared, which lends it credibility.</w:t>
      </w:r>
    </w:p>
    <w:p>
      <w:pPr>
        <w:pStyle w:val="ListBullet"/>
        <w:spacing w:after="60" w:line="360" w:lineRule="auto"/>
        <w:jc w:val="both"/>
      </w:pPr>
      <w:r>
        <w:rPr>
          <w:rFonts w:ascii="Times New Roman" w:hAnsi="Times New Roman" w:eastAsia="Times New Roman"/>
          <w:b w:val="0"/>
          <w:i w:val="0"/>
          <w:sz w:val="24"/>
        </w:rPr>
        <w:t>It is tightly linked to a genuine strategic story – leadership of the EV transition – that resonates with ambitious technical talent.</w:t>
      </w:r>
    </w:p>
    <w:p>
      <w:pPr>
        <w:pStyle w:val="ListBullet"/>
        <w:spacing w:after="60" w:line="360" w:lineRule="auto"/>
        <w:jc w:val="both"/>
      </w:pPr>
      <w:r>
        <w:rPr>
          <w:rFonts w:ascii="Times New Roman" w:hAnsi="Times New Roman" w:eastAsia="Times New Roman"/>
          <w:b w:val="0"/>
          <w:i w:val="0"/>
          <w:sz w:val="24"/>
        </w:rPr>
        <w:t>It performs strongly at the top of the recruitment funnel, particularly on campus.</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brand speaks most loudly to engineering and corporate audiences; it could be made equally vivid for shop-floor, aftersales and dealership talent.</w:t>
      </w:r>
    </w:p>
    <w:p>
      <w:pPr>
        <w:pStyle w:val="ListBullet"/>
        <w:spacing w:after="60" w:line="360" w:lineRule="auto"/>
        <w:jc w:val="both"/>
      </w:pPr>
      <w:r>
        <w:rPr>
          <w:rFonts w:ascii="Times New Roman" w:hAnsi="Times New Roman" w:eastAsia="Times New Roman"/>
          <w:b w:val="0"/>
          <w:i w:val="0"/>
          <w:sz w:val="24"/>
        </w:rPr>
        <w:t>More individual, long-tenure career stories would humanise the brand and evidence its promise of growth.</w:t>
      </w:r>
    </w:p>
    <w:p>
      <w:pPr>
        <w:keepNext/>
        <w:spacing w:before="200" w:after="80"/>
      </w:pPr>
      <w:r>
        <w:rPr>
          <w:rFonts w:ascii="Times New Roman" w:hAnsi="Times New Roman" w:eastAsia="Times New Roman"/>
          <w:b/>
          <w:i w:val="0"/>
          <w:color w:val="2E5496"/>
          <w:sz w:val="26"/>
        </w:rPr>
        <w:t>4.2 Recruitment and Selection</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Recruitment at Hyundai is anchored by its Young Talent Program, a campus-hiring initiative running since 2010 that brings engineering and management graduates into the organisation and assigns each recruit a leader-mentor from the outset. This is supplemented by experienced lateral hiring for specialist roles. Following its role-based transformation, the company has described its talent-acquisition approach as a forward-looking, role-based engine focused on mapping critical functions, developing internal successors and identifying external leaders who can keep the organisation ahead of the curve.</w:t>
      </w:r>
    </w:p>
    <w:p>
      <w:pPr>
        <w:spacing w:after="120" w:before="0" w:line="360" w:lineRule="auto"/>
        <w:jc w:val="both"/>
      </w:pPr>
      <w:r>
        <w:rPr>
          <w:rFonts w:ascii="Times New Roman" w:hAnsi="Times New Roman" w:eastAsia="Times New Roman"/>
          <w:b w:val="0"/>
          <w:i w:val="0"/>
          <w:sz w:val="24"/>
        </w:rPr>
        <w:t>The logic is industry-appropriate. In a capital-intensive, safety-critical business a poor technical hire is costly and potentially hazardous, so Hyundai can justify an intensive, mentor-supported, competency-based selection model rather than hiring purely for volume.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Mentor-linked campus intake supports strong early engagement and helps explain the company’s low attrition.</w:t>
      </w:r>
    </w:p>
    <w:p>
      <w:pPr>
        <w:pStyle w:val="ListBullet"/>
        <w:spacing w:after="60" w:line="360" w:lineRule="auto"/>
        <w:jc w:val="both"/>
      </w:pPr>
      <w:r>
        <w:rPr>
          <w:rFonts w:ascii="Times New Roman" w:hAnsi="Times New Roman" w:eastAsia="Times New Roman"/>
          <w:b w:val="0"/>
          <w:i w:val="0"/>
          <w:sz w:val="24"/>
        </w:rPr>
        <w:t>A role-based talent-acquisition engine aligns hiring directly with critical future capabilities.</w:t>
      </w:r>
    </w:p>
    <w:p>
      <w:pPr>
        <w:pStyle w:val="ListBullet"/>
        <w:spacing w:after="60" w:line="360" w:lineRule="auto"/>
        <w:jc w:val="both"/>
      </w:pPr>
      <w:r>
        <w:rPr>
          <w:rFonts w:ascii="Times New Roman" w:hAnsi="Times New Roman" w:eastAsia="Times New Roman"/>
          <w:b w:val="0"/>
          <w:i w:val="0"/>
          <w:sz w:val="24"/>
        </w:rPr>
        <w:t>Selective, competency-based selection protects quality and safety on the shop floor.</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Because graduate intake is selective and headcount growth is measured, the company should ensure it is also seen as a destination for diverse mid-career talent.</w:t>
      </w:r>
    </w:p>
    <w:p>
      <w:pPr>
        <w:pStyle w:val="ListBullet"/>
        <w:spacing w:after="60" w:line="360" w:lineRule="auto"/>
        <w:jc w:val="both"/>
      </w:pPr>
      <w:r>
        <w:rPr>
          <w:rFonts w:ascii="Times New Roman" w:hAnsi="Times New Roman" w:eastAsia="Times New Roman"/>
          <w:b w:val="0"/>
          <w:i w:val="0"/>
          <w:sz w:val="24"/>
        </w:rPr>
        <w:t>The strong campus gender ratio could be leveraged to widen the experienced-hire pipeline for women.</w:t>
      </w:r>
    </w:p>
    <w:p>
      <w:pPr>
        <w:keepNext/>
        <w:spacing w:before="200" w:after="80"/>
      </w:pPr>
      <w:r>
        <w:rPr>
          <w:rFonts w:ascii="Times New Roman" w:hAnsi="Times New Roman" w:eastAsia="Times New Roman"/>
          <w:b/>
          <w:i w:val="0"/>
          <w:color w:val="2E5496"/>
          <w:sz w:val="26"/>
        </w:rPr>
        <w:t>4.3 Learning and Development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Learning is arguably where Hyundai is most distinctive. Its approach is organised around a family of academies – a Leadership Excellence Academy, a Behaviour Development Academy, a Function Development Academy and a Future Development Academy – supported by more than two hundred need-based ‘learning trails’ and a guiding philosophy of the ‘3Es’: Education, Exposure and Experience. The company partners with premier institutions such as the IITs, the IIMs and XLRI, and has put its entire senior-leadership cohort through a structured digital-transformation programme. Employee-led ‘Knowledge Labs’ and ‘Knoxhange’ forums accelerate peer learning.</w:t>
      </w:r>
    </w:p>
    <w:p>
      <w:pPr>
        <w:spacing w:after="120" w:before="0" w:line="360" w:lineRule="auto"/>
        <w:jc w:val="both"/>
      </w:pPr>
      <w:r>
        <w:rPr>
          <w:rFonts w:ascii="Times New Roman" w:hAnsi="Times New Roman" w:eastAsia="Times New Roman"/>
          <w:b w:val="0"/>
          <w:i w:val="0"/>
          <w:sz w:val="24"/>
        </w:rPr>
        <w:t>Crucially, learning has become Hyundai’s primary instrument of strategic change. As the industry pivots to electric vehicles, the company has co-created EV certification programmes with IIT Delhi and IIT Madras and trains shop-floor employees in high-voltage safety and battery management. This is the AMO model’s ‘Ability’ lever operating at full stretch, directly addressing the industry’s defining challenge of technology disruption.</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academy model and institution partnerships give access to deep, credible technical knowledge.</w:t>
      </w:r>
    </w:p>
    <w:p>
      <w:pPr>
        <w:pStyle w:val="ListBullet"/>
        <w:spacing w:after="60" w:line="360" w:lineRule="auto"/>
        <w:jc w:val="both"/>
      </w:pPr>
      <w:r>
        <w:rPr>
          <w:rFonts w:ascii="Times New Roman" w:hAnsi="Times New Roman" w:eastAsia="Times New Roman"/>
          <w:b w:val="0"/>
          <w:i w:val="0"/>
          <w:sz w:val="24"/>
        </w:rPr>
        <w:t>Learning is explicitly used to drive the strategic EV transition rather than as a generic benefit.</w:t>
      </w:r>
    </w:p>
    <w:p>
      <w:pPr>
        <w:pStyle w:val="ListBullet"/>
        <w:spacing w:after="60" w:line="360" w:lineRule="auto"/>
        <w:jc w:val="both"/>
      </w:pPr>
      <w:r>
        <w:rPr>
          <w:rFonts w:ascii="Times New Roman" w:hAnsi="Times New Roman" w:eastAsia="Times New Roman"/>
          <w:b w:val="0"/>
          <w:i w:val="0"/>
          <w:sz w:val="24"/>
        </w:rPr>
        <w:t>The 3Es philosophy ensures learning is applied, not merely consumed, through exposure and experience.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considerable investment must be shown to reach frontline, plant and dealership employees as fully as it reaches engineers and leaders.</w:t>
      </w:r>
    </w:p>
    <w:p>
      <w:pPr>
        <w:pStyle w:val="ListBullet"/>
        <w:spacing w:after="60" w:line="360" w:lineRule="auto"/>
        <w:jc w:val="both"/>
      </w:pPr>
      <w:r>
        <w:rPr>
          <w:rFonts w:ascii="Times New Roman" w:hAnsi="Times New Roman" w:eastAsia="Times New Roman"/>
          <w:b w:val="0"/>
          <w:i w:val="0"/>
          <w:sz w:val="24"/>
        </w:rPr>
        <w:t>Formal measurement of learning impact (not just learning hours) would strengthen the evidence base.</w:t>
      </w:r>
    </w:p>
    <w:p>
      <w:pPr>
        <w:keepNext/>
        <w:spacing w:before="200" w:after="80"/>
      </w:pPr>
      <w:r>
        <w:rPr>
          <w:rFonts w:ascii="Times New Roman" w:hAnsi="Times New Roman" w:eastAsia="Times New Roman"/>
          <w:b/>
          <w:i w:val="0"/>
          <w:color w:val="2E5496"/>
          <w:sz w:val="26"/>
        </w:rPr>
        <w:t>4.4 Performance Management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Hyundai’s most visible people initiative is its transformation into a ‘Role-Based Organisation’. Rather than managing performance and progression around traditional hierarchical grades, the company defines contribution around clearly articulated roles. Notably, during the transformation each employee actively drafted their own job description, which was then vetted by their manager; this exercise reportedly produced hundreds of unique roles across the organisation and was designed to create leaner responsibility levels, agile work networks and more fluid career streams.</w:t>
      </w:r>
    </w:p>
    <w:p>
      <w:pPr>
        <w:spacing w:after="120" w:before="0" w:line="360" w:lineRule="auto"/>
        <w:jc w:val="both"/>
      </w:pPr>
      <w:r>
        <w:rPr>
          <w:rFonts w:ascii="Times New Roman" w:hAnsi="Times New Roman" w:eastAsia="Times New Roman"/>
          <w:b w:val="0"/>
          <w:i w:val="0"/>
          <w:sz w:val="24"/>
        </w:rPr>
        <w:t>Performance is managed against role expectations and supported by an in-house assessment-and-development centre that enables objective evaluation of potential. This structural emphasis suits a manufacturing environment where work is stable, interdependent and measured over longer horizons, and where clarity of accountability is essential to quality and safety.</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The role-based framework flattens hierarchy and clarifies accountability – valuable in a large, interdependent organisation.</w:t>
      </w:r>
    </w:p>
    <w:p>
      <w:pPr>
        <w:pStyle w:val="ListBullet"/>
        <w:spacing w:after="60" w:line="360" w:lineRule="auto"/>
        <w:jc w:val="both"/>
      </w:pPr>
      <w:r>
        <w:rPr>
          <w:rFonts w:ascii="Times New Roman" w:hAnsi="Times New Roman" w:eastAsia="Times New Roman"/>
          <w:b w:val="0"/>
          <w:i w:val="0"/>
          <w:sz w:val="24"/>
        </w:rPr>
        <w:t>Employee participation in writing job descriptions builds ownership and legitimacy.</w:t>
      </w:r>
    </w:p>
    <w:p>
      <w:pPr>
        <w:pStyle w:val="ListBullet"/>
        <w:spacing w:after="60" w:line="360" w:lineRule="auto"/>
        <w:jc w:val="both"/>
      </w:pPr>
      <w:r>
        <w:rPr>
          <w:rFonts w:ascii="Times New Roman" w:hAnsi="Times New Roman" w:eastAsia="Times New Roman"/>
          <w:b w:val="0"/>
          <w:i w:val="0"/>
          <w:sz w:val="24"/>
        </w:rPr>
        <w:t>An assessment-and-development centre brings objectivity to evaluations of potential.</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Role-based systems require continuous communication so employees understand how roles translate into growth and reward.</w:t>
      </w:r>
    </w:p>
    <w:p>
      <w:pPr>
        <w:pStyle w:val="ListBullet"/>
        <w:spacing w:after="60" w:line="360" w:lineRule="auto"/>
        <w:jc w:val="both"/>
      </w:pPr>
      <w:r>
        <w:rPr>
          <w:rFonts w:ascii="Times New Roman" w:hAnsi="Times New Roman" w:eastAsia="Times New Roman"/>
          <w:b w:val="0"/>
          <w:i w:val="0"/>
          <w:sz w:val="24"/>
        </w:rPr>
        <w:t>Care is needed to keep the many defined roles current as the business and its technologies change.</w:t>
      </w:r>
    </w:p>
    <w:p>
      <w:pPr>
        <w:keepNext/>
        <w:spacing w:before="200" w:after="80"/>
      </w:pPr>
      <w:r>
        <w:rPr>
          <w:rFonts w:ascii="Times New Roman" w:hAnsi="Times New Roman" w:eastAsia="Times New Roman"/>
          <w:b/>
          <w:i w:val="0"/>
          <w:color w:val="2E5496"/>
          <w:sz w:val="26"/>
        </w:rPr>
        <w:t>4.5 Compensation and Benefits</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As a large listed manufacturer, Hyundai offers structured, market-competitive compensation with the benefits typical of an established industrial employer, and its regulated disclosures point to a healthy direction of travel, including a solid rise in median employee pay in a recent financial year alongside continued headcount growth. Reward is embedded within the role-based structure, so pay is linked to role and contribution.</w:t>
      </w:r>
    </w:p>
    <w:p>
      <w:pPr>
        <w:spacing w:after="120" w:before="0" w:line="360" w:lineRule="auto"/>
        <w:jc w:val="both"/>
      </w:pPr>
      <w:r>
        <w:rPr>
          <w:rFonts w:ascii="Times New Roman" w:hAnsi="Times New Roman" w:eastAsia="Times New Roman"/>
          <w:b w:val="0"/>
          <w:i w:val="0"/>
          <w:sz w:val="24"/>
        </w:rPr>
        <w:t>This design fits both the industry and the expectations of a listed company, where fairness, transparency and stability matter. Implicitly, Hyundai treats pay in a Herzbergian way – as a hygiene factor that must be right, but not the primary source of engagement, which it locates instead in purpose, mastery and career growth.</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Compensation is transparent, role-linked and consistent with listed-company governance.</w:t>
      </w:r>
    </w:p>
    <w:p>
      <w:pPr>
        <w:pStyle w:val="ListBullet"/>
        <w:spacing w:after="60" w:line="360" w:lineRule="auto"/>
        <w:jc w:val="both"/>
      </w:pPr>
      <w:r>
        <w:rPr>
          <w:rFonts w:ascii="Times New Roman" w:hAnsi="Times New Roman" w:eastAsia="Times New Roman"/>
          <w:b w:val="0"/>
          <w:i w:val="0"/>
          <w:sz w:val="24"/>
        </w:rPr>
        <w:t>Rising median pay is a healthy signal of shared value with employees.</w:t>
      </w:r>
    </w:p>
    <w:p>
      <w:pPr>
        <w:pStyle w:val="ListBullet"/>
        <w:spacing w:after="60" w:line="360" w:lineRule="auto"/>
        <w:jc w:val="both"/>
      </w:pPr>
      <w:r>
        <w:rPr>
          <w:rFonts w:ascii="Times New Roman" w:hAnsi="Times New Roman" w:eastAsia="Times New Roman"/>
          <w:b w:val="0"/>
          <w:i w:val="0"/>
          <w:sz w:val="24"/>
        </w:rPr>
        <w:t>Stability and facilities reinforce a long-service, low-attrition culture.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Stability should not be allowed to feel static to ambitious younger employees.</w:t>
      </w:r>
    </w:p>
    <w:p>
      <w:pPr>
        <w:pStyle w:val="ListBullet"/>
        <w:spacing w:after="60" w:line="360" w:lineRule="auto"/>
        <w:jc w:val="both"/>
      </w:pPr>
      <w:r>
        <w:rPr>
          <w:rFonts w:ascii="Times New Roman" w:hAnsi="Times New Roman" w:eastAsia="Times New Roman"/>
          <w:b w:val="0"/>
          <w:i w:val="0"/>
          <w:sz w:val="24"/>
        </w:rPr>
        <w:t>Long-service milestones could be recognised more visibly to strengthen the psychological contract.</w:t>
      </w:r>
    </w:p>
    <w:p>
      <w:pPr>
        <w:keepNext/>
        <w:spacing w:before="200" w:after="80"/>
      </w:pPr>
      <w:r>
        <w:rPr>
          <w:rFonts w:ascii="Times New Roman" w:hAnsi="Times New Roman" w:eastAsia="Times New Roman"/>
          <w:b/>
          <w:i w:val="0"/>
          <w:color w:val="2E5496"/>
          <w:sz w:val="26"/>
        </w:rPr>
        <w:t>4.6 Employee Engagement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Hyundai’s engagement rests on a strong, purpose-led culture, mentoring relationships that begin at induction, and employee-led knowledge platforms such as its Knowledge Labs and Knoxhange forums, which give staff a genuine voice in learning and improvement. Management repeatedly cites the company’s low attrition as evidence of engagement, and sustained low voluntary turnover in a competitive engineering labour market is indeed a meaningful outcome measure.</w:t>
      </w:r>
    </w:p>
    <w:p>
      <w:pPr>
        <w:spacing w:after="120" w:before="0" w:line="360" w:lineRule="auto"/>
        <w:jc w:val="both"/>
      </w:pPr>
      <w:r>
        <w:rPr>
          <w:rFonts w:ascii="Times New Roman" w:hAnsi="Times New Roman" w:eastAsia="Times New Roman"/>
          <w:b w:val="0"/>
          <w:i w:val="0"/>
          <w:sz w:val="24"/>
        </w:rPr>
        <w:t>Engagement at Hyundai is therefore expressed less through headline survey scores and more through tenure, participation and a shared sense of mission – consistent with a manufacturing setting where engagement reveals itself over years through loyalty, quality and safety behaviour.</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Low attrition is a strong, credible outcome indicator of engagement.</w:t>
      </w:r>
    </w:p>
    <w:p>
      <w:pPr>
        <w:pStyle w:val="ListBullet"/>
        <w:spacing w:after="60" w:line="360" w:lineRule="auto"/>
        <w:jc w:val="both"/>
      </w:pPr>
      <w:r>
        <w:rPr>
          <w:rFonts w:ascii="Times New Roman" w:hAnsi="Times New Roman" w:eastAsia="Times New Roman"/>
          <w:b w:val="0"/>
          <w:i w:val="0"/>
          <w:sz w:val="24"/>
        </w:rPr>
        <w:t>Employee-led knowledge forums give staff genuine voice and ownership.</w:t>
      </w:r>
    </w:p>
    <w:p>
      <w:pPr>
        <w:pStyle w:val="ListBullet"/>
        <w:spacing w:after="60" w:line="360" w:lineRule="auto"/>
        <w:jc w:val="both"/>
      </w:pPr>
      <w:r>
        <w:rPr>
          <w:rFonts w:ascii="Times New Roman" w:hAnsi="Times New Roman" w:eastAsia="Times New Roman"/>
          <w:b w:val="0"/>
          <w:i w:val="0"/>
          <w:sz w:val="24"/>
        </w:rPr>
        <w:t>A clear organisational purpose provides intrinsic motivation beyond pay.</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Explicit, published engagement measurement (an engagement score and eNPS) would allow early detection of problems.</w:t>
      </w:r>
    </w:p>
    <w:p>
      <w:pPr>
        <w:pStyle w:val="ListBullet"/>
        <w:spacing w:after="60" w:line="360" w:lineRule="auto"/>
        <w:jc w:val="both"/>
      </w:pPr>
      <w:r>
        <w:rPr>
          <w:rFonts w:ascii="Times New Roman" w:hAnsi="Times New Roman" w:eastAsia="Times New Roman"/>
          <w:b w:val="0"/>
          <w:i w:val="0"/>
          <w:sz w:val="24"/>
        </w:rPr>
        <w:t>Continuous listening tools could complement the current outcome-based read on engagement.</w:t>
      </w:r>
    </w:p>
    <w:p>
      <w:pPr>
        <w:keepNext/>
        <w:spacing w:before="200" w:after="80"/>
      </w:pPr>
      <w:r>
        <w:rPr>
          <w:rFonts w:ascii="Times New Roman" w:hAnsi="Times New Roman" w:eastAsia="Times New Roman"/>
          <w:b/>
          <w:i w:val="0"/>
          <w:color w:val="2E5496"/>
          <w:sz w:val="26"/>
        </w:rPr>
        <w:t>4.7 Diversity, Equity and Inclusion</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Hyundai treats DEI as part of business strategy rather than as a standalone programme. It has set a vision for greater women’s participation, reports hiring a high proportion of women at campus level, and runs a dedicated women’s leadership programme, TrailBlazHER, co-created with XLRI, to build a pipeline of female leaders. Inclusion extends beyond gender through Samarth, a CSR-led initiative that makes the company’s products, services, offices and dealerships more accessible to persons with disabilities.</w:t>
      </w:r>
    </w:p>
    <w:p>
      <w:pPr>
        <w:spacing w:after="120" w:before="0" w:line="360" w:lineRule="auto"/>
        <w:jc w:val="both"/>
      </w:pPr>
      <w:r>
        <w:rPr>
          <w:rFonts w:ascii="Times New Roman" w:hAnsi="Times New Roman" w:eastAsia="Times New Roman"/>
          <w:b w:val="0"/>
          <w:i w:val="0"/>
          <w:sz w:val="24"/>
        </w:rPr>
        <w:t>That said, the overall gender-diversity ratio remains modest, which is characteristic of – though not an excuse for – a shop-floor-heavy manufacturing workforce. Shift-based manufacturing work has historically been less accessible to a gender-balanced workforce, particularly in the Indian context.</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A dedicated, institution-backed women’s leadership programme (TrailBlazHER) builds a real pipeline.</w:t>
      </w:r>
    </w:p>
    <w:p>
      <w:pPr>
        <w:pStyle w:val="ListBullet"/>
        <w:spacing w:after="60" w:line="360" w:lineRule="auto"/>
        <w:jc w:val="both"/>
      </w:pPr>
      <w:r>
        <w:rPr>
          <w:rFonts w:ascii="Times New Roman" w:hAnsi="Times New Roman" w:eastAsia="Times New Roman"/>
          <w:b w:val="0"/>
          <w:i w:val="0"/>
          <w:sz w:val="24"/>
        </w:rPr>
        <w:t>Strong campus gender ratios show the entry-level pipeline is being built deliberately.</w:t>
      </w:r>
    </w:p>
    <w:p>
      <w:pPr>
        <w:pStyle w:val="ListBullet"/>
        <w:spacing w:after="60" w:line="360" w:lineRule="auto"/>
        <w:jc w:val="both"/>
      </w:pPr>
      <w:r>
        <w:rPr>
          <w:rFonts w:ascii="Times New Roman" w:hAnsi="Times New Roman" w:eastAsia="Times New Roman"/>
          <w:b w:val="0"/>
          <w:i w:val="0"/>
          <w:sz w:val="24"/>
        </w:rPr>
        <w:t>Samarth extends inclusion to persons with disabilities across products and premises.</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Entry-level progress needs to be converted into higher overall and leadership representation.</w:t>
      </w:r>
    </w:p>
    <w:p>
      <w:pPr>
        <w:pStyle w:val="ListBullet"/>
        <w:spacing w:after="60" w:line="360" w:lineRule="auto"/>
        <w:jc w:val="both"/>
      </w:pPr>
      <w:r>
        <w:rPr>
          <w:rFonts w:ascii="Times New Roman" w:hAnsi="Times New Roman" w:eastAsia="Times New Roman"/>
          <w:b w:val="0"/>
          <w:i w:val="0"/>
          <w:sz w:val="24"/>
        </w:rPr>
        <w:t>Sustained flexible-working and returner programmes, with transparent targets, would accelerate change.</w:t>
      </w:r>
    </w:p>
    <w:p>
      <w:pPr>
        <w:keepNext/>
        <w:spacing w:before="200" w:after="80"/>
      </w:pPr>
      <w:r>
        <w:rPr>
          <w:rFonts w:ascii="Times New Roman" w:hAnsi="Times New Roman" w:eastAsia="Times New Roman"/>
          <w:b/>
          <w:i w:val="0"/>
          <w:color w:val="2E5496"/>
          <w:sz w:val="26"/>
        </w:rPr>
        <w:t>4.8 Career Development</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Hyundai develops careers through structured programmes layered on top of its role-based framework. The Young Talent Program brings in campus entrants with assigned mentors; a Core Talent Program identifies and nurtures high-potential employees, who may even choose their own mentors; and leadership development culminates in the company’s academies and an assessment-and-development centre.</w:t>
      </w:r>
    </w:p>
    <w:p>
      <w:pPr>
        <w:spacing w:after="120" w:before="0" w:line="360" w:lineRule="auto"/>
        <w:jc w:val="both"/>
      </w:pPr>
      <w:r>
        <w:rPr>
          <w:rFonts w:ascii="Times New Roman" w:hAnsi="Times New Roman" w:eastAsia="Times New Roman"/>
          <w:b w:val="0"/>
          <w:i w:val="0"/>
          <w:sz w:val="24"/>
        </w:rPr>
        <w:t>The role-based transformation was explicitly designed to open up more fluid career streams, allowing movement across roles rather than only up a rigid ladder. This blend of structure and emerging fluidity suits an environment where roles are specialised and technical mastery accumulates over time, yet where the company also needs agility for the EV transition.</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Clear, capability-gated pathways give employees a visible, merit-based route forward.</w:t>
      </w:r>
    </w:p>
    <w:p>
      <w:pPr>
        <w:pStyle w:val="ListBullet"/>
        <w:spacing w:after="60" w:line="360" w:lineRule="auto"/>
        <w:jc w:val="both"/>
      </w:pPr>
      <w:r>
        <w:rPr>
          <w:rFonts w:ascii="Times New Roman" w:hAnsi="Times New Roman" w:eastAsia="Times New Roman"/>
          <w:b w:val="0"/>
          <w:i w:val="0"/>
          <w:sz w:val="24"/>
        </w:rPr>
        <w:t>High-potential employees are actively identified and mentored through the Core Talent Program.</w:t>
      </w:r>
    </w:p>
    <w:p>
      <w:pPr>
        <w:pStyle w:val="ListBullet"/>
        <w:spacing w:after="60" w:line="360" w:lineRule="auto"/>
        <w:jc w:val="both"/>
      </w:pPr>
      <w:r>
        <w:rPr>
          <w:rFonts w:ascii="Times New Roman" w:hAnsi="Times New Roman" w:eastAsia="Times New Roman"/>
          <w:b w:val="0"/>
          <w:i w:val="0"/>
          <w:sz w:val="24"/>
        </w:rPr>
        <w:t>The role-based structure creates the basis for lateral as well as vertical movement.</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Lateral-mobility maps could be formalised so fluid careers become an everyday reality, not an aspiration.</w:t>
      </w:r>
    </w:p>
    <w:p>
      <w:pPr>
        <w:pStyle w:val="ListBullet"/>
        <w:spacing w:after="60" w:line="360" w:lineRule="auto"/>
        <w:jc w:val="both"/>
      </w:pPr>
      <w:r>
        <w:rPr>
          <w:rFonts w:ascii="Times New Roman" w:hAnsi="Times New Roman" w:eastAsia="Times New Roman"/>
          <w:b w:val="0"/>
          <w:i w:val="0"/>
          <w:sz w:val="24"/>
        </w:rPr>
        <w:t>Structured pathways should be paced so they do not feel slow to ambitious employees.</w:t>
      </w:r>
    </w:p>
    <w:p>
      <w:pPr>
        <w:keepNext/>
        <w:spacing w:before="200" w:after="80"/>
      </w:pPr>
      <w:r>
        <w:rPr>
          <w:rFonts w:ascii="Times New Roman" w:hAnsi="Times New Roman" w:eastAsia="Times New Roman"/>
          <w:b/>
          <w:i w:val="0"/>
          <w:color w:val="2E5496"/>
          <w:sz w:val="26"/>
        </w:rPr>
        <w:t>4.9 HR Technology</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Technology enters Hyundai’s people agenda from two directions. The first is the digitalisation of the workforce itself: as products become electric and software-defined, HR is orchestrating large-scale reskilling and has put its senior-leadership group through a structured digital-transformation programme. The second is the use of digital learning platforms and on-demand content, supported by an annual learning-hours expectation, to deliver capability at scale across a geographically distributed workforce.</w:t>
      </w:r>
    </w:p>
    <w:p>
      <w:pPr>
        <w:spacing w:after="120" w:before="0" w:line="360" w:lineRule="auto"/>
        <w:jc w:val="both"/>
      </w:pPr>
      <w:r>
        <w:rPr>
          <w:rFonts w:ascii="Times New Roman" w:hAnsi="Times New Roman" w:eastAsia="Times New Roman"/>
          <w:b w:val="0"/>
          <w:i w:val="0"/>
          <w:sz w:val="24"/>
        </w:rPr>
        <w:t>HR technology at Hyundai is therefore oriented primarily toward learning and transformation – an entirely logical emphasis for a manufacturer whose existential challenge is a technology shift in its own product.</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Technology is deployed strategically to enable the EV and digital transition.</w:t>
      </w:r>
    </w:p>
    <w:p>
      <w:pPr>
        <w:pStyle w:val="ListBullet"/>
        <w:spacing w:after="60" w:line="360" w:lineRule="auto"/>
        <w:jc w:val="both"/>
      </w:pPr>
      <w:r>
        <w:rPr>
          <w:rFonts w:ascii="Times New Roman" w:hAnsi="Times New Roman" w:eastAsia="Times New Roman"/>
          <w:b w:val="0"/>
          <w:i w:val="0"/>
          <w:sz w:val="24"/>
        </w:rPr>
        <w:t>Digital learning platforms allow capability-building at scale and on demand.</w:t>
      </w:r>
    </w:p>
    <w:p>
      <w:pPr>
        <w:pStyle w:val="ListBullet"/>
        <w:spacing w:after="60" w:line="360" w:lineRule="auto"/>
        <w:jc w:val="both"/>
      </w:pPr>
      <w:r>
        <w:rPr>
          <w:rFonts w:ascii="Times New Roman" w:hAnsi="Times New Roman" w:eastAsia="Times New Roman"/>
          <w:b w:val="0"/>
          <w:i w:val="0"/>
          <w:sz w:val="24"/>
        </w:rPr>
        <w:t>Leadership itself has been through structured digital upskilling, modelling the change.</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same digital sophistication could be extended to continuous employee-listening and people-analytics.</w:t>
      </w:r>
    </w:p>
    <w:p>
      <w:pPr>
        <w:pStyle w:val="ListBullet"/>
        <w:spacing w:after="60" w:line="360" w:lineRule="auto"/>
        <w:jc w:val="both"/>
      </w:pPr>
      <w:r>
        <w:rPr>
          <w:rFonts w:ascii="Times New Roman" w:hAnsi="Times New Roman" w:eastAsia="Times New Roman"/>
          <w:b w:val="0"/>
          <w:i w:val="0"/>
          <w:sz w:val="24"/>
        </w:rPr>
        <w:t>Real-time sentiment insight would complement the company’s outcome-based read on engagement.</w:t>
      </w:r>
    </w:p>
    <w:p>
      <w:pPr>
        <w:keepNext/>
        <w:spacing w:before="200" w:after="80"/>
      </w:pPr>
      <w:r>
        <w:rPr>
          <w:rFonts w:ascii="Times New Roman" w:hAnsi="Times New Roman" w:eastAsia="Times New Roman"/>
          <w:b/>
          <w:i w:val="0"/>
          <w:color w:val="2E5496"/>
          <w:sz w:val="26"/>
        </w:rPr>
        <w:t>4.10 Employee Well-being and Workplace Culture</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Well-being at Hyundai is framed by its leadership as ‘not just a priority but a way of life’, and it is expressed through the safety-first discipline intrinsic to responsible manufacturing, structured facilities, and a culture built around purpose and role-based ways of working. In an industrial setting physical safety – for example, high-voltage safety training for employees working on electric vehicles – is an inseparable part of well-being.</w:t>
      </w:r>
    </w:p>
    <w:p>
      <w:pPr>
        <w:spacing w:after="120" w:before="0" w:line="360" w:lineRule="auto"/>
        <w:jc w:val="both"/>
      </w:pPr>
      <w:r>
        <w:rPr>
          <w:rFonts w:ascii="Times New Roman" w:hAnsi="Times New Roman" w:eastAsia="Times New Roman"/>
          <w:b w:val="0"/>
          <w:i w:val="0"/>
          <w:sz w:val="24"/>
        </w:rPr>
        <w:t>The company’s low attrition suggests a workplace that employees find stable and supportive. This anchoring of well-being in safety and stability is exactly what the industry demands and is a genuine strength.</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Safety is embedded as the foundation of well-being, as an industrial setting requires.</w:t>
      </w:r>
    </w:p>
    <w:p>
      <w:pPr>
        <w:pStyle w:val="ListBullet"/>
        <w:spacing w:after="60" w:line="360" w:lineRule="auto"/>
        <w:jc w:val="both"/>
      </w:pPr>
      <w:r>
        <w:rPr>
          <w:rFonts w:ascii="Times New Roman" w:hAnsi="Times New Roman" w:eastAsia="Times New Roman"/>
          <w:b w:val="0"/>
          <w:i w:val="0"/>
          <w:sz w:val="24"/>
        </w:rPr>
        <w:t>A stable, purpose-led culture is reflected in low attrition.</w:t>
      </w:r>
    </w:p>
    <w:p>
      <w:pPr>
        <w:pStyle w:val="ListBullet"/>
        <w:spacing w:after="60" w:line="360" w:lineRule="auto"/>
        <w:jc w:val="both"/>
      </w:pPr>
      <w:r>
        <w:rPr>
          <w:rFonts w:ascii="Times New Roman" w:hAnsi="Times New Roman" w:eastAsia="Times New Roman"/>
          <w:b w:val="0"/>
          <w:i w:val="0"/>
          <w:sz w:val="24"/>
        </w:rPr>
        <w:t>Well-being is treated as a leadership priority, not an afterthought.</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The agenda could be broadened explicitly into mental and emotional health.</w:t>
      </w:r>
    </w:p>
    <w:p>
      <w:pPr>
        <w:pStyle w:val="ListBullet"/>
        <w:spacing w:after="60" w:line="360" w:lineRule="auto"/>
        <w:jc w:val="both"/>
      </w:pPr>
      <w:r>
        <w:rPr>
          <w:rFonts w:ascii="Times New Roman" w:hAnsi="Times New Roman" w:eastAsia="Times New Roman"/>
          <w:b w:val="0"/>
          <w:i w:val="0"/>
          <w:sz w:val="24"/>
        </w:rPr>
        <w:t>Structured employee-assistance, counselling and financial-wellness provision would cover the whole person.</w:t>
      </w:r>
    </w:p>
    <w:p>
      <w:pPr>
        <w:keepNext/>
        <w:spacing w:before="200" w:after="80"/>
      </w:pPr>
      <w:r>
        <w:rPr>
          <w:rFonts w:ascii="Times New Roman" w:hAnsi="Times New Roman" w:eastAsia="Times New Roman"/>
          <w:b/>
          <w:i w:val="0"/>
          <w:color w:val="2E5496"/>
          <w:sz w:val="26"/>
        </w:rPr>
        <w:t>4.11 Employee and Industrial Relations</w:t>
      </w:r>
    </w:p>
    <w:p>
      <w:pPr>
        <w:keepNext/>
        <w:spacing w:before="120" w:after="40"/>
      </w:pPr>
      <w:r>
        <w:rPr>
          <w:rFonts w:ascii="Times New Roman" w:hAnsi="Times New Roman" w:eastAsia="Times New Roman"/>
          <w:b/>
          <w:i/>
          <w:color w:val="333333"/>
          <w:sz w:val="24"/>
        </w:rPr>
        <w:t>Current practice and how it works</w:t>
      </w:r>
    </w:p>
    <w:p>
      <w:pPr>
        <w:spacing w:after="120" w:before="0" w:line="360" w:lineRule="auto"/>
        <w:jc w:val="both"/>
      </w:pPr>
      <w:r>
        <w:rPr>
          <w:rFonts w:ascii="Times New Roman" w:hAnsi="Times New Roman" w:eastAsia="Times New Roman"/>
          <w:b w:val="0"/>
          <w:i w:val="0"/>
          <w:sz w:val="24"/>
        </w:rPr>
        <w:t>Because large automobile plants employ sizeable, often organised, workforces, constructive employee and industrial relations are an important part of Hyundai’s HR remit. The company’s role-based structure, its emphasis on employee voice through knowledge forums, and its participative approach to the role-transformation exercise all point to a preference for engagement and dialogue over confrontation.</w:t>
      </w:r>
    </w:p>
    <w:p>
      <w:pPr>
        <w:spacing w:after="120" w:before="0" w:line="360" w:lineRule="auto"/>
        <w:jc w:val="both"/>
      </w:pPr>
      <w:r>
        <w:rPr>
          <w:rFonts w:ascii="Times New Roman" w:hAnsi="Times New Roman" w:eastAsia="Times New Roman"/>
          <w:b w:val="0"/>
          <w:i w:val="0"/>
          <w:sz w:val="24"/>
        </w:rPr>
        <w:t>In a manufacturing setting, stable industrial relations are directly linked to production continuity, quality and safety, so maintaining trust with the workforce is not merely a welfare matter but a business-critical one.</w:t>
      </w:r>
    </w:p>
    <w:p>
      <w:pPr>
        <w:keepNext/>
        <w:spacing w:before="120" w:after="40"/>
      </w:pPr>
      <w:r>
        <w:rPr>
          <w:rFonts w:ascii="Times New Roman" w:hAnsi="Times New Roman" w:eastAsia="Times New Roman"/>
          <w:b/>
          <w:i/>
          <w:color w:val="333333"/>
          <w:sz w:val="24"/>
        </w:rPr>
        <w:t>Effectiveness and strengths</w:t>
      </w:r>
    </w:p>
    <w:p>
      <w:pPr>
        <w:pStyle w:val="ListBullet"/>
        <w:spacing w:after="60" w:line="360" w:lineRule="auto"/>
        <w:jc w:val="both"/>
      </w:pPr>
      <w:r>
        <w:rPr>
          <w:rFonts w:ascii="Times New Roman" w:hAnsi="Times New Roman" w:eastAsia="Times New Roman"/>
          <w:b w:val="0"/>
          <w:i w:val="0"/>
          <w:sz w:val="24"/>
        </w:rPr>
        <w:t>A participative culture and strong employee voice support constructive relations.</w:t>
      </w:r>
    </w:p>
    <w:p>
      <w:pPr>
        <w:pStyle w:val="ListBullet"/>
        <w:spacing w:after="60" w:line="360" w:lineRule="auto"/>
        <w:jc w:val="both"/>
      </w:pPr>
      <w:r>
        <w:rPr>
          <w:rFonts w:ascii="Times New Roman" w:hAnsi="Times New Roman" w:eastAsia="Times New Roman"/>
          <w:b w:val="0"/>
          <w:i w:val="0"/>
          <w:sz w:val="24"/>
        </w:rPr>
        <w:t>Low attrition and long tenure indicate a broadly healthy employment relationship.</w:t>
      </w:r>
    </w:p>
    <w:p>
      <w:pPr>
        <w:pStyle w:val="ListBullet"/>
        <w:spacing w:after="60" w:line="360" w:lineRule="auto"/>
        <w:jc w:val="both"/>
      </w:pPr>
      <w:r>
        <w:rPr>
          <w:rFonts w:ascii="Times New Roman" w:hAnsi="Times New Roman" w:eastAsia="Times New Roman"/>
          <w:b w:val="0"/>
          <w:i w:val="0"/>
          <w:sz w:val="24"/>
        </w:rPr>
        <w:t>Role clarity reduces ambiguity that can otherwise fuel workplace disputes.</w:t>
      </w:r>
    </w:p>
    <w:p>
      <w:pPr>
        <w:keepNext/>
        <w:spacing w:before="120" w:after="40"/>
      </w:pPr>
      <w:r>
        <w:rPr>
          <w:rFonts w:ascii="Times New Roman" w:hAnsi="Times New Roman" w:eastAsia="Times New Roman"/>
          <w:b/>
          <w:i/>
          <w:color w:val="333333"/>
          <w:sz w:val="24"/>
        </w:rPr>
        <w:t>Areas for improvement</w:t>
      </w:r>
    </w:p>
    <w:p>
      <w:pPr>
        <w:pStyle w:val="ListBullet"/>
        <w:spacing w:after="60" w:line="360" w:lineRule="auto"/>
        <w:jc w:val="both"/>
      </w:pPr>
      <w:r>
        <w:rPr>
          <w:rFonts w:ascii="Times New Roman" w:hAnsi="Times New Roman" w:eastAsia="Times New Roman"/>
          <w:b w:val="0"/>
          <w:i w:val="0"/>
          <w:sz w:val="24"/>
        </w:rPr>
        <w:t>As the workforce grows across multiple sites, consistent grievance-handling and communication mechanisms become increasingly important.</w:t>
      </w:r>
    </w:p>
    <w:p>
      <w:pPr>
        <w:pStyle w:val="ListBullet"/>
        <w:spacing w:after="60" w:line="360" w:lineRule="auto"/>
        <w:jc w:val="both"/>
      </w:pPr>
      <w:r>
        <w:rPr>
          <w:rFonts w:ascii="Times New Roman" w:hAnsi="Times New Roman" w:eastAsia="Times New Roman"/>
          <w:b w:val="0"/>
          <w:i w:val="0"/>
          <w:sz w:val="24"/>
        </w:rPr>
        <w:t>Proactive engagement with worker representatives can pre-empt friction during the EV transition, which changes many shop-floor roles.</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5. Discussion: How HR Supports Strategy</w:t>
      </w:r>
    </w:p>
    <w:p>
      <w:pPr>
        <w:spacing w:after="120" w:before="0" w:line="360" w:lineRule="auto"/>
        <w:jc w:val="both"/>
      </w:pPr>
      <w:r>
        <w:rPr>
          <w:rFonts w:ascii="Times New Roman" w:hAnsi="Times New Roman" w:eastAsia="Times New Roman"/>
          <w:b w:val="0"/>
          <w:i w:val="0"/>
          <w:sz w:val="24"/>
        </w:rPr>
        <w:t>Looking across the functions, Hyundai’s HR system reveals a clear and internally consistent organising logic: it is built to develop deep technical capability, protect safety and quality, and keep experienced people, all in service of an ambitious transition to electric and software-defined mobility. This coherence is exactly what strategic HRM theory predicts in a high-performing organisation – the practices form a bundle, each reinforcing the others.</w:t>
      </w:r>
    </w:p>
    <w:p>
      <w:pPr>
        <w:spacing w:after="120" w:before="0" w:line="360" w:lineRule="auto"/>
        <w:jc w:val="both"/>
      </w:pPr>
      <w:r>
        <w:rPr>
          <w:rFonts w:ascii="Times New Roman" w:hAnsi="Times New Roman" w:eastAsia="Times New Roman"/>
          <w:b w:val="0"/>
          <w:i w:val="0"/>
          <w:sz w:val="24"/>
        </w:rPr>
        <w:t>The alignment can be read directly through the frameworks introduced earlier. Ability is addressed by the academy system, the 3Es philosophy and the EV certification partnerships. Motivation is generated by a purpose-led culture, mentoring and role-linked reward rather than by pay alone, echoing Herzberg. Opportunity is created by the Role-Based Organisation and its more fluid career streams. Seen through the resource-based view, the whole system is an attempt to build a rare, hard-to-imitate stock of engineering and EV capability – a human-capital advantage competitors cannot easily copy. In Ulrich’s terms, the role-based transformation shows HR operating as a strategic partner and change agent, not merely as an administrative service.</w:t>
      </w:r>
    </w:p>
    <w:p>
      <w:pPr>
        <w:spacing w:after="120" w:before="0" w:line="360" w:lineRule="auto"/>
        <w:jc w:val="both"/>
      </w:pPr>
      <w:r>
        <w:rPr>
          <w:rFonts w:ascii="Times New Roman" w:hAnsi="Times New Roman" w:eastAsia="Times New Roman"/>
          <w:b w:val="0"/>
          <w:i w:val="0"/>
          <w:sz w:val="24"/>
        </w:rPr>
        <w:t>The tables below summarise the HR function as a whole using a simple SWOT lens, drawing the analysis together before the findings and recommendations.</w:t>
      </w: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Strengths</w:t>
            </w:r>
          </w:p>
        </w:tc>
        <w:tc>
          <w:tcPr>
            <w:tcW w:type="dxa" w:w="4608"/>
            <w:shd w:val="clear" w:color="auto" w:fill="2E5496"/>
          </w:tcPr>
          <w:p>
            <w:pPr>
              <w:jc w:val="center"/>
            </w:pPr>
            <w:r/>
            <w:r>
              <w:rPr>
                <w:rFonts w:ascii="Times New Roman" w:hAnsi="Times New Roman" w:eastAsia="Times New Roman"/>
                <w:b/>
                <w:i w:val="0"/>
                <w:color w:val="FFFFFF"/>
                <w:sz w:val="22"/>
              </w:rPr>
              <w:t>Weaknesses / Areas to improve</w:t>
            </w:r>
          </w:p>
        </w:tc>
      </w:tr>
      <w:tr>
        <w:tc>
          <w:tcPr>
            <w:tcW w:type="dxa" w:w="4608"/>
          </w:tcPr>
          <w:p>
            <w:pPr>
              <w:spacing w:after="40" w:line="240" w:lineRule="auto"/>
            </w:pPr>
            <w:r/>
            <w:r>
              <w:rPr>
                <w:rFonts w:ascii="Times New Roman" w:hAnsi="Times New Roman" w:eastAsia="Times New Roman"/>
                <w:b w:val="0"/>
                <w:i w:val="0"/>
                <w:sz w:val="21"/>
              </w:rPr>
              <w:t>Award-winning employer brand; #1 in the automobile sector</w:t>
            </w:r>
          </w:p>
        </w:tc>
        <w:tc>
          <w:tcPr>
            <w:tcW w:type="dxa" w:w="4608"/>
          </w:tcPr>
          <w:p>
            <w:pPr>
              <w:spacing w:after="40" w:line="240" w:lineRule="auto"/>
            </w:pPr>
            <w:r/>
            <w:r>
              <w:rPr>
                <w:rFonts w:ascii="Times New Roman" w:hAnsi="Times New Roman" w:eastAsia="Times New Roman"/>
                <w:b w:val="0"/>
                <w:i w:val="0"/>
                <w:sz w:val="21"/>
              </w:rPr>
              <w:t>Overall gender diversity remains modest</w:t>
            </w:r>
          </w:p>
        </w:tc>
      </w:tr>
      <w:tr>
        <w:tc>
          <w:tcPr>
            <w:tcW w:type="dxa" w:w="4608"/>
          </w:tcPr>
          <w:p>
            <w:pPr>
              <w:spacing w:after="40" w:line="240" w:lineRule="auto"/>
            </w:pPr>
            <w:r/>
            <w:r>
              <w:rPr>
                <w:rFonts w:ascii="Times New Roman" w:hAnsi="Times New Roman" w:eastAsia="Times New Roman"/>
                <w:b w:val="0"/>
                <w:i w:val="0"/>
                <w:sz w:val="21"/>
              </w:rPr>
              <w:t>Distinctive academy-based learning and EV reskilling</w:t>
            </w:r>
          </w:p>
        </w:tc>
        <w:tc>
          <w:tcPr>
            <w:tcW w:type="dxa" w:w="4608"/>
          </w:tcPr>
          <w:p>
            <w:pPr>
              <w:spacing w:after="40" w:line="240" w:lineRule="auto"/>
            </w:pPr>
            <w:r/>
            <w:r>
              <w:rPr>
                <w:rFonts w:ascii="Times New Roman" w:hAnsi="Times New Roman" w:eastAsia="Times New Roman"/>
                <w:b w:val="0"/>
                <w:i w:val="0"/>
                <w:sz w:val="21"/>
              </w:rPr>
              <w:t>Engagement measured indirectly rather than through explicit scores</w:t>
            </w:r>
          </w:p>
        </w:tc>
      </w:tr>
      <w:tr>
        <w:tc>
          <w:tcPr>
            <w:tcW w:type="dxa" w:w="4608"/>
          </w:tcPr>
          <w:p>
            <w:pPr>
              <w:spacing w:after="40" w:line="240" w:lineRule="auto"/>
            </w:pPr>
            <w:r/>
            <w:r>
              <w:rPr>
                <w:rFonts w:ascii="Times New Roman" w:hAnsi="Times New Roman" w:eastAsia="Times New Roman"/>
                <w:b w:val="0"/>
                <w:i w:val="0"/>
                <w:sz w:val="21"/>
              </w:rPr>
              <w:t>Role-Based Organisation enabling agility and clearer roles</w:t>
            </w:r>
          </w:p>
        </w:tc>
        <w:tc>
          <w:tcPr>
            <w:tcW w:type="dxa" w:w="4608"/>
          </w:tcPr>
          <w:p>
            <w:pPr>
              <w:spacing w:after="40" w:line="240" w:lineRule="auto"/>
            </w:pPr>
            <w:r/>
            <w:r>
              <w:rPr>
                <w:rFonts w:ascii="Times New Roman" w:hAnsi="Times New Roman" w:eastAsia="Times New Roman"/>
                <w:b w:val="0"/>
                <w:i w:val="0"/>
                <w:sz w:val="21"/>
              </w:rPr>
              <w:t>Well-being weighted toward physical safety over mental health</w:t>
            </w:r>
          </w:p>
        </w:tc>
      </w:tr>
      <w:tr>
        <w:tc>
          <w:tcPr>
            <w:tcW w:type="dxa" w:w="4608"/>
          </w:tcPr>
          <w:p>
            <w:pPr>
              <w:spacing w:after="40" w:line="240" w:lineRule="auto"/>
            </w:pPr>
            <w:r/>
            <w:r>
              <w:rPr>
                <w:rFonts w:ascii="Times New Roman" w:hAnsi="Times New Roman" w:eastAsia="Times New Roman"/>
                <w:b w:val="0"/>
                <w:i w:val="0"/>
                <w:sz w:val="21"/>
              </w:rPr>
              <w:t>Low attrition and a strong, purpose-led culture</w:t>
            </w:r>
          </w:p>
        </w:tc>
        <w:tc>
          <w:tcPr>
            <w:tcW w:type="dxa" w:w="4608"/>
          </w:tcPr>
          <w:p>
            <w:pPr>
              <w:spacing w:after="40" w:line="240" w:lineRule="auto"/>
            </w:pPr>
            <w:r/>
            <w:r>
              <w:rPr>
                <w:rFonts w:ascii="Times New Roman" w:hAnsi="Times New Roman" w:eastAsia="Times New Roman"/>
                <w:b w:val="0"/>
                <w:i w:val="0"/>
                <w:sz w:val="21"/>
              </w:rPr>
              <w:t>Learning investment must demonstrably reach frontline staff</w:t>
            </w:r>
          </w:p>
        </w:tc>
      </w:tr>
    </w:tbl>
    <w:p>
      <w:pPr>
        <w:spacing w:after="40"/>
      </w:pPr>
    </w:p>
    <w:tbl>
      <w:tblPr>
        <w:tblStyle w:val="LightGrid-Accent1"/>
        <w:tblW w:type="auto" w:w="0"/>
        <w:tblLook w:firstColumn="1" w:firstRow="1" w:lastColumn="0" w:lastRow="0" w:noHBand="0" w:noVBand="1" w:val="04A0"/>
      </w:tblPr>
      <w:tblGrid>
        <w:gridCol w:w="4608"/>
        <w:gridCol w:w="4608"/>
      </w:tblGrid>
      <w:tr>
        <w:tc>
          <w:tcPr>
            <w:tcW w:type="dxa" w:w="4608"/>
            <w:shd w:val="clear" w:color="auto" w:fill="2E5496"/>
          </w:tcPr>
          <w:p>
            <w:pPr>
              <w:jc w:val="center"/>
            </w:pPr>
            <w:r/>
            <w:r>
              <w:rPr>
                <w:rFonts w:ascii="Times New Roman" w:hAnsi="Times New Roman" w:eastAsia="Times New Roman"/>
                <w:b/>
                <w:i w:val="0"/>
                <w:color w:val="FFFFFF"/>
                <w:sz w:val="22"/>
              </w:rPr>
              <w:t>Opportunities</w:t>
            </w:r>
          </w:p>
        </w:tc>
        <w:tc>
          <w:tcPr>
            <w:tcW w:type="dxa" w:w="4608"/>
            <w:shd w:val="clear" w:color="auto" w:fill="2E5496"/>
          </w:tcPr>
          <w:p>
            <w:pPr>
              <w:jc w:val="center"/>
            </w:pPr>
            <w:r/>
            <w:r>
              <w:rPr>
                <w:rFonts w:ascii="Times New Roman" w:hAnsi="Times New Roman" w:eastAsia="Times New Roman"/>
                <w:b/>
                <w:i w:val="0"/>
                <w:color w:val="FFFFFF"/>
                <w:sz w:val="22"/>
              </w:rPr>
              <w:t>Threats / Challenges</w:t>
            </w:r>
          </w:p>
        </w:tc>
      </w:tr>
      <w:tr>
        <w:tc>
          <w:tcPr>
            <w:tcW w:type="dxa" w:w="4608"/>
          </w:tcPr>
          <w:p>
            <w:pPr>
              <w:spacing w:after="40" w:line="240" w:lineRule="auto"/>
            </w:pPr>
            <w:r/>
            <w:r>
              <w:rPr>
                <w:rFonts w:ascii="Times New Roman" w:hAnsi="Times New Roman" w:eastAsia="Times New Roman"/>
                <w:b w:val="0"/>
                <w:i w:val="0"/>
                <w:sz w:val="21"/>
              </w:rPr>
              <w:t>Leadership of the EV transition as a talent magnet</w:t>
            </w:r>
          </w:p>
        </w:tc>
        <w:tc>
          <w:tcPr>
            <w:tcW w:type="dxa" w:w="4608"/>
          </w:tcPr>
          <w:p>
            <w:pPr>
              <w:spacing w:after="40" w:line="240" w:lineRule="auto"/>
            </w:pPr>
            <w:r/>
            <w:r>
              <w:rPr>
                <w:rFonts w:ascii="Times New Roman" w:hAnsi="Times New Roman" w:eastAsia="Times New Roman"/>
                <w:b w:val="0"/>
                <w:i w:val="0"/>
                <w:sz w:val="21"/>
              </w:rPr>
              <w:t>Intense industry-wide competition for EV and software talent</w:t>
            </w:r>
          </w:p>
        </w:tc>
      </w:tr>
      <w:tr>
        <w:tc>
          <w:tcPr>
            <w:tcW w:type="dxa" w:w="4608"/>
          </w:tcPr>
          <w:p>
            <w:pPr>
              <w:spacing w:after="40" w:line="240" w:lineRule="auto"/>
            </w:pPr>
            <w:r/>
            <w:r>
              <w:rPr>
                <w:rFonts w:ascii="Times New Roman" w:hAnsi="Times New Roman" w:eastAsia="Times New Roman"/>
                <w:b w:val="0"/>
                <w:i w:val="0"/>
                <w:sz w:val="21"/>
              </w:rPr>
              <w:t>Converting strong campus gender ratios into leadership diversity</w:t>
            </w:r>
          </w:p>
        </w:tc>
        <w:tc>
          <w:tcPr>
            <w:tcW w:type="dxa" w:w="4608"/>
          </w:tcPr>
          <w:p>
            <w:pPr>
              <w:spacing w:after="40" w:line="240" w:lineRule="auto"/>
            </w:pPr>
            <w:r/>
            <w:r>
              <w:rPr>
                <w:rFonts w:ascii="Times New Roman" w:hAnsi="Times New Roman" w:eastAsia="Times New Roman"/>
                <w:b w:val="0"/>
                <w:i w:val="0"/>
                <w:sz w:val="21"/>
              </w:rPr>
              <w:t>Rapid technology change continually reshaping required skills</w:t>
            </w:r>
          </w:p>
        </w:tc>
      </w:tr>
      <w:tr>
        <w:tc>
          <w:tcPr>
            <w:tcW w:type="dxa" w:w="4608"/>
          </w:tcPr>
          <w:p>
            <w:pPr>
              <w:spacing w:after="40" w:line="240" w:lineRule="auto"/>
            </w:pPr>
            <w:r/>
            <w:r>
              <w:rPr>
                <w:rFonts w:ascii="Times New Roman" w:hAnsi="Times New Roman" w:eastAsia="Times New Roman"/>
                <w:b w:val="0"/>
                <w:i w:val="0"/>
                <w:sz w:val="21"/>
              </w:rPr>
              <w:t>Adding continuous listening and people-analytics</w:t>
            </w:r>
          </w:p>
        </w:tc>
        <w:tc>
          <w:tcPr>
            <w:tcW w:type="dxa" w:w="4608"/>
          </w:tcPr>
          <w:p>
            <w:pPr>
              <w:spacing w:after="40" w:line="240" w:lineRule="auto"/>
            </w:pPr>
            <w:r/>
            <w:r>
              <w:rPr>
                <w:rFonts w:ascii="Times New Roman" w:hAnsi="Times New Roman" w:eastAsia="Times New Roman"/>
                <w:b w:val="0"/>
                <w:i w:val="0"/>
                <w:sz w:val="21"/>
              </w:rPr>
              <w:t>Rising employee expectations, especially among younger cohorts</w:t>
            </w:r>
          </w:p>
        </w:tc>
      </w:tr>
      <w:tr>
        <w:tc>
          <w:tcPr>
            <w:tcW w:type="dxa" w:w="4608"/>
          </w:tcPr>
          <w:p>
            <w:pPr>
              <w:spacing w:after="40" w:line="240" w:lineRule="auto"/>
            </w:pPr>
            <w:r/>
            <w:r>
              <w:rPr>
                <w:rFonts w:ascii="Times New Roman" w:hAnsi="Times New Roman" w:eastAsia="Times New Roman"/>
                <w:b w:val="0"/>
                <w:i w:val="0"/>
                <w:sz w:val="21"/>
              </w:rPr>
              <w:t>First Indian MD &amp; CEO signalling deeper local leadership</w:t>
            </w:r>
          </w:p>
        </w:tc>
        <w:tc>
          <w:tcPr>
            <w:tcW w:type="dxa" w:w="4608"/>
          </w:tcPr>
          <w:p>
            <w:pPr>
              <w:spacing w:after="40" w:line="240" w:lineRule="auto"/>
            </w:pPr>
            <w:r/>
            <w:r>
              <w:rPr>
                <w:rFonts w:ascii="Times New Roman" w:hAnsi="Times New Roman" w:eastAsia="Times New Roman"/>
                <w:b w:val="0"/>
                <w:i w:val="0"/>
                <w:sz w:val="21"/>
              </w:rPr>
              <w:t>Cyclicality and cost pressure typical of the auto industry</w:t>
            </w:r>
          </w:p>
        </w:tc>
      </w:tr>
    </w:tbl>
    <w:p>
      <w:pPr>
        <w:spacing w:after="40"/>
      </w:pP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6. Key Findings</w:t>
      </w:r>
    </w:p>
    <w:p>
      <w:pPr>
        <w:spacing w:after="120" w:before="0" w:line="360" w:lineRule="auto"/>
        <w:jc w:val="both"/>
      </w:pPr>
      <w:r>
        <w:rPr>
          <w:rFonts w:ascii="Times New Roman" w:hAnsi="Times New Roman" w:eastAsia="Times New Roman"/>
          <w:b w:val="0"/>
          <w:i w:val="0"/>
          <w:sz w:val="24"/>
        </w:rPr>
        <w:t>The principal findings of the study can be summarised as follows.</w:t>
      </w:r>
    </w:p>
    <w:p>
      <w:pPr>
        <w:pStyle w:val="ListBullet"/>
        <w:spacing w:after="60" w:line="360" w:lineRule="auto"/>
        <w:jc w:val="both"/>
      </w:pPr>
      <w:r>
        <w:rPr>
          <w:rFonts w:ascii="Times New Roman" w:hAnsi="Times New Roman" w:eastAsia="Times New Roman"/>
          <w:b/>
          <w:i w:val="0"/>
          <w:sz w:val="24"/>
        </w:rPr>
        <w:t xml:space="preserve">HR is strategic, not administrative. </w:t>
      </w:r>
      <w:r>
        <w:rPr>
          <w:rFonts w:ascii="Times New Roman" w:hAnsi="Times New Roman" w:eastAsia="Times New Roman"/>
          <w:b w:val="0"/>
          <w:i w:val="0"/>
          <w:sz w:val="24"/>
        </w:rPr>
        <w:t>Hyundai runs a mature, award-winning HR function in which people practices are clearly aligned to business strategy; HR is treated as a strategic partner, not an administrative function.</w:t>
      </w:r>
    </w:p>
    <w:p>
      <w:pPr>
        <w:pStyle w:val="ListBullet"/>
        <w:spacing w:after="60" w:line="360" w:lineRule="auto"/>
        <w:jc w:val="both"/>
      </w:pPr>
      <w:r>
        <w:rPr>
          <w:rFonts w:ascii="Times New Roman" w:hAnsi="Times New Roman" w:eastAsia="Times New Roman"/>
          <w:b/>
          <w:i w:val="0"/>
          <w:sz w:val="24"/>
        </w:rPr>
        <w:t xml:space="preserve">A clear organising logic. </w:t>
      </w:r>
      <w:r>
        <w:rPr>
          <w:rFonts w:ascii="Times New Roman" w:hAnsi="Times New Roman" w:eastAsia="Times New Roman"/>
          <w:b w:val="0"/>
          <w:i w:val="0"/>
          <w:sz w:val="24"/>
        </w:rPr>
        <w:t>the company’s HR system is organised around building deep capability, protecting safety and quality, and retaining experienced people, all in support of the electric-vehicle transition.</w:t>
      </w:r>
    </w:p>
    <w:p>
      <w:pPr>
        <w:pStyle w:val="ListBullet"/>
        <w:spacing w:after="60" w:line="360" w:lineRule="auto"/>
        <w:jc w:val="both"/>
      </w:pPr>
      <w:r>
        <w:rPr>
          <w:rFonts w:ascii="Times New Roman" w:hAnsi="Times New Roman" w:eastAsia="Times New Roman"/>
          <w:b/>
          <w:i w:val="0"/>
          <w:sz w:val="24"/>
        </w:rPr>
        <w:t xml:space="preserve">Learning is the flagship. </w:t>
      </w:r>
      <w:r>
        <w:rPr>
          <w:rFonts w:ascii="Times New Roman" w:hAnsi="Times New Roman" w:eastAsia="Times New Roman"/>
          <w:b w:val="0"/>
          <w:i w:val="0"/>
          <w:sz w:val="24"/>
        </w:rPr>
        <w:t>learning and development is the standout strength – an academy model, the 3Es philosophy and institution-linked EV reskilling make learning the primary engine of strategic change.</w:t>
      </w:r>
    </w:p>
    <w:p>
      <w:pPr>
        <w:pStyle w:val="ListBullet"/>
        <w:spacing w:after="60" w:line="360" w:lineRule="auto"/>
        <w:jc w:val="both"/>
      </w:pPr>
      <w:r>
        <w:rPr>
          <w:rFonts w:ascii="Times New Roman" w:hAnsi="Times New Roman" w:eastAsia="Times New Roman"/>
          <w:b/>
          <w:i w:val="0"/>
          <w:sz w:val="24"/>
        </w:rPr>
        <w:t xml:space="preserve">Role-based transformation stands out. </w:t>
      </w:r>
      <w:r>
        <w:rPr>
          <w:rFonts w:ascii="Times New Roman" w:hAnsi="Times New Roman" w:eastAsia="Times New Roman"/>
          <w:b w:val="0"/>
          <w:i w:val="0"/>
          <w:sz w:val="24"/>
        </w:rPr>
        <w:t>the Role-Based Organisation is a genuinely innovative structural reform that flattens hierarchy and enables more fluid careers, though it requires continuous communication to sustain.</w:t>
      </w:r>
    </w:p>
    <w:p>
      <w:pPr>
        <w:pStyle w:val="ListBullet"/>
        <w:spacing w:after="60" w:line="360" w:lineRule="auto"/>
        <w:jc w:val="both"/>
      </w:pPr>
      <w:r>
        <w:rPr>
          <w:rFonts w:ascii="Times New Roman" w:hAnsi="Times New Roman" w:eastAsia="Times New Roman"/>
          <w:b/>
          <w:i w:val="0"/>
          <w:sz w:val="24"/>
        </w:rPr>
        <w:t xml:space="preserve">Healthy employment relationship. </w:t>
      </w:r>
      <w:r>
        <w:rPr>
          <w:rFonts w:ascii="Times New Roman" w:hAnsi="Times New Roman" w:eastAsia="Times New Roman"/>
          <w:b w:val="0"/>
          <w:i w:val="0"/>
          <w:sz w:val="24"/>
        </w:rPr>
        <w:t>constructive employee relations, low attrition and a purpose-led culture point to a healthy employment relationship in a traditionally union-sensitive industry.</w:t>
      </w:r>
    </w:p>
    <w:p>
      <w:pPr>
        <w:pStyle w:val="ListBullet"/>
        <w:spacing w:after="60" w:line="360" w:lineRule="auto"/>
        <w:jc w:val="both"/>
      </w:pPr>
      <w:r>
        <w:rPr>
          <w:rFonts w:ascii="Times New Roman" w:hAnsi="Times New Roman" w:eastAsia="Times New Roman"/>
          <w:b/>
          <w:i w:val="0"/>
          <w:sz w:val="24"/>
        </w:rPr>
        <w:t xml:space="preserve">Focused areas for improvement. </w:t>
      </w:r>
      <w:r>
        <w:rPr>
          <w:rFonts w:ascii="Times New Roman" w:hAnsi="Times New Roman" w:eastAsia="Times New Roman"/>
          <w:b w:val="0"/>
          <w:i w:val="0"/>
          <w:sz w:val="24"/>
        </w:rPr>
        <w:t>the clearest improvement areas are explicit engagement measurement, a broader (mental-health-inclusive) well-being agenda, and accelerating gender diversity from a modest base.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7. Recommendations</w:t>
      </w:r>
    </w:p>
    <w:p>
      <w:pPr>
        <w:spacing w:after="120" w:before="0" w:line="360" w:lineRule="auto"/>
        <w:jc w:val="both"/>
      </w:pPr>
      <w:r>
        <w:rPr>
          <w:rFonts w:ascii="Times New Roman" w:hAnsi="Times New Roman" w:eastAsia="Times New Roman"/>
          <w:b w:val="0"/>
          <w:i w:val="0"/>
          <w:sz w:val="24"/>
        </w:rPr>
        <w:t>The following recommendations are intended to strengthen an already strong HR function. They are framed as refinements consistent with Hyundai’s strategy and industry context.</w:t>
      </w:r>
    </w:p>
    <w:p>
      <w:pPr>
        <w:pStyle w:val="ListBullet"/>
        <w:spacing w:after="60" w:line="360" w:lineRule="auto"/>
        <w:jc w:val="both"/>
      </w:pPr>
      <w:r>
        <w:rPr>
          <w:rFonts w:ascii="Times New Roman" w:hAnsi="Times New Roman" w:eastAsia="Times New Roman"/>
          <w:b/>
          <w:i w:val="0"/>
          <w:sz w:val="24"/>
        </w:rPr>
        <w:t xml:space="preserve">Measure engagement directly. </w:t>
      </w:r>
      <w:r>
        <w:rPr>
          <w:rFonts w:ascii="Times New Roman" w:hAnsi="Times New Roman" w:eastAsia="Times New Roman"/>
          <w:b w:val="0"/>
          <w:i w:val="0"/>
          <w:sz w:val="24"/>
        </w:rPr>
        <w:t>introduce explicit, published engagement measurement (an engagement score and an employee net-promoter score) and continuous listening tools to complement the current reliance on attrition data.</w:t>
      </w:r>
    </w:p>
    <w:p>
      <w:pPr>
        <w:pStyle w:val="ListBullet"/>
        <w:spacing w:after="60" w:line="360" w:lineRule="auto"/>
        <w:jc w:val="both"/>
      </w:pPr>
      <w:r>
        <w:rPr>
          <w:rFonts w:ascii="Times New Roman" w:hAnsi="Times New Roman" w:eastAsia="Times New Roman"/>
          <w:b/>
          <w:i w:val="0"/>
          <w:sz w:val="24"/>
        </w:rPr>
        <w:t xml:space="preserve">Widen the well-being agenda. </w:t>
      </w:r>
      <w:r>
        <w:rPr>
          <w:rFonts w:ascii="Times New Roman" w:hAnsi="Times New Roman" w:eastAsia="Times New Roman"/>
          <w:b w:val="0"/>
          <w:i w:val="0"/>
          <w:sz w:val="24"/>
        </w:rPr>
        <w:t>broaden well-being beyond physical safety to include structured mental-health support, employee-assistance programmes and financial-wellness resources.</w:t>
      </w:r>
    </w:p>
    <w:p>
      <w:pPr>
        <w:pStyle w:val="ListBullet"/>
        <w:spacing w:after="60" w:line="360" w:lineRule="auto"/>
        <w:jc w:val="both"/>
      </w:pPr>
      <w:r>
        <w:rPr>
          <w:rFonts w:ascii="Times New Roman" w:hAnsi="Times New Roman" w:eastAsia="Times New Roman"/>
          <w:b/>
          <w:i w:val="0"/>
          <w:sz w:val="24"/>
        </w:rPr>
        <w:t xml:space="preserve">Push harder on diversity. </w:t>
      </w:r>
      <w:r>
        <w:rPr>
          <w:rFonts w:ascii="Times New Roman" w:hAnsi="Times New Roman" w:eastAsia="Times New Roman"/>
          <w:b w:val="0"/>
          <w:i w:val="0"/>
          <w:sz w:val="24"/>
        </w:rPr>
        <w:t>accelerate gender diversity by extending flexible-working and returner programmes, setting transparent representation targets, and building on the success of TrailBlazHER and the strong campus gender ratio.</w:t>
      </w:r>
    </w:p>
    <w:p>
      <w:pPr>
        <w:pStyle w:val="ListBullet"/>
        <w:spacing w:after="60" w:line="360" w:lineRule="auto"/>
        <w:jc w:val="both"/>
      </w:pPr>
      <w:r>
        <w:rPr>
          <w:rFonts w:ascii="Times New Roman" w:hAnsi="Times New Roman" w:eastAsia="Times New Roman"/>
          <w:b/>
          <w:i w:val="0"/>
          <w:sz w:val="24"/>
        </w:rPr>
        <w:t xml:space="preserve">Extend and measure learning. </w:t>
      </w:r>
      <w:r>
        <w:rPr>
          <w:rFonts w:ascii="Times New Roman" w:hAnsi="Times New Roman" w:eastAsia="Times New Roman"/>
          <w:b w:val="0"/>
          <w:i w:val="0"/>
          <w:sz w:val="24"/>
        </w:rPr>
        <w:t>ensure the substantial academy investment reaches shop-floor, aftersales and dealership employees as fully as it reaches engineers and leaders, and measure learning impact rather than only learning hours.</w:t>
      </w:r>
    </w:p>
    <w:p>
      <w:pPr>
        <w:pStyle w:val="ListBullet"/>
        <w:spacing w:after="60" w:line="360" w:lineRule="auto"/>
        <w:jc w:val="both"/>
      </w:pPr>
      <w:r>
        <w:rPr>
          <w:rFonts w:ascii="Times New Roman" w:hAnsi="Times New Roman" w:eastAsia="Times New Roman"/>
          <w:b/>
          <w:i w:val="0"/>
          <w:sz w:val="24"/>
        </w:rPr>
        <w:t xml:space="preserve">Make careers and recognition visible. </w:t>
      </w:r>
      <w:r>
        <w:rPr>
          <w:rFonts w:ascii="Times New Roman" w:hAnsi="Times New Roman" w:eastAsia="Times New Roman"/>
          <w:b w:val="0"/>
          <w:i w:val="0"/>
          <w:sz w:val="24"/>
        </w:rPr>
        <w:t>formalise lateral-mobility maps within the role-based framework so that fluid careers become a visible everyday reality, and celebrate long-service milestones more openly to reinforce the psychological contract.</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8. Conclusion</w:t>
      </w:r>
    </w:p>
    <w:p>
      <w:pPr>
        <w:spacing w:after="120" w:before="0" w:line="360" w:lineRule="auto"/>
        <w:jc w:val="both"/>
      </w:pPr>
      <w:r>
        <w:rPr>
          <w:rFonts w:ascii="Times New Roman" w:hAnsi="Times New Roman" w:eastAsia="Times New Roman"/>
          <w:b w:val="0"/>
          <w:i w:val="0"/>
          <w:sz w:val="24"/>
        </w:rPr>
        <w:t>This study set out to examine the strategic HR practices of Hyundai Motor India and to evaluate how they support the company’s objectives. The evidence gathered across the HR functions supports a clear conclusion: Hyundai operates a sophisticated, strategically aligned HR function that has been carefully designed around the realities of the automobile industry – its scale and interdependence, its safety-critical nature, its scarce and contested talent, and, above all, its once-in-a-generation shift to electric mobility.</w:t>
      </w:r>
    </w:p>
    <w:p>
      <w:pPr>
        <w:spacing w:after="120" w:before="0" w:line="360" w:lineRule="auto"/>
        <w:jc w:val="both"/>
      </w:pPr>
      <w:r>
        <w:rPr>
          <w:rFonts w:ascii="Times New Roman" w:hAnsi="Times New Roman" w:eastAsia="Times New Roman"/>
          <w:b w:val="0"/>
          <w:i w:val="0"/>
          <w:sz w:val="24"/>
        </w:rPr>
        <w:t>The company’s greatest HR strength is its use of learning as an instrument of strategic change, closely followed by its bold move to a Role-Based Organisation and its ability to retain experienced people in a competitive market. Its opportunities for improvement – measuring engagement explicitly, broadening well-being into mental health, and accelerating gender diversity – are refinements to a fundamentally sound system rather than corrections of weaknesses.</w:t>
      </w:r>
    </w:p>
    <w:p>
      <w:pPr>
        <w:spacing w:after="120" w:before="0" w:line="360" w:lineRule="auto"/>
        <w:jc w:val="both"/>
      </w:pPr>
      <w:r>
        <w:rPr>
          <w:rFonts w:ascii="Times New Roman" w:hAnsi="Times New Roman" w:eastAsia="Times New Roman"/>
          <w:b w:val="0"/>
          <w:i w:val="0"/>
          <w:sz w:val="24"/>
        </w:rPr>
        <w:t>The wider lesson for a student of human-resource management is that excellent HR is never generic. Hyundai’s practices make sense precisely because they are tailored to the demands of its industry. As the company enters a new chapter under its first Indian Managing Director and continues its transition to electric and software-defined vehicles, its people function looks well placed to remain a genuine source of competitive advantage.</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References</w:t>
      </w:r>
    </w:p>
    <w:p>
      <w:pPr>
        <w:spacing w:after="120" w:before="0" w:line="360" w:lineRule="auto"/>
        <w:jc w:val="both"/>
      </w:pPr>
      <w:r>
        <w:rPr>
          <w:rFonts w:ascii="Times New Roman" w:hAnsi="Times New Roman" w:eastAsia="Times New Roman"/>
          <w:b w:val="0"/>
          <w:i/>
          <w:sz w:val="22"/>
        </w:rPr>
        <w:t>The following publicly available sources were consulted between January and June 2026. All information has been paraphrased and synthesised; figures reflect the most recent data disclosed by the sources at the time of writing.</w:t>
      </w:r>
    </w:p>
    <w:p>
      <w:pPr>
        <w:spacing w:after="120" w:before="0" w:line="360" w:lineRule="auto"/>
        <w:jc w:val="both"/>
      </w:pPr>
      <w:r>
        <w:rPr>
          <w:rFonts w:ascii="Times New Roman" w:hAnsi="Times New Roman" w:eastAsia="Times New Roman"/>
          <w:b w:val="0"/>
          <w:i w:val="0"/>
          <w:sz w:val="22"/>
        </w:rPr>
        <w:t>1.  Hyundai Motor India Limited. Integrated Annual Report 2024–25. Investor Relations, hyundai.com.</w:t>
      </w:r>
    </w:p>
    <w:p>
      <w:pPr>
        <w:spacing w:after="120" w:before="0" w:line="360" w:lineRule="auto"/>
        <w:jc w:val="both"/>
      </w:pPr>
      <w:r>
        <w:rPr>
          <w:rFonts w:ascii="Times New Roman" w:hAnsi="Times New Roman" w:eastAsia="Times New Roman"/>
          <w:b w:val="0"/>
          <w:i w:val="0"/>
          <w:sz w:val="22"/>
        </w:rPr>
        <w:t>2.  Hyundai Motor India Limited. Business Responsibility and Sustainability Report (BRSR), 2024–25. hyundai.com.</w:t>
      </w:r>
    </w:p>
    <w:p>
      <w:pPr>
        <w:spacing w:after="120" w:before="0" w:line="360" w:lineRule="auto"/>
        <w:jc w:val="both"/>
      </w:pPr>
      <w:r>
        <w:rPr>
          <w:rFonts w:ascii="Times New Roman" w:hAnsi="Times New Roman" w:eastAsia="Times New Roman"/>
          <w:b w:val="0"/>
          <w:i w:val="0"/>
          <w:sz w:val="22"/>
        </w:rPr>
        <w:t>3.  Hyundai Motor India Limited. “Hyundai Motor India Named Top Employer in India for the 3rd Consecutive Year.” Media Center, hyundai.com.</w:t>
      </w:r>
    </w:p>
    <w:p>
      <w:pPr>
        <w:spacing w:after="120" w:before="0" w:line="360" w:lineRule="auto"/>
        <w:jc w:val="both"/>
      </w:pPr>
      <w:r>
        <w:rPr>
          <w:rFonts w:ascii="Times New Roman" w:hAnsi="Times New Roman" w:eastAsia="Times New Roman"/>
          <w:b w:val="0"/>
          <w:i w:val="0"/>
          <w:sz w:val="22"/>
        </w:rPr>
        <w:t>4.  The Times of India. “Hyundai Motor India earns first-ever Top Employer certification in India for 2024.” timesofindia.indiatimes.com.</w:t>
      </w:r>
    </w:p>
    <w:p>
      <w:pPr>
        <w:spacing w:after="120" w:before="0" w:line="360" w:lineRule="auto"/>
        <w:jc w:val="both"/>
      </w:pPr>
      <w:r>
        <w:rPr>
          <w:rFonts w:ascii="Times New Roman" w:hAnsi="Times New Roman" w:eastAsia="Times New Roman"/>
          <w:b w:val="0"/>
          <w:i w:val="0"/>
          <w:sz w:val="22"/>
        </w:rPr>
        <w:t>5.  People Matters. “Hyundai Motor’s Charles Walter shares the 3Es of impactful workplace learning.” peoplematters.in.</w:t>
      </w:r>
    </w:p>
    <w:p>
      <w:pPr>
        <w:spacing w:after="120" w:before="0" w:line="360" w:lineRule="auto"/>
        <w:jc w:val="both"/>
      </w:pPr>
      <w:r>
        <w:rPr>
          <w:rFonts w:ascii="Times New Roman" w:hAnsi="Times New Roman" w:eastAsia="Times New Roman"/>
          <w:b w:val="0"/>
          <w:i w:val="0"/>
          <w:sz w:val="22"/>
        </w:rPr>
        <w:t>6.  People Matters. “World EV Day: The toughest EV upgrade? Mindsets, says Hyundai HR chief.” peoplematters.in.</w:t>
      </w:r>
    </w:p>
    <w:p>
      <w:pPr>
        <w:spacing w:after="120" w:before="0" w:line="360" w:lineRule="auto"/>
        <w:jc w:val="both"/>
      </w:pPr>
      <w:r>
        <w:rPr>
          <w:rFonts w:ascii="Times New Roman" w:hAnsi="Times New Roman" w:eastAsia="Times New Roman"/>
          <w:b w:val="0"/>
          <w:i w:val="0"/>
          <w:sz w:val="22"/>
        </w:rPr>
        <w:t>7.  BW People. “Hyundai Motors Is Transforming HR Practices For Role-Based Organisational Excellence.” bwpeople.in.</w:t>
      </w:r>
    </w:p>
    <w:p>
      <w:pPr>
        <w:spacing w:after="120" w:before="0" w:line="360" w:lineRule="auto"/>
        <w:jc w:val="both"/>
      </w:pPr>
      <w:r>
        <w:rPr>
          <w:rFonts w:ascii="Times New Roman" w:hAnsi="Times New Roman" w:eastAsia="Times New Roman"/>
          <w:b w:val="0"/>
          <w:i w:val="0"/>
          <w:sz w:val="22"/>
        </w:rPr>
        <w:t>8.  ETHRWorld (The Economic Times). “How Hyundai Motor India implemented the role-based organisation structure.” hr.economictimes.indiatimes.com.</w:t>
      </w:r>
    </w:p>
    <w:p>
      <w:pPr>
        <w:spacing w:after="120" w:before="0" w:line="360" w:lineRule="auto"/>
        <w:jc w:val="both"/>
      </w:pPr>
      <w:r>
        <w:rPr>
          <w:rFonts w:ascii="Times New Roman" w:hAnsi="Times New Roman" w:eastAsia="Times New Roman"/>
          <w:b w:val="0"/>
          <w:i w:val="0"/>
          <w:sz w:val="22"/>
        </w:rPr>
        <w:t>9.  ETHRWorld (The Economic Times). “Hyundai Motor India’s Strategic Leadership Development Post-IPO” and “Hyundai Motor India elevates Tarun Garg as MD &amp; CEO.” hr.economictimes.indiatimes.com.</w:t>
      </w:r>
    </w:p>
    <w:p>
      <w:pPr>
        <w:spacing w:after="120" w:before="0" w:line="360" w:lineRule="auto"/>
        <w:jc w:val="both"/>
      </w:pPr>
      <w:r>
        <w:rPr>
          <w:rFonts w:ascii="Times New Roman" w:hAnsi="Times New Roman" w:eastAsia="Times New Roman"/>
          <w:b w:val="0"/>
          <w:i w:val="0"/>
          <w:sz w:val="22"/>
        </w:rPr>
        <w:t>10.  Hyundai Motor India Limited. Corporate Social Responsibility pages and CSR Policy, hyundai.com.</w:t>
      </w:r>
    </w:p>
    <w:p>
      <w:pPr>
        <w:spacing w:after="120" w:before="0" w:line="360" w:lineRule="auto"/>
        <w:jc w:val="both"/>
      </w:pPr>
      <w:r>
        <w:rPr>
          <w:rFonts w:ascii="Times New Roman" w:hAnsi="Times New Roman" w:eastAsia="Times New Roman"/>
          <w:b w:val="0"/>
          <w:i w:val="0"/>
          <w:sz w:val="22"/>
        </w:rPr>
        <w:t>11.  Armstrong, M. Armstrong’s Handbook of Human Resource Management Practice – for the SHRM, best-fit/best-practice, Harvard, Ulrich, AMO and RBV frameworks in Chapter 2.</w:t>
      </w:r>
    </w:p>
    <w:p>
      <w:pPr>
        <w:spacing w:after="120" w:before="0" w:line="360" w:lineRule="auto"/>
        <w:jc w:val="both"/>
      </w:pPr>
      <w:r>
        <w:rPr>
          <w:rFonts w:ascii="Times New Roman" w:hAnsi="Times New Roman" w:eastAsia="Times New Roman"/>
          <w:b w:val="0"/>
          <w:i w:val="0"/>
          <w:sz w:val="22"/>
        </w:rPr>
        <w:t>12.  Herzberg, F. “One More Time: How Do You Motivate Employees?” Harvard Business Review – for the two-factor theory referenced in Chapters 2 and 4.</w:t>
      </w:r>
    </w:p>
    <w:p>
      <w:r>
        <w:br w:type="page"/>
      </w: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Appendix A: Mapping HR Practices to Industry Drivers</w:t>
      </w:r>
    </w:p>
    <w:p>
      <w:pPr>
        <w:spacing w:after="120" w:before="0" w:line="360" w:lineRule="auto"/>
        <w:jc w:val="both"/>
      </w:pPr>
      <w:r>
        <w:rPr>
          <w:rFonts w:ascii="Times New Roman" w:hAnsi="Times New Roman" w:eastAsia="Times New Roman"/>
          <w:b w:val="0"/>
          <w:i w:val="0"/>
          <w:sz w:val="24"/>
        </w:rPr>
        <w:t>The table below consolidates the central argument of the report – that each HR practice at Hyundai is a response to a specific feature of the automobile industry.</w:t>
      </w:r>
    </w:p>
    <w:tbl>
      <w:tblPr>
        <w:tblStyle w:val="LightGrid-Accent1"/>
        <w:tblW w:type="auto" w:w="0"/>
        <w:tblLook w:firstColumn="1" w:firstRow="1" w:lastColumn="0" w:lastRow="0" w:noHBand="0" w:noVBand="1" w:val="04A0"/>
      </w:tblPr>
      <w:tblGrid>
        <w:gridCol w:w="3072"/>
        <w:gridCol w:w="3072"/>
        <w:gridCol w:w="3072"/>
      </w:tblGrid>
      <w:tr>
        <w:tc>
          <w:tcPr>
            <w:tcW w:type="dxa" w:w="3072"/>
            <w:shd w:val="clear" w:color="auto" w:fill="2E5496"/>
          </w:tcPr>
          <w:p>
            <w:pPr>
              <w:jc w:val="center"/>
            </w:pPr>
            <w:r/>
            <w:r>
              <w:rPr>
                <w:rFonts w:ascii="Times New Roman" w:hAnsi="Times New Roman" w:eastAsia="Times New Roman"/>
                <w:b/>
                <w:i w:val="0"/>
                <w:color w:val="FFFFFF"/>
                <w:sz w:val="22"/>
              </w:rPr>
              <w:t>HR function</w:t>
            </w:r>
          </w:p>
        </w:tc>
        <w:tc>
          <w:tcPr>
            <w:tcW w:type="dxa" w:w="3072"/>
            <w:shd w:val="clear" w:color="auto" w:fill="2E5496"/>
          </w:tcPr>
          <w:p>
            <w:pPr>
              <w:jc w:val="center"/>
            </w:pPr>
            <w:r/>
            <w:r>
              <w:rPr>
                <w:rFonts w:ascii="Times New Roman" w:hAnsi="Times New Roman" w:eastAsia="Times New Roman"/>
                <w:b/>
                <w:i w:val="0"/>
                <w:color w:val="FFFFFF"/>
                <w:sz w:val="22"/>
              </w:rPr>
              <w:t>Signature practice</w:t>
            </w:r>
          </w:p>
        </w:tc>
        <w:tc>
          <w:tcPr>
            <w:tcW w:type="dxa" w:w="3072"/>
            <w:shd w:val="clear" w:color="auto" w:fill="2E5496"/>
          </w:tcPr>
          <w:p>
            <w:pPr>
              <w:jc w:val="center"/>
            </w:pPr>
            <w:r/>
            <w:r>
              <w:rPr>
                <w:rFonts w:ascii="Times New Roman" w:hAnsi="Times New Roman" w:eastAsia="Times New Roman"/>
                <w:b/>
                <w:i w:val="0"/>
                <w:color w:val="FFFFFF"/>
                <w:sz w:val="22"/>
              </w:rPr>
              <w:t>Dominant industry driver</w:t>
            </w:r>
          </w:p>
        </w:tc>
      </w:tr>
      <w:tr>
        <w:tc>
          <w:tcPr>
            <w:tcW w:type="dxa" w:w="3072"/>
          </w:tcPr>
          <w:p>
            <w:pPr>
              <w:spacing w:after="40" w:line="240" w:lineRule="auto"/>
            </w:pPr>
            <w:r/>
            <w:r>
              <w:rPr>
                <w:rFonts w:ascii="Times New Roman" w:hAnsi="Times New Roman" w:eastAsia="Times New Roman"/>
                <w:b/>
                <w:i w:val="0"/>
                <w:sz w:val="21"/>
              </w:rPr>
              <w:t>Employer branding</w:t>
            </w:r>
          </w:p>
        </w:tc>
        <w:tc>
          <w:tcPr>
            <w:tcW w:type="dxa" w:w="3072"/>
          </w:tcPr>
          <w:p>
            <w:pPr>
              <w:spacing w:after="40" w:line="240" w:lineRule="auto"/>
            </w:pPr>
            <w:r/>
            <w:r>
              <w:rPr>
                <w:rFonts w:ascii="Times New Roman" w:hAnsi="Times New Roman" w:eastAsia="Times New Roman"/>
                <w:b w:val="0"/>
                <w:i w:val="0"/>
                <w:sz w:val="21"/>
              </w:rPr>
              <w:t>‘Progress for Humanity’; Top Employer status</w:t>
            </w:r>
          </w:p>
        </w:tc>
        <w:tc>
          <w:tcPr>
            <w:tcW w:type="dxa" w:w="3072"/>
          </w:tcPr>
          <w:p>
            <w:pPr>
              <w:spacing w:after="40" w:line="240" w:lineRule="auto"/>
            </w:pPr>
            <w:r/>
            <w:r>
              <w:rPr>
                <w:rFonts w:ascii="Times New Roman" w:hAnsi="Times New Roman" w:eastAsia="Times New Roman"/>
                <w:b w:val="0"/>
                <w:i w:val="0"/>
                <w:sz w:val="21"/>
              </w:rPr>
              <w:t>Scarce, contested engineering talent</w:t>
            </w:r>
          </w:p>
        </w:tc>
      </w:tr>
      <w:tr>
        <w:tc>
          <w:tcPr>
            <w:tcW w:type="dxa" w:w="3072"/>
          </w:tcPr>
          <w:p>
            <w:pPr>
              <w:spacing w:after="40" w:line="240" w:lineRule="auto"/>
            </w:pPr>
            <w:r/>
            <w:r>
              <w:rPr>
                <w:rFonts w:ascii="Times New Roman" w:hAnsi="Times New Roman" w:eastAsia="Times New Roman"/>
                <w:b/>
                <w:i w:val="0"/>
                <w:sz w:val="21"/>
              </w:rPr>
              <w:t>Recruitment</w:t>
            </w:r>
          </w:p>
        </w:tc>
        <w:tc>
          <w:tcPr>
            <w:tcW w:type="dxa" w:w="3072"/>
          </w:tcPr>
          <w:p>
            <w:pPr>
              <w:spacing w:after="40" w:line="240" w:lineRule="auto"/>
            </w:pPr>
            <w:r/>
            <w:r>
              <w:rPr>
                <w:rFonts w:ascii="Times New Roman" w:hAnsi="Times New Roman" w:eastAsia="Times New Roman"/>
                <w:b w:val="0"/>
                <w:i w:val="0"/>
                <w:sz w:val="21"/>
              </w:rPr>
              <w:t>Young Talent Program; role-based hiring</w:t>
            </w:r>
          </w:p>
        </w:tc>
        <w:tc>
          <w:tcPr>
            <w:tcW w:type="dxa" w:w="3072"/>
          </w:tcPr>
          <w:p>
            <w:pPr>
              <w:spacing w:after="40" w:line="240" w:lineRule="auto"/>
            </w:pPr>
            <w:r/>
            <w:r>
              <w:rPr>
                <w:rFonts w:ascii="Times New Roman" w:hAnsi="Times New Roman" w:eastAsia="Times New Roman"/>
                <w:b w:val="0"/>
                <w:i w:val="0"/>
                <w:sz w:val="21"/>
              </w:rPr>
              <w:t>Cost/safety risk of a poor technical hire</w:t>
            </w:r>
          </w:p>
        </w:tc>
      </w:tr>
      <w:tr>
        <w:tc>
          <w:tcPr>
            <w:tcW w:type="dxa" w:w="3072"/>
          </w:tcPr>
          <w:p>
            <w:pPr>
              <w:spacing w:after="40" w:line="240" w:lineRule="auto"/>
            </w:pPr>
            <w:r/>
            <w:r>
              <w:rPr>
                <w:rFonts w:ascii="Times New Roman" w:hAnsi="Times New Roman" w:eastAsia="Times New Roman"/>
                <w:b/>
                <w:i w:val="0"/>
                <w:sz w:val="21"/>
              </w:rPr>
              <w:t>Learning &amp; development</w:t>
            </w:r>
          </w:p>
        </w:tc>
        <w:tc>
          <w:tcPr>
            <w:tcW w:type="dxa" w:w="3072"/>
          </w:tcPr>
          <w:p>
            <w:pPr>
              <w:spacing w:after="40" w:line="240" w:lineRule="auto"/>
            </w:pPr>
            <w:r/>
            <w:r>
              <w:rPr>
                <w:rFonts w:ascii="Times New Roman" w:hAnsi="Times New Roman" w:eastAsia="Times New Roman"/>
                <w:b w:val="0"/>
                <w:i w:val="0"/>
                <w:sz w:val="21"/>
              </w:rPr>
              <w:t>Academies; 3Es; EV reskilling</w:t>
            </w:r>
          </w:p>
        </w:tc>
        <w:tc>
          <w:tcPr>
            <w:tcW w:type="dxa" w:w="3072"/>
          </w:tcPr>
          <w:p>
            <w:pPr>
              <w:spacing w:after="40" w:line="240" w:lineRule="auto"/>
            </w:pPr>
            <w:r/>
            <w:r>
              <w:rPr>
                <w:rFonts w:ascii="Times New Roman" w:hAnsi="Times New Roman" w:eastAsia="Times New Roman"/>
                <w:b w:val="0"/>
                <w:i w:val="0"/>
                <w:sz w:val="21"/>
              </w:rPr>
              <w:t>Technology disruption (EV transition)</w:t>
            </w:r>
          </w:p>
        </w:tc>
      </w:tr>
      <w:tr>
        <w:tc>
          <w:tcPr>
            <w:tcW w:type="dxa" w:w="3072"/>
          </w:tcPr>
          <w:p>
            <w:pPr>
              <w:spacing w:after="40" w:line="240" w:lineRule="auto"/>
            </w:pPr>
            <w:r/>
            <w:r>
              <w:rPr>
                <w:rFonts w:ascii="Times New Roman" w:hAnsi="Times New Roman" w:eastAsia="Times New Roman"/>
                <w:b/>
                <w:i w:val="0"/>
                <w:sz w:val="21"/>
              </w:rPr>
              <w:t>Performance</w:t>
            </w:r>
          </w:p>
        </w:tc>
        <w:tc>
          <w:tcPr>
            <w:tcW w:type="dxa" w:w="3072"/>
          </w:tcPr>
          <w:p>
            <w:pPr>
              <w:spacing w:after="40" w:line="240" w:lineRule="auto"/>
            </w:pPr>
            <w:r/>
            <w:r>
              <w:rPr>
                <w:rFonts w:ascii="Times New Roman" w:hAnsi="Times New Roman" w:eastAsia="Times New Roman"/>
                <w:b w:val="0"/>
                <w:i w:val="0"/>
                <w:sz w:val="21"/>
              </w:rPr>
              <w:t>Role-Based Organisation</w:t>
            </w:r>
          </w:p>
        </w:tc>
        <w:tc>
          <w:tcPr>
            <w:tcW w:type="dxa" w:w="3072"/>
          </w:tcPr>
          <w:p>
            <w:pPr>
              <w:spacing w:after="40" w:line="240" w:lineRule="auto"/>
            </w:pPr>
            <w:r/>
            <w:r>
              <w:rPr>
                <w:rFonts w:ascii="Times New Roman" w:hAnsi="Times New Roman" w:eastAsia="Times New Roman"/>
                <w:b w:val="0"/>
                <w:i w:val="0"/>
                <w:sz w:val="21"/>
              </w:rPr>
              <w:t>Interdependent, safety-critical work</w:t>
            </w:r>
          </w:p>
        </w:tc>
      </w:tr>
      <w:tr>
        <w:tc>
          <w:tcPr>
            <w:tcW w:type="dxa" w:w="3072"/>
          </w:tcPr>
          <w:p>
            <w:pPr>
              <w:spacing w:after="40" w:line="240" w:lineRule="auto"/>
            </w:pPr>
            <w:r/>
            <w:r>
              <w:rPr>
                <w:rFonts w:ascii="Times New Roman" w:hAnsi="Times New Roman" w:eastAsia="Times New Roman"/>
                <w:b/>
                <w:i w:val="0"/>
                <w:sz w:val="21"/>
              </w:rPr>
              <w:t>Compensation</w:t>
            </w:r>
          </w:p>
        </w:tc>
        <w:tc>
          <w:tcPr>
            <w:tcW w:type="dxa" w:w="3072"/>
          </w:tcPr>
          <w:p>
            <w:pPr>
              <w:spacing w:after="40" w:line="240" w:lineRule="auto"/>
            </w:pPr>
            <w:r/>
            <w:r>
              <w:rPr>
                <w:rFonts w:ascii="Times New Roman" w:hAnsi="Times New Roman" w:eastAsia="Times New Roman"/>
                <w:b w:val="0"/>
                <w:i w:val="0"/>
                <w:sz w:val="21"/>
              </w:rPr>
              <w:t>Role-linked, market-competitive pay</w:t>
            </w:r>
          </w:p>
        </w:tc>
        <w:tc>
          <w:tcPr>
            <w:tcW w:type="dxa" w:w="3072"/>
          </w:tcPr>
          <w:p>
            <w:pPr>
              <w:spacing w:after="40" w:line="240" w:lineRule="auto"/>
            </w:pPr>
            <w:r/>
            <w:r>
              <w:rPr>
                <w:rFonts w:ascii="Times New Roman" w:hAnsi="Times New Roman" w:eastAsia="Times New Roman"/>
                <w:b w:val="0"/>
                <w:i w:val="0"/>
                <w:sz w:val="21"/>
              </w:rPr>
              <w:t>Listed-company norms; stable careers</w:t>
            </w:r>
          </w:p>
        </w:tc>
      </w:tr>
      <w:tr>
        <w:tc>
          <w:tcPr>
            <w:tcW w:type="dxa" w:w="3072"/>
          </w:tcPr>
          <w:p>
            <w:pPr>
              <w:spacing w:after="40" w:line="240" w:lineRule="auto"/>
            </w:pPr>
            <w:r/>
            <w:r>
              <w:rPr>
                <w:rFonts w:ascii="Times New Roman" w:hAnsi="Times New Roman" w:eastAsia="Times New Roman"/>
                <w:b/>
                <w:i w:val="0"/>
                <w:sz w:val="21"/>
              </w:rPr>
              <w:t>Engagement</w:t>
            </w:r>
          </w:p>
        </w:tc>
        <w:tc>
          <w:tcPr>
            <w:tcW w:type="dxa" w:w="3072"/>
          </w:tcPr>
          <w:p>
            <w:pPr>
              <w:spacing w:after="40" w:line="240" w:lineRule="auto"/>
            </w:pPr>
            <w:r/>
            <w:r>
              <w:rPr>
                <w:rFonts w:ascii="Times New Roman" w:hAnsi="Times New Roman" w:eastAsia="Times New Roman"/>
                <w:b w:val="0"/>
                <w:i w:val="0"/>
                <w:sz w:val="21"/>
              </w:rPr>
              <w:t>Purpose, mentoring, low attrition</w:t>
            </w:r>
          </w:p>
        </w:tc>
        <w:tc>
          <w:tcPr>
            <w:tcW w:type="dxa" w:w="3072"/>
          </w:tcPr>
          <w:p>
            <w:pPr>
              <w:spacing w:after="40" w:line="240" w:lineRule="auto"/>
            </w:pPr>
            <w:r/>
            <w:r>
              <w:rPr>
                <w:rFonts w:ascii="Times New Roman" w:hAnsi="Times New Roman" w:eastAsia="Times New Roman"/>
                <w:b w:val="0"/>
                <w:i w:val="0"/>
                <w:sz w:val="21"/>
              </w:rPr>
              <w:t>Long production cycles; retention value</w:t>
            </w:r>
          </w:p>
        </w:tc>
      </w:tr>
      <w:tr>
        <w:tc>
          <w:tcPr>
            <w:tcW w:type="dxa" w:w="3072"/>
          </w:tcPr>
          <w:p>
            <w:pPr>
              <w:spacing w:after="40" w:line="240" w:lineRule="auto"/>
            </w:pPr>
            <w:r/>
            <w:r>
              <w:rPr>
                <w:rFonts w:ascii="Times New Roman" w:hAnsi="Times New Roman" w:eastAsia="Times New Roman"/>
                <w:b/>
                <w:i w:val="0"/>
                <w:sz w:val="21"/>
              </w:rPr>
              <w:t>DEI</w:t>
            </w:r>
          </w:p>
        </w:tc>
        <w:tc>
          <w:tcPr>
            <w:tcW w:type="dxa" w:w="3072"/>
          </w:tcPr>
          <w:p>
            <w:pPr>
              <w:spacing w:after="40" w:line="240" w:lineRule="auto"/>
            </w:pPr>
            <w:r/>
            <w:r>
              <w:rPr>
                <w:rFonts w:ascii="Times New Roman" w:hAnsi="Times New Roman" w:eastAsia="Times New Roman"/>
                <w:b w:val="0"/>
                <w:i w:val="0"/>
                <w:sz w:val="21"/>
              </w:rPr>
              <w:t>TrailBlazHER; Samarth</w:t>
            </w:r>
          </w:p>
        </w:tc>
        <w:tc>
          <w:tcPr>
            <w:tcW w:type="dxa" w:w="3072"/>
          </w:tcPr>
          <w:p>
            <w:pPr>
              <w:spacing w:after="40" w:line="240" w:lineRule="auto"/>
            </w:pPr>
            <w:r/>
            <w:r>
              <w:rPr>
                <w:rFonts w:ascii="Times New Roman" w:hAnsi="Times New Roman" w:eastAsia="Times New Roman"/>
                <w:b w:val="0"/>
                <w:i w:val="0"/>
                <w:sz w:val="21"/>
              </w:rPr>
              <w:t>Shift-based work; widening the talent pool</w:t>
            </w:r>
          </w:p>
        </w:tc>
      </w:tr>
      <w:tr>
        <w:tc>
          <w:tcPr>
            <w:tcW w:type="dxa" w:w="3072"/>
          </w:tcPr>
          <w:p>
            <w:pPr>
              <w:spacing w:after="40" w:line="240" w:lineRule="auto"/>
            </w:pPr>
            <w:r/>
            <w:r>
              <w:rPr>
                <w:rFonts w:ascii="Times New Roman" w:hAnsi="Times New Roman" w:eastAsia="Times New Roman"/>
                <w:b/>
                <w:i w:val="0"/>
                <w:sz w:val="21"/>
              </w:rPr>
              <w:t>Career development</w:t>
            </w:r>
          </w:p>
        </w:tc>
        <w:tc>
          <w:tcPr>
            <w:tcW w:type="dxa" w:w="3072"/>
          </w:tcPr>
          <w:p>
            <w:pPr>
              <w:spacing w:after="40" w:line="240" w:lineRule="auto"/>
            </w:pPr>
            <w:r/>
            <w:r>
              <w:rPr>
                <w:rFonts w:ascii="Times New Roman" w:hAnsi="Times New Roman" w:eastAsia="Times New Roman"/>
                <w:b w:val="0"/>
                <w:i w:val="0"/>
                <w:sz w:val="21"/>
              </w:rPr>
              <w:t>Core Talent Program; fluid roles</w:t>
            </w:r>
          </w:p>
        </w:tc>
        <w:tc>
          <w:tcPr>
            <w:tcW w:type="dxa" w:w="3072"/>
          </w:tcPr>
          <w:p>
            <w:pPr>
              <w:spacing w:after="40" w:line="240" w:lineRule="auto"/>
            </w:pPr>
            <w:r/>
            <w:r>
              <w:rPr>
                <w:rFonts w:ascii="Times New Roman" w:hAnsi="Times New Roman" w:eastAsia="Times New Roman"/>
                <w:b w:val="0"/>
                <w:i w:val="0"/>
                <w:sz w:val="21"/>
              </w:rPr>
              <w:t>Cumulative technical mastery</w:t>
            </w:r>
          </w:p>
        </w:tc>
      </w:tr>
      <w:tr>
        <w:tc>
          <w:tcPr>
            <w:tcW w:type="dxa" w:w="3072"/>
          </w:tcPr>
          <w:p>
            <w:pPr>
              <w:spacing w:after="40" w:line="240" w:lineRule="auto"/>
            </w:pPr>
            <w:r/>
            <w:r>
              <w:rPr>
                <w:rFonts w:ascii="Times New Roman" w:hAnsi="Times New Roman" w:eastAsia="Times New Roman"/>
                <w:b/>
                <w:i w:val="0"/>
                <w:sz w:val="21"/>
              </w:rPr>
              <w:t>HR technology</w:t>
            </w:r>
          </w:p>
        </w:tc>
        <w:tc>
          <w:tcPr>
            <w:tcW w:type="dxa" w:w="3072"/>
          </w:tcPr>
          <w:p>
            <w:pPr>
              <w:spacing w:after="40" w:line="240" w:lineRule="auto"/>
            </w:pPr>
            <w:r/>
            <w:r>
              <w:rPr>
                <w:rFonts w:ascii="Times New Roman" w:hAnsi="Times New Roman" w:eastAsia="Times New Roman"/>
                <w:b w:val="0"/>
                <w:i w:val="0"/>
                <w:sz w:val="21"/>
              </w:rPr>
              <w:t>Digital learning; reskilling</w:t>
            </w:r>
          </w:p>
        </w:tc>
        <w:tc>
          <w:tcPr>
            <w:tcW w:type="dxa" w:w="3072"/>
          </w:tcPr>
          <w:p>
            <w:pPr>
              <w:spacing w:after="40" w:line="240" w:lineRule="auto"/>
            </w:pPr>
            <w:r/>
            <w:r>
              <w:rPr>
                <w:rFonts w:ascii="Times New Roman" w:hAnsi="Times New Roman" w:eastAsia="Times New Roman"/>
                <w:b w:val="0"/>
                <w:i w:val="0"/>
                <w:sz w:val="21"/>
              </w:rPr>
              <w:t>Product technology shift</w:t>
            </w:r>
          </w:p>
        </w:tc>
      </w:tr>
      <w:tr>
        <w:tc>
          <w:tcPr>
            <w:tcW w:type="dxa" w:w="3072"/>
          </w:tcPr>
          <w:p>
            <w:pPr>
              <w:spacing w:after="40" w:line="240" w:lineRule="auto"/>
            </w:pPr>
            <w:r/>
            <w:r>
              <w:rPr>
                <w:rFonts w:ascii="Times New Roman" w:hAnsi="Times New Roman" w:eastAsia="Times New Roman"/>
                <w:b/>
                <w:i w:val="0"/>
                <w:sz w:val="21"/>
              </w:rPr>
              <w:t>Well-being</w:t>
            </w:r>
          </w:p>
        </w:tc>
        <w:tc>
          <w:tcPr>
            <w:tcW w:type="dxa" w:w="3072"/>
          </w:tcPr>
          <w:p>
            <w:pPr>
              <w:spacing w:after="40" w:line="240" w:lineRule="auto"/>
            </w:pPr>
            <w:r/>
            <w:r>
              <w:rPr>
                <w:rFonts w:ascii="Times New Roman" w:hAnsi="Times New Roman" w:eastAsia="Times New Roman"/>
                <w:b w:val="0"/>
                <w:i w:val="0"/>
                <w:sz w:val="21"/>
              </w:rPr>
              <w:t>Safety-first culture</w:t>
            </w:r>
          </w:p>
        </w:tc>
        <w:tc>
          <w:tcPr>
            <w:tcW w:type="dxa" w:w="3072"/>
          </w:tcPr>
          <w:p>
            <w:pPr>
              <w:spacing w:after="40" w:line="240" w:lineRule="auto"/>
            </w:pPr>
            <w:r/>
            <w:r>
              <w:rPr>
                <w:rFonts w:ascii="Times New Roman" w:hAnsi="Times New Roman" w:eastAsia="Times New Roman"/>
                <w:b w:val="0"/>
                <w:i w:val="0"/>
                <w:sz w:val="21"/>
              </w:rPr>
              <w:t>Physical risk as first duty of care</w:t>
            </w:r>
          </w:p>
        </w:tc>
      </w:tr>
      <w:tr>
        <w:tc>
          <w:tcPr>
            <w:tcW w:type="dxa" w:w="3072"/>
          </w:tcPr>
          <w:p>
            <w:pPr>
              <w:spacing w:after="40" w:line="240" w:lineRule="auto"/>
            </w:pPr>
            <w:r/>
            <w:r>
              <w:rPr>
                <w:rFonts w:ascii="Times New Roman" w:hAnsi="Times New Roman" w:eastAsia="Times New Roman"/>
                <w:b/>
                <w:i w:val="0"/>
                <w:sz w:val="21"/>
              </w:rPr>
              <w:t>Employee relations</w:t>
            </w:r>
          </w:p>
        </w:tc>
        <w:tc>
          <w:tcPr>
            <w:tcW w:type="dxa" w:w="3072"/>
          </w:tcPr>
          <w:p>
            <w:pPr>
              <w:spacing w:after="40" w:line="240" w:lineRule="auto"/>
            </w:pPr>
            <w:r/>
            <w:r>
              <w:rPr>
                <w:rFonts w:ascii="Times New Roman" w:hAnsi="Times New Roman" w:eastAsia="Times New Roman"/>
                <w:b w:val="0"/>
                <w:i w:val="0"/>
                <w:sz w:val="21"/>
              </w:rPr>
              <w:t>Voice, participation, dialogue</w:t>
            </w:r>
          </w:p>
        </w:tc>
        <w:tc>
          <w:tcPr>
            <w:tcW w:type="dxa" w:w="3072"/>
          </w:tcPr>
          <w:p>
            <w:pPr>
              <w:spacing w:after="40" w:line="240" w:lineRule="auto"/>
            </w:pPr>
            <w:r/>
            <w:r>
              <w:rPr>
                <w:rFonts w:ascii="Times New Roman" w:hAnsi="Times New Roman" w:eastAsia="Times New Roman"/>
                <w:b w:val="0"/>
                <w:i w:val="0"/>
                <w:sz w:val="21"/>
              </w:rPr>
              <w:t>Organised labour; production continuity</w:t>
            </w:r>
          </w:p>
        </w:tc>
      </w:tr>
    </w:tbl>
    <w:p>
      <w:pPr>
        <w:spacing w:after="40"/>
      </w:pPr>
    </w:p>
    <w:p>
      <w:pPr>
        <w:spacing w:after="0"/>
      </w:pPr>
    </w:p>
    <w:p>
      <w:pPr>
        <w:keepNext/>
        <w:spacing w:before="120" w:after="200"/>
        <w:pBdr>
          <w:bottom w:val="single" w:sz="6" w:space="2" w:color="1F3864"/>
        </w:pBdr>
      </w:pPr>
      <w:r>
        <w:rPr>
          <w:rFonts w:ascii="Times New Roman" w:hAnsi="Times New Roman" w:eastAsia="Times New Roman"/>
          <w:b/>
          <w:i w:val="0"/>
          <w:color w:val="1F3864"/>
          <w:sz w:val="32"/>
        </w:rPr>
        <w:t>Appendix B: Glossary of Key HR Terms</w:t>
      </w:r>
    </w:p>
    <w:p>
      <w:pPr>
        <w:spacing w:after="120" w:before="0" w:line="360" w:lineRule="auto"/>
        <w:jc w:val="both"/>
      </w:pPr>
      <w:r>
        <w:rPr>
          <w:rFonts w:ascii="Times New Roman" w:hAnsi="Times New Roman" w:eastAsia="Times New Roman"/>
          <w:b w:val="0"/>
          <w:i w:val="0"/>
          <w:sz w:val="24"/>
        </w:rPr>
        <w:t>The following short glossary defines the main technical terms used in this report.</w:t>
      </w:r>
    </w:p>
    <w:p>
      <w:pPr>
        <w:pStyle w:val="ListBullet"/>
        <w:spacing w:after="60" w:line="360" w:lineRule="auto"/>
        <w:jc w:val="both"/>
      </w:pPr>
      <w:r>
        <w:rPr>
          <w:rFonts w:ascii="Times New Roman" w:hAnsi="Times New Roman" w:eastAsia="Times New Roman"/>
          <w:b/>
          <w:i w:val="0"/>
          <w:sz w:val="24"/>
        </w:rPr>
        <w:t xml:space="preserve">Strategic HRM (SHRM): </w:t>
      </w:r>
      <w:r>
        <w:rPr>
          <w:rFonts w:ascii="Times New Roman" w:hAnsi="Times New Roman" w:eastAsia="Times New Roman"/>
          <w:b w:val="0"/>
          <w:i w:val="0"/>
          <w:sz w:val="24"/>
        </w:rPr>
        <w:t>the alignment of HR practices with business strategy so that they reinforce one another as a coherent bundle.</w:t>
      </w:r>
    </w:p>
    <w:p>
      <w:pPr>
        <w:pStyle w:val="ListBullet"/>
        <w:spacing w:after="60" w:line="360" w:lineRule="auto"/>
        <w:jc w:val="both"/>
      </w:pPr>
      <w:r>
        <w:rPr>
          <w:rFonts w:ascii="Times New Roman" w:hAnsi="Times New Roman" w:eastAsia="Times New Roman"/>
          <w:b/>
          <w:i w:val="0"/>
          <w:sz w:val="24"/>
        </w:rPr>
        <w:t xml:space="preserve">Best-fit (contingency) approach: </w:t>
      </w:r>
      <w:r>
        <w:rPr>
          <w:rFonts w:ascii="Times New Roman" w:hAnsi="Times New Roman" w:eastAsia="Times New Roman"/>
          <w:b w:val="0"/>
          <w:i w:val="0"/>
          <w:sz w:val="24"/>
        </w:rPr>
        <w:t>the view that HR practices should fit the specific context, strategy and industry, rather than being universally applied.</w:t>
      </w:r>
    </w:p>
    <w:p>
      <w:pPr>
        <w:pStyle w:val="ListBullet"/>
        <w:spacing w:after="60" w:line="360" w:lineRule="auto"/>
        <w:jc w:val="both"/>
      </w:pPr>
      <w:r>
        <w:rPr>
          <w:rFonts w:ascii="Times New Roman" w:hAnsi="Times New Roman" w:eastAsia="Times New Roman"/>
          <w:b/>
          <w:i w:val="0"/>
          <w:sz w:val="24"/>
        </w:rPr>
        <w:t xml:space="preserve">AMO model: </w:t>
      </w:r>
      <w:r>
        <w:rPr>
          <w:rFonts w:ascii="Times New Roman" w:hAnsi="Times New Roman" w:eastAsia="Times New Roman"/>
          <w:b w:val="0"/>
          <w:i w:val="0"/>
          <w:sz w:val="24"/>
        </w:rPr>
        <w:t>a model proposing that performance depends on employees’ Ability, Motivation and Opportunity to contribute.</w:t>
      </w:r>
    </w:p>
    <w:p>
      <w:pPr>
        <w:pStyle w:val="ListBullet"/>
        <w:spacing w:after="60" w:line="360" w:lineRule="auto"/>
        <w:jc w:val="both"/>
      </w:pPr>
      <w:r>
        <w:rPr>
          <w:rFonts w:ascii="Times New Roman" w:hAnsi="Times New Roman" w:eastAsia="Times New Roman"/>
          <w:b/>
          <w:i w:val="0"/>
          <w:sz w:val="24"/>
        </w:rPr>
        <w:t xml:space="preserve">Resource-based view (RBV): </w:t>
      </w:r>
      <w:r>
        <w:rPr>
          <w:rFonts w:ascii="Times New Roman" w:hAnsi="Times New Roman" w:eastAsia="Times New Roman"/>
          <w:b w:val="0"/>
          <w:i w:val="0"/>
          <w:sz w:val="24"/>
        </w:rPr>
        <w:t>the argument that people become a source of durable competitive advantage when they are valuable, rare, hard to imitate and organised for.</w:t>
      </w:r>
    </w:p>
    <w:p>
      <w:pPr>
        <w:pStyle w:val="ListBullet"/>
        <w:spacing w:after="60" w:line="360" w:lineRule="auto"/>
        <w:jc w:val="both"/>
      </w:pPr>
      <w:r>
        <w:rPr>
          <w:rFonts w:ascii="Times New Roman" w:hAnsi="Times New Roman" w:eastAsia="Times New Roman"/>
          <w:b/>
          <w:i w:val="0"/>
          <w:sz w:val="24"/>
        </w:rPr>
        <w:t xml:space="preserve">Herzberg’s two-factor theory: </w:t>
      </w:r>
      <w:r>
        <w:rPr>
          <w:rFonts w:ascii="Times New Roman" w:hAnsi="Times New Roman" w:eastAsia="Times New Roman"/>
          <w:b w:val="0"/>
          <w:i w:val="0"/>
          <w:sz w:val="24"/>
        </w:rPr>
        <w:t>the distinction between hygiene factors that prevent dissatisfaction (such as pay) and motivators that create genuine engagement (such as growth and recognition).</w:t>
      </w:r>
    </w:p>
    <w:p>
      <w:pPr>
        <w:pStyle w:val="ListBullet"/>
        <w:spacing w:after="60" w:line="360" w:lineRule="auto"/>
        <w:jc w:val="both"/>
      </w:pPr>
      <w:r>
        <w:rPr>
          <w:rFonts w:ascii="Times New Roman" w:hAnsi="Times New Roman" w:eastAsia="Times New Roman"/>
          <w:b/>
          <w:i w:val="0"/>
          <w:sz w:val="24"/>
        </w:rPr>
        <w:t xml:space="preserve">Psychological contract: </w:t>
      </w:r>
      <w:r>
        <w:rPr>
          <w:rFonts w:ascii="Times New Roman" w:hAnsi="Times New Roman" w:eastAsia="Times New Roman"/>
          <w:b w:val="0"/>
          <w:i w:val="0"/>
          <w:sz w:val="24"/>
        </w:rPr>
        <w:t>the unwritten set of mutual expectations between an employer and an employee.</w:t>
      </w:r>
    </w:p>
    <w:p>
      <w:pPr>
        <w:pStyle w:val="ListBullet"/>
        <w:spacing w:after="60" w:line="360" w:lineRule="auto"/>
        <w:jc w:val="both"/>
      </w:pPr>
      <w:r>
        <w:rPr>
          <w:rFonts w:ascii="Times New Roman" w:hAnsi="Times New Roman" w:eastAsia="Times New Roman"/>
          <w:b/>
          <w:i w:val="0"/>
          <w:sz w:val="24"/>
        </w:rPr>
        <w:t xml:space="preserve">Role-Based Organisation (RBO): </w:t>
      </w:r>
      <w:r>
        <w:rPr>
          <w:rFonts w:ascii="Times New Roman" w:hAnsi="Times New Roman" w:eastAsia="Times New Roman"/>
          <w:b w:val="0"/>
          <w:i w:val="0"/>
          <w:sz w:val="24"/>
        </w:rPr>
        <w:t>a structure that defines contribution and progression around clearly articulated roles rather than around hierarchical grades.</w:t>
      </w:r>
    </w:p>
    <w:p>
      <w:pPr>
        <w:pStyle w:val="ListBullet"/>
        <w:spacing w:after="60" w:line="360" w:lineRule="auto"/>
        <w:jc w:val="both"/>
      </w:pPr>
      <w:r>
        <w:rPr>
          <w:rFonts w:ascii="Times New Roman" w:hAnsi="Times New Roman" w:eastAsia="Times New Roman"/>
          <w:b/>
          <w:i w:val="0"/>
          <w:sz w:val="24"/>
        </w:rPr>
        <w:t xml:space="preserve">Attrition rate: </w:t>
      </w:r>
      <w:r>
        <w:rPr>
          <w:rFonts w:ascii="Times New Roman" w:hAnsi="Times New Roman" w:eastAsia="Times New Roman"/>
          <w:b w:val="0"/>
          <w:i w:val="0"/>
          <w:sz w:val="24"/>
        </w:rPr>
        <w:t>the proportion of employees who leave an organisation over a given period; low attrition generally signals a healthy employment relationship.</w:t>
      </w:r>
    </w:p>
    <w:p>
      <w:pPr>
        <w:pStyle w:val="ListBullet"/>
        <w:spacing w:after="60" w:line="360" w:lineRule="auto"/>
        <w:jc w:val="both"/>
      </w:pPr>
      <w:r>
        <w:rPr>
          <w:rFonts w:ascii="Times New Roman" w:hAnsi="Times New Roman" w:eastAsia="Times New Roman"/>
          <w:b/>
          <w:i w:val="0"/>
          <w:sz w:val="24"/>
        </w:rPr>
        <w:t xml:space="preserve">Employee net-promoter score (eNPS): </w:t>
      </w:r>
      <w:r>
        <w:rPr>
          <w:rFonts w:ascii="Times New Roman" w:hAnsi="Times New Roman" w:eastAsia="Times New Roman"/>
          <w:b w:val="0"/>
          <w:i w:val="0"/>
          <w:sz w:val="24"/>
        </w:rPr>
        <w:t>a metric capturing employees’ willingness to recommend their organisation as a place to work.</w:t>
      </w:r>
    </w:p>
    <w:p>
      <w:pPr>
        <w:pStyle w:val="ListBullet"/>
        <w:spacing w:after="60" w:line="360" w:lineRule="auto"/>
        <w:jc w:val="both"/>
      </w:pPr>
      <w:r>
        <w:rPr>
          <w:rFonts w:ascii="Times New Roman" w:hAnsi="Times New Roman" w:eastAsia="Times New Roman"/>
          <w:b/>
          <w:i w:val="0"/>
          <w:sz w:val="24"/>
        </w:rPr>
        <w:t xml:space="preserve">Employer brand: </w:t>
      </w:r>
      <w:r>
        <w:rPr>
          <w:rFonts w:ascii="Times New Roman" w:hAnsi="Times New Roman" w:eastAsia="Times New Roman"/>
          <w:b w:val="0"/>
          <w:i w:val="0"/>
          <w:sz w:val="24"/>
        </w:rPr>
        <w:t>a company’s reputation and value proposition as an employer, used to attract and retain talent.</w:t>
      </w:r>
    </w:p>
    <w:p>
      <w:pPr>
        <w:spacing w:after="120" w:before="0" w:line="360" w:lineRule="auto"/>
        <w:jc w:val="both"/>
      </w:pPr>
    </w:p>
    <w:p>
      <w:pPr>
        <w:spacing w:after="120" w:before="240" w:line="360" w:lineRule="auto"/>
        <w:jc w:val="center"/>
      </w:pPr>
      <w:r>
        <w:rPr>
          <w:rFonts w:ascii="Times New Roman" w:hAnsi="Times New Roman" w:eastAsia="Times New Roman"/>
          <w:b/>
          <w:i/>
          <w:sz w:val="24"/>
        </w:rPr>
        <w:t>— End of Report —</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