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120" w:line="360" w:lineRule="auto"/>
        <w:jc w:val="center"/>
      </w:pPr>
      <w:r>
        <w:rPr>
          <w:rFonts w:ascii="Times New Roman" w:hAnsi="Times New Roman" w:eastAsia="Times New Roman"/>
          <w:b/>
          <w:i w:val="0"/>
          <w:sz w:val="26"/>
        </w:rPr>
        <w:t>A PROJECT REPORT ON</w:t>
      </w:r>
    </w:p>
    <w:p>
      <w:pPr>
        <w:spacing w:after="80" w:before="0" w:line="360" w:lineRule="auto"/>
        <w:jc w:val="center"/>
      </w:pPr>
      <w:r>
        <w:rPr>
          <w:rFonts w:ascii="Times New Roman" w:hAnsi="Times New Roman" w:eastAsia="Times New Roman"/>
          <w:b/>
          <w:i w:val="0"/>
          <w:color w:val="1F3864"/>
          <w:sz w:val="34"/>
        </w:rPr>
        <w:t>STRATEGIC HUMAN RESOURCE PRACTICES AT OMEGA HEALTHCARE MANAGEMENT SERVICES:</w:t>
      </w:r>
    </w:p>
    <w:p>
      <w:pPr>
        <w:spacing w:after="320" w:before="0" w:line="360" w:lineRule="auto"/>
        <w:jc w:val="center"/>
      </w:pPr>
      <w:r>
        <w:rPr>
          <w:rFonts w:ascii="Times New Roman" w:hAnsi="Times New Roman" w:eastAsia="Times New Roman"/>
          <w:b/>
          <w:i w:val="0"/>
          <w:color w:val="1F3864"/>
          <w:sz w:val="34"/>
        </w:rPr>
        <w:t>AN ANALYTICAL STUDY OF HR IN THE HEALTHCARE SERVICES SECTOR</w:t>
      </w:r>
    </w:p>
    <w:p>
      <w:pPr>
        <w:spacing w:after="520" w:before="0" w:line="360" w:lineRule="auto"/>
        <w:jc w:val="center"/>
      </w:pPr>
      <w:r>
        <w:rPr>
          <w:rFonts w:ascii="Times New Roman" w:hAnsi="Times New Roman" w:eastAsia="Times New Roman"/>
          <w:b w:val="0"/>
          <w:i/>
          <w:sz w:val="26"/>
        </w:rPr>
        <w:t>An evaluation of the people practices of a leading healthcare revenue-cycle-management provider and their contribution to organisational goals</w:t>
      </w:r>
    </w:p>
    <w:p>
      <w:pPr>
        <w:spacing w:after="80" w:before="0" w:line="360" w:lineRule="auto"/>
        <w:jc w:val="center"/>
      </w:pPr>
      <w:r>
        <w:rPr>
          <w:rFonts w:ascii="Times New Roman" w:hAnsi="Times New Roman" w:eastAsia="Times New Roman"/>
          <w:b w:val="0"/>
          <w:i w:val="0"/>
          <w:sz w:val="24"/>
        </w:rPr>
        <w:t>Submitted in partial fulfilment of the requirements for the award of the degree of</w:t>
      </w:r>
    </w:p>
    <w:p>
      <w:pPr>
        <w:spacing w:after="520" w:before="0" w:line="360" w:lineRule="auto"/>
        <w:jc w:val="center"/>
      </w:pPr>
      <w:r>
        <w:rPr>
          <w:rFonts w:ascii="Times New Roman" w:hAnsi="Times New Roman" w:eastAsia="Times New Roman"/>
          <w:b/>
          <w:i w:val="0"/>
          <w:sz w:val="26"/>
        </w:rPr>
        <w:t>Master of Business Administration (MBA) – Human Resource Management</w:t>
      </w:r>
    </w:p>
    <w:p>
      <w:pPr>
        <w:spacing w:after="600" w:before="0" w:line="360" w:lineRule="auto"/>
        <w:jc w:val="center"/>
      </w:pPr>
      <w:r>
        <w:rPr>
          <w:rFonts w:ascii="Times New Roman" w:hAnsi="Times New Roman" w:eastAsia="Times New Roman"/>
          <w:b/>
          <w:i w:val="0"/>
          <w:sz w:val="24"/>
        </w:rPr>
        <w:t>Research / Reporting Period: January – June 2026</w:t>
      </w:r>
    </w:p>
    <w:p>
      <w:pPr>
        <w:spacing w:after="40" w:before="0" w:line="360" w:lineRule="auto"/>
        <w:jc w:val="center"/>
      </w:pPr>
      <w:r>
        <w:rPr>
          <w:rFonts w:ascii="Times New Roman" w:hAnsi="Times New Roman" w:eastAsia="Times New Roman"/>
          <w:b w:val="0"/>
          <w:i w:val="0"/>
          <w:sz w:val="24"/>
        </w:rPr>
        <w:t>Submitted by</w:t>
      </w:r>
    </w:p>
    <w:p>
      <w:pPr>
        <w:spacing w:after="40" w:before="0" w:line="360" w:lineRule="auto"/>
        <w:jc w:val="center"/>
      </w:pPr>
      <w:r>
        <w:rPr>
          <w:rFonts w:ascii="Times New Roman" w:hAnsi="Times New Roman" w:eastAsia="Times New Roman"/>
          <w:b/>
          <w:i w:val="0"/>
          <w:sz w:val="26"/>
        </w:rPr>
        <w:t>[Student Name]</w:t>
      </w:r>
    </w:p>
    <w:p>
      <w:pPr>
        <w:spacing w:after="400" w:before="0" w:line="360" w:lineRule="auto"/>
        <w:jc w:val="center"/>
      </w:pPr>
      <w:r>
        <w:rPr>
          <w:rFonts w:ascii="Times New Roman" w:hAnsi="Times New Roman" w:eastAsia="Times New Roman"/>
          <w:b w:val="0"/>
          <w:i w:val="0"/>
          <w:sz w:val="24"/>
        </w:rPr>
        <w:t>Register / Roll No.: [__________]</w:t>
      </w:r>
    </w:p>
    <w:p>
      <w:pPr>
        <w:spacing w:after="40" w:before="0" w:line="360" w:lineRule="auto"/>
        <w:jc w:val="center"/>
      </w:pPr>
      <w:r>
        <w:rPr>
          <w:rFonts w:ascii="Times New Roman" w:hAnsi="Times New Roman" w:eastAsia="Times New Roman"/>
          <w:b w:val="0"/>
          <w:i w:val="0"/>
          <w:sz w:val="24"/>
        </w:rPr>
        <w:t>Under the guidance of</w:t>
      </w:r>
    </w:p>
    <w:p>
      <w:pPr>
        <w:spacing w:after="520" w:before="0" w:line="360" w:lineRule="auto"/>
        <w:jc w:val="center"/>
      </w:pPr>
      <w:r>
        <w:rPr>
          <w:rFonts w:ascii="Times New Roman" w:hAnsi="Times New Roman" w:eastAsia="Times New Roman"/>
          <w:b/>
          <w:i w:val="0"/>
          <w:sz w:val="26"/>
        </w:rPr>
        <w:t>[Faculty Guide Name], [Designation]</w:t>
      </w:r>
    </w:p>
    <w:p>
      <w:pPr>
        <w:spacing w:after="40" w:before="0" w:line="360" w:lineRule="auto"/>
        <w:jc w:val="center"/>
      </w:pPr>
      <w:r>
        <w:rPr>
          <w:rFonts w:ascii="Times New Roman" w:hAnsi="Times New Roman" w:eastAsia="Times New Roman"/>
          <w:b/>
          <w:i w:val="0"/>
          <w:sz w:val="26"/>
        </w:rPr>
        <w:t>[Name of the College / Institute]</w:t>
      </w:r>
    </w:p>
    <w:p>
      <w:pPr>
        <w:spacing w:after="40" w:before="0" w:line="360" w:lineRule="auto"/>
        <w:jc w:val="center"/>
      </w:pPr>
      <w:r>
        <w:rPr>
          <w:rFonts w:ascii="Times New Roman" w:hAnsi="Times New Roman" w:eastAsia="Times New Roman"/>
          <w:b w:val="0"/>
          <w:i w:val="0"/>
          <w:sz w:val="24"/>
        </w:rPr>
        <w:t>[Affiliated University]</w:t>
      </w:r>
    </w:p>
    <w:p>
      <w:pPr>
        <w:spacing w:after="120" w:before="0" w:line="360" w:lineRule="auto"/>
        <w:jc w:val="center"/>
      </w:pPr>
      <w:r>
        <w:rPr>
          <w:rFonts w:ascii="Times New Roman" w:hAnsi="Times New Roman" w:eastAsia="Times New Roman"/>
          <w:b w:val="0"/>
          <w:i w:val="0"/>
          <w:sz w:val="24"/>
        </w:rPr>
        <w:t>Academic Year 2025 – 2026</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Declaration</w:t>
      </w:r>
    </w:p>
    <w:p>
      <w:pPr>
        <w:spacing w:after="120" w:before="0" w:line="360" w:lineRule="auto"/>
        <w:jc w:val="both"/>
      </w:pPr>
      <w:r>
        <w:rPr>
          <w:rFonts w:ascii="Times New Roman" w:hAnsi="Times New Roman" w:eastAsia="Times New Roman"/>
          <w:b w:val="0"/>
          <w:i w:val="0"/>
          <w:sz w:val="24"/>
        </w:rPr>
        <w:t>I hereby declare that this project report titled “Strategic Human Resource Practices at Omega Healthcare Management Services: An Analytical Study of HR in the Healthcare Services Sector” is the result of my own work carried out during the period January to June 2026. The study is based entirely on secondary data drawn from publicly available sources such as the company’s corporate and career web pages, its newsroom and leadership communications, employer-recognition platforms, and reputed business and human-resource publications.</w:t>
      </w:r>
    </w:p>
    <w:p>
      <w:pPr>
        <w:spacing w:after="120" w:before="0" w:line="360" w:lineRule="auto"/>
        <w:jc w:val="both"/>
      </w:pPr>
      <w:r>
        <w:rPr>
          <w:rFonts w:ascii="Times New Roman" w:hAnsi="Times New Roman" w:eastAsia="Times New Roman"/>
          <w:b w:val="0"/>
          <w:i w:val="0"/>
          <w:sz w:val="24"/>
        </w:rPr>
        <w:t>This work has not been submitted earlier, in part or in full, for the award of any degree or diploma of this or any other university. Wherever the work of others has been referred to, it has been duly acknowledged in the text and listed in the references.</w:t>
      </w:r>
    </w:p>
    <w:p>
      <w:pPr>
        <w:spacing w:after="120" w:before="0" w:line="360" w:lineRule="auto"/>
        <w:jc w:val="both"/>
      </w:pPr>
    </w:p>
    <w:p>
      <w:pPr>
        <w:spacing w:after="40" w:before="0" w:line="360" w:lineRule="auto"/>
        <w:jc w:val="both"/>
      </w:pPr>
      <w:r>
        <w:rPr>
          <w:rFonts w:ascii="Times New Roman" w:hAnsi="Times New Roman" w:eastAsia="Times New Roman"/>
          <w:b w:val="0"/>
          <w:i w:val="0"/>
          <w:sz w:val="24"/>
        </w:rPr>
        <w:t>Place: [City]</w:t>
      </w:r>
    </w:p>
    <w:p>
      <w:pPr>
        <w:spacing w:after="360" w:before="0" w:line="360" w:lineRule="auto"/>
        <w:jc w:val="both"/>
      </w:pPr>
      <w:r>
        <w:rPr>
          <w:rFonts w:ascii="Times New Roman" w:hAnsi="Times New Roman" w:eastAsia="Times New Roman"/>
          <w:b w:val="0"/>
          <w:i w:val="0"/>
          <w:sz w:val="24"/>
        </w:rPr>
        <w:t>Date:  [DD/MM/2026]</w:t>
      </w:r>
    </w:p>
    <w:p>
      <w:pPr>
        <w:spacing w:after="0" w:before="0" w:line="360" w:lineRule="auto"/>
        <w:jc w:val="right"/>
      </w:pPr>
      <w:r>
        <w:rPr>
          <w:rFonts w:ascii="Times New Roman" w:hAnsi="Times New Roman" w:eastAsia="Times New Roman"/>
          <w:b/>
          <w:i w:val="0"/>
          <w:sz w:val="24"/>
        </w:rPr>
        <w:t>[Student Name]</w:t>
      </w:r>
    </w:p>
    <w:p>
      <w:pPr>
        <w:spacing w:after="120" w:before="0" w:line="360" w:lineRule="auto"/>
        <w:jc w:val="right"/>
      </w:pPr>
      <w:r>
        <w:rPr>
          <w:rFonts w:ascii="Times New Roman" w:hAnsi="Times New Roman" w:eastAsia="Times New Roman"/>
          <w:b w:val="0"/>
          <w:i/>
          <w:sz w:val="24"/>
        </w:rPr>
        <w:t>(Signature)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Acknowledgement</w:t>
      </w:r>
    </w:p>
    <w:p>
      <w:pPr>
        <w:spacing w:after="120" w:before="0" w:line="360" w:lineRule="auto"/>
        <w:jc w:val="both"/>
      </w:pPr>
      <w:r>
        <w:rPr>
          <w:rFonts w:ascii="Times New Roman" w:hAnsi="Times New Roman" w:eastAsia="Times New Roman"/>
          <w:b w:val="0"/>
          <w:i w:val="0"/>
          <w:sz w:val="24"/>
        </w:rPr>
        <w:t>I would like to express my sincere gratitude to everyone who supported me in completing this study. My deepest thanks go to my faculty guide, [Faculty Guide Name], whose thoughtful direction and encouragement helped me move from merely gathering information about Omega Healthcare to genuinely analysing how and why its people practices work the way they do in a demanding services industry.</w:t>
      </w:r>
    </w:p>
    <w:p>
      <w:pPr>
        <w:spacing w:after="120" w:before="0" w:line="360" w:lineRule="auto"/>
        <w:jc w:val="both"/>
      </w:pPr>
      <w:r>
        <w:rPr>
          <w:rFonts w:ascii="Times New Roman" w:hAnsi="Times New Roman" w:eastAsia="Times New Roman"/>
          <w:b w:val="0"/>
          <w:i w:val="0"/>
          <w:sz w:val="24"/>
        </w:rPr>
        <w:t>I am also grateful to the Head of the Department and the faculty of the Department of Management Studies at [Name of the College / Institute] for fostering an environment of independent enquiry, and to the library and digital-resource staff for their assistance in accessing publications and databases. Finally, I thank my family and friends for their patience and support throughout. Any shortcomings that remain are entirely my own.</w:t>
      </w:r>
    </w:p>
    <w:p>
      <w:pPr>
        <w:spacing w:after="120" w:before="0" w:line="360" w:lineRule="auto"/>
        <w:jc w:val="both"/>
      </w:pPr>
    </w:p>
    <w:p>
      <w:pPr>
        <w:spacing w:after="120" w:before="0" w:line="360" w:lineRule="auto"/>
        <w:jc w:val="right"/>
      </w:pPr>
      <w:r>
        <w:rPr>
          <w:rFonts w:ascii="Times New Roman" w:hAnsi="Times New Roman" w:eastAsia="Times New Roman"/>
          <w:b/>
          <w:i w:val="0"/>
          <w:sz w:val="24"/>
        </w:rPr>
        <w:t>[Student Name]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Table of Contents</w:t>
      </w:r>
    </w:p>
    <w:p>
      <w:pPr>
        <w:spacing w:after="80" w:before="0" w:line="360" w:lineRule="auto"/>
        <w:jc w:val="left"/>
      </w:pPr>
      <w:r>
        <w:rPr>
          <w:rFonts w:ascii="Times New Roman" w:hAnsi="Times New Roman" w:eastAsia="Times New Roman"/>
          <w:b/>
          <w:i w:val="0"/>
          <w:sz w:val="24"/>
        </w:rPr>
        <w:t>Executive Summary</w:t>
      </w:r>
    </w:p>
    <w:p>
      <w:pPr>
        <w:spacing w:after="80" w:before="0" w:line="360" w:lineRule="auto"/>
        <w:jc w:val="left"/>
      </w:pPr>
      <w:r>
        <w:rPr>
          <w:rFonts w:ascii="Times New Roman" w:hAnsi="Times New Roman" w:eastAsia="Times New Roman"/>
          <w:b/>
          <w:i w:val="0"/>
          <w:sz w:val="24"/>
        </w:rPr>
        <w:t>1.  Introduction</w:t>
      </w:r>
    </w:p>
    <w:p>
      <w:pPr>
        <w:spacing w:after="80" w:before="0" w:line="360" w:lineRule="auto"/>
        <w:jc w:val="left"/>
      </w:pPr>
      <w:r>
        <w:rPr>
          <w:rFonts w:ascii="Times New Roman" w:hAnsi="Times New Roman" w:eastAsia="Times New Roman"/>
          <w:b w:val="0"/>
          <w:i w:val="0"/>
          <w:sz w:val="24"/>
        </w:rPr>
        <w:t xml:space="preserve">      1.1  Background and Rationale</w:t>
      </w:r>
    </w:p>
    <w:p>
      <w:pPr>
        <w:spacing w:after="80" w:before="0" w:line="360" w:lineRule="auto"/>
        <w:jc w:val="left"/>
      </w:pPr>
      <w:r>
        <w:rPr>
          <w:rFonts w:ascii="Times New Roman" w:hAnsi="Times New Roman" w:eastAsia="Times New Roman"/>
          <w:b w:val="0"/>
          <w:i w:val="0"/>
          <w:sz w:val="24"/>
        </w:rPr>
        <w:t xml:space="preserve">      1.2  Objectives of the Study</w:t>
      </w:r>
    </w:p>
    <w:p>
      <w:pPr>
        <w:spacing w:after="80" w:before="0" w:line="360" w:lineRule="auto"/>
        <w:jc w:val="left"/>
      </w:pPr>
      <w:r>
        <w:rPr>
          <w:rFonts w:ascii="Times New Roman" w:hAnsi="Times New Roman" w:eastAsia="Times New Roman"/>
          <w:b w:val="0"/>
          <w:i w:val="0"/>
          <w:sz w:val="24"/>
        </w:rPr>
        <w:t xml:space="preserve">      1.3  Scope of the Study</w:t>
      </w:r>
    </w:p>
    <w:p>
      <w:pPr>
        <w:spacing w:after="80" w:before="0" w:line="360" w:lineRule="auto"/>
        <w:jc w:val="left"/>
      </w:pPr>
      <w:r>
        <w:rPr>
          <w:rFonts w:ascii="Times New Roman" w:hAnsi="Times New Roman" w:eastAsia="Times New Roman"/>
          <w:b w:val="0"/>
          <w:i w:val="0"/>
          <w:sz w:val="24"/>
        </w:rPr>
        <w:t xml:space="preserve">      1.4  Research Methodology</w:t>
      </w:r>
    </w:p>
    <w:p>
      <w:pPr>
        <w:spacing w:after="80" w:before="0" w:line="360" w:lineRule="auto"/>
        <w:jc w:val="left"/>
      </w:pPr>
      <w:r>
        <w:rPr>
          <w:rFonts w:ascii="Times New Roman" w:hAnsi="Times New Roman" w:eastAsia="Times New Roman"/>
          <w:b w:val="0"/>
          <w:i w:val="0"/>
          <w:sz w:val="24"/>
        </w:rPr>
        <w:t xml:space="preserve">      1.5  Limitations</w:t>
      </w:r>
    </w:p>
    <w:p>
      <w:pPr>
        <w:spacing w:after="80" w:before="0" w:line="360" w:lineRule="auto"/>
        <w:jc w:val="left"/>
      </w:pPr>
      <w:r>
        <w:rPr>
          <w:rFonts w:ascii="Times New Roman" w:hAnsi="Times New Roman" w:eastAsia="Times New Roman"/>
          <w:b/>
          <w:i w:val="0"/>
          <w:sz w:val="24"/>
        </w:rPr>
        <w:t>2.  Conceptual Framework of Strategic HRM</w:t>
      </w:r>
    </w:p>
    <w:p>
      <w:pPr>
        <w:spacing w:after="80" w:before="0" w:line="360" w:lineRule="auto"/>
        <w:jc w:val="left"/>
      </w:pPr>
      <w:r>
        <w:rPr>
          <w:rFonts w:ascii="Times New Roman" w:hAnsi="Times New Roman" w:eastAsia="Times New Roman"/>
          <w:b/>
          <w:i w:val="0"/>
          <w:sz w:val="24"/>
        </w:rPr>
        <w:t>3.  Company and Industry Profile</w:t>
      </w:r>
    </w:p>
    <w:p>
      <w:pPr>
        <w:spacing w:after="80" w:before="0" w:line="360" w:lineRule="auto"/>
        <w:jc w:val="left"/>
      </w:pPr>
      <w:r>
        <w:rPr>
          <w:rFonts w:ascii="Times New Roman" w:hAnsi="Times New Roman" w:eastAsia="Times New Roman"/>
          <w:b/>
          <w:i w:val="0"/>
          <w:sz w:val="24"/>
        </w:rPr>
        <w:t>4.  Analysis of HR Practices at Omega Healthcare</w:t>
      </w:r>
    </w:p>
    <w:p>
      <w:pPr>
        <w:spacing w:after="80" w:before="0" w:line="360" w:lineRule="auto"/>
        <w:jc w:val="left"/>
      </w:pPr>
      <w:r>
        <w:rPr>
          <w:rFonts w:ascii="Times New Roman" w:hAnsi="Times New Roman" w:eastAsia="Times New Roman"/>
          <w:b w:val="0"/>
          <w:i w:val="0"/>
          <w:sz w:val="24"/>
        </w:rPr>
        <w:t xml:space="preserve">      4.1  Employer Branding</w:t>
      </w:r>
    </w:p>
    <w:p>
      <w:pPr>
        <w:spacing w:after="80" w:before="0" w:line="360" w:lineRule="auto"/>
        <w:jc w:val="left"/>
      </w:pPr>
      <w:r>
        <w:rPr>
          <w:rFonts w:ascii="Times New Roman" w:hAnsi="Times New Roman" w:eastAsia="Times New Roman"/>
          <w:b w:val="0"/>
          <w:i w:val="0"/>
          <w:sz w:val="24"/>
        </w:rPr>
        <w:t xml:space="preserve">      4.2  Recruitment and Selection</w:t>
      </w:r>
    </w:p>
    <w:p>
      <w:pPr>
        <w:spacing w:after="80" w:before="0" w:line="360" w:lineRule="auto"/>
        <w:jc w:val="left"/>
      </w:pPr>
      <w:r>
        <w:rPr>
          <w:rFonts w:ascii="Times New Roman" w:hAnsi="Times New Roman" w:eastAsia="Times New Roman"/>
          <w:b w:val="0"/>
          <w:i w:val="0"/>
          <w:sz w:val="24"/>
        </w:rPr>
        <w:t xml:space="preserve">      4.3  Learning and Development</w:t>
      </w:r>
    </w:p>
    <w:p>
      <w:pPr>
        <w:spacing w:after="80" w:before="0" w:line="360" w:lineRule="auto"/>
        <w:jc w:val="left"/>
      </w:pPr>
      <w:r>
        <w:rPr>
          <w:rFonts w:ascii="Times New Roman" w:hAnsi="Times New Roman" w:eastAsia="Times New Roman"/>
          <w:b w:val="0"/>
          <w:i w:val="0"/>
          <w:sz w:val="24"/>
        </w:rPr>
        <w:t xml:space="preserve">      4.4  Performance Management</w:t>
      </w:r>
    </w:p>
    <w:p>
      <w:pPr>
        <w:spacing w:after="80" w:before="0" w:line="360" w:lineRule="auto"/>
        <w:jc w:val="left"/>
      </w:pPr>
      <w:r>
        <w:rPr>
          <w:rFonts w:ascii="Times New Roman" w:hAnsi="Times New Roman" w:eastAsia="Times New Roman"/>
          <w:b w:val="0"/>
          <w:i w:val="0"/>
          <w:sz w:val="24"/>
        </w:rPr>
        <w:t xml:space="preserve">      4.5  Compensation and Benefits</w:t>
      </w:r>
    </w:p>
    <w:p>
      <w:pPr>
        <w:spacing w:after="80" w:before="0" w:line="360" w:lineRule="auto"/>
        <w:jc w:val="left"/>
      </w:pPr>
      <w:r>
        <w:rPr>
          <w:rFonts w:ascii="Times New Roman" w:hAnsi="Times New Roman" w:eastAsia="Times New Roman"/>
          <w:b w:val="0"/>
          <w:i w:val="0"/>
          <w:sz w:val="24"/>
        </w:rPr>
        <w:t xml:space="preserve">      4.6  Employee Engagement</w:t>
      </w:r>
    </w:p>
    <w:p>
      <w:pPr>
        <w:spacing w:after="80" w:before="0" w:line="360" w:lineRule="auto"/>
        <w:jc w:val="left"/>
      </w:pPr>
      <w:r>
        <w:rPr>
          <w:rFonts w:ascii="Times New Roman" w:hAnsi="Times New Roman" w:eastAsia="Times New Roman"/>
          <w:b w:val="0"/>
          <w:i w:val="0"/>
          <w:sz w:val="24"/>
        </w:rPr>
        <w:t xml:space="preserve">      4.7  Diversity, Equity and Inclusion</w:t>
      </w:r>
    </w:p>
    <w:p>
      <w:pPr>
        <w:spacing w:after="80" w:before="0" w:line="360" w:lineRule="auto"/>
        <w:jc w:val="left"/>
      </w:pPr>
      <w:r>
        <w:rPr>
          <w:rFonts w:ascii="Times New Roman" w:hAnsi="Times New Roman" w:eastAsia="Times New Roman"/>
          <w:b w:val="0"/>
          <w:i w:val="0"/>
          <w:sz w:val="24"/>
        </w:rPr>
        <w:t xml:space="preserve">      4.8  Career Development</w:t>
      </w:r>
    </w:p>
    <w:p>
      <w:pPr>
        <w:spacing w:after="80" w:before="0" w:line="360" w:lineRule="auto"/>
        <w:jc w:val="left"/>
      </w:pPr>
      <w:r>
        <w:rPr>
          <w:rFonts w:ascii="Times New Roman" w:hAnsi="Times New Roman" w:eastAsia="Times New Roman"/>
          <w:b w:val="0"/>
          <w:i w:val="0"/>
          <w:sz w:val="24"/>
        </w:rPr>
        <w:t xml:space="preserve">      4.9  HR Technology</w:t>
      </w:r>
    </w:p>
    <w:p>
      <w:pPr>
        <w:spacing w:after="80" w:before="0" w:line="360" w:lineRule="auto"/>
        <w:jc w:val="left"/>
      </w:pPr>
      <w:r>
        <w:rPr>
          <w:rFonts w:ascii="Times New Roman" w:hAnsi="Times New Roman" w:eastAsia="Times New Roman"/>
          <w:b w:val="0"/>
          <w:i w:val="0"/>
          <w:sz w:val="24"/>
        </w:rPr>
        <w:t xml:space="preserve">      4.10 Employee Well-being and Workplace Culture</w:t>
      </w:r>
    </w:p>
    <w:p>
      <w:pPr>
        <w:spacing w:after="80" w:before="0" w:line="360" w:lineRule="auto"/>
        <w:jc w:val="left"/>
      </w:pPr>
      <w:r>
        <w:rPr>
          <w:rFonts w:ascii="Times New Roman" w:hAnsi="Times New Roman" w:eastAsia="Times New Roman"/>
          <w:b w:val="0"/>
          <w:i w:val="0"/>
          <w:sz w:val="24"/>
        </w:rPr>
        <w:t xml:space="preserve">      4.11 Retention and the Anti-Attrition Strategy</w:t>
      </w:r>
    </w:p>
    <w:p>
      <w:pPr>
        <w:spacing w:after="80" w:before="0" w:line="360" w:lineRule="auto"/>
        <w:jc w:val="left"/>
      </w:pPr>
      <w:r>
        <w:rPr>
          <w:rFonts w:ascii="Times New Roman" w:hAnsi="Times New Roman" w:eastAsia="Times New Roman"/>
          <w:b/>
          <w:i w:val="0"/>
          <w:sz w:val="24"/>
        </w:rPr>
        <w:t>5.  Discussion: How HR Supports Strategy</w:t>
      </w:r>
    </w:p>
    <w:p>
      <w:pPr>
        <w:spacing w:after="80" w:before="0" w:line="360" w:lineRule="auto"/>
        <w:jc w:val="left"/>
      </w:pPr>
      <w:r>
        <w:rPr>
          <w:rFonts w:ascii="Times New Roman" w:hAnsi="Times New Roman" w:eastAsia="Times New Roman"/>
          <w:b/>
          <w:i w:val="0"/>
          <w:sz w:val="24"/>
        </w:rPr>
        <w:t>6.  Key Findings</w:t>
      </w:r>
    </w:p>
    <w:p>
      <w:pPr>
        <w:spacing w:after="80" w:before="0" w:line="360" w:lineRule="auto"/>
        <w:jc w:val="left"/>
      </w:pPr>
      <w:r>
        <w:rPr>
          <w:rFonts w:ascii="Times New Roman" w:hAnsi="Times New Roman" w:eastAsia="Times New Roman"/>
          <w:b/>
          <w:i w:val="0"/>
          <w:sz w:val="24"/>
        </w:rPr>
        <w:t>7.  Recommendations</w:t>
      </w:r>
    </w:p>
    <w:p>
      <w:pPr>
        <w:spacing w:after="80" w:before="0" w:line="360" w:lineRule="auto"/>
        <w:jc w:val="left"/>
      </w:pPr>
      <w:r>
        <w:rPr>
          <w:rFonts w:ascii="Times New Roman" w:hAnsi="Times New Roman" w:eastAsia="Times New Roman"/>
          <w:b/>
          <w:i w:val="0"/>
          <w:sz w:val="24"/>
        </w:rPr>
        <w:t>8.  Conclusion</w:t>
      </w:r>
    </w:p>
    <w:p>
      <w:pPr>
        <w:spacing w:after="80" w:before="0" w:line="360" w:lineRule="auto"/>
        <w:jc w:val="left"/>
      </w:pPr>
      <w:r>
        <w:rPr>
          <w:rFonts w:ascii="Times New Roman" w:hAnsi="Times New Roman" w:eastAsia="Times New Roman"/>
          <w:b/>
          <w:i w:val="0"/>
          <w:sz w:val="24"/>
        </w:rPr>
        <w:t>References</w:t>
      </w:r>
    </w:p>
    <w:p>
      <w:pPr>
        <w:spacing w:after="80" w:before="0" w:line="360" w:lineRule="auto"/>
        <w:jc w:val="left"/>
      </w:pPr>
      <w:r>
        <w:rPr>
          <w:rFonts w:ascii="Times New Roman" w:hAnsi="Times New Roman" w:eastAsia="Times New Roman"/>
          <w:b/>
          <w:i w:val="0"/>
          <w:sz w:val="24"/>
        </w:rPr>
        <w:t>Appendix A: Mapping HR Practices to Industry Drivers</w:t>
      </w:r>
    </w:p>
    <w:p>
      <w:pPr>
        <w:spacing w:after="80" w:before="0" w:line="360" w:lineRule="auto"/>
        <w:jc w:val="left"/>
      </w:pPr>
      <w:r>
        <w:rPr>
          <w:rFonts w:ascii="Times New Roman" w:hAnsi="Times New Roman" w:eastAsia="Times New Roman"/>
          <w:b/>
          <w:i w:val="0"/>
          <w:sz w:val="24"/>
        </w:rPr>
        <w:t>Appendix B: Glossary of Key HR Terms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Executive Summary</w:t>
      </w:r>
    </w:p>
    <w:p>
      <w:pPr>
        <w:spacing w:after="120" w:before="0" w:line="360" w:lineRule="auto"/>
        <w:jc w:val="both"/>
      </w:pPr>
      <w:r>
        <w:rPr>
          <w:rFonts w:ascii="Times New Roman" w:hAnsi="Times New Roman" w:eastAsia="Times New Roman"/>
          <w:b w:val="0"/>
          <w:i w:val="0"/>
          <w:sz w:val="24"/>
        </w:rPr>
        <w:t>This report examines the strategic human resource (HR) practices of Omega Healthcare Management Services, a leading global provider of healthcare revenue-cycle management (RCM) and related business services, and evaluates how those practices support the company’s objectives. The study is analytical rather than descriptive: its aim is to understand why a people-intensive services organisation designs its HR function the way it does, and how well that design works.</w:t>
      </w:r>
    </w:p>
    <w:p>
      <w:pPr>
        <w:spacing w:after="120" w:before="0" w:line="360" w:lineRule="auto"/>
        <w:jc w:val="both"/>
      </w:pPr>
      <w:r>
        <w:rPr>
          <w:rFonts w:ascii="Times New Roman" w:hAnsi="Times New Roman" w:eastAsia="Times New Roman"/>
          <w:b w:val="0"/>
          <w:i w:val="0"/>
          <w:sz w:val="24"/>
        </w:rPr>
        <w:t>The analysis covers ten HR domains – employer branding, recruitment and selection, learning and development, performance management, compensation and benefits, employee engagement, diversity, equity and inclusion (DEI), career development, HR technology, and employee well-being and workplace culture – together with a dedicated treatment of retention, which is the defining challenge of Omega’s industry. For each area the report describes what Omega does, explains how the practice fits the demands of the healthcare-services sector, and evaluates its effectiveness, drawing out strengths and areas for improvement.</w:t>
      </w:r>
    </w:p>
    <w:p>
      <w:pPr>
        <w:spacing w:after="120" w:before="0" w:line="360" w:lineRule="auto"/>
        <w:jc w:val="both"/>
      </w:pPr>
      <w:r>
        <w:rPr>
          <w:rFonts w:ascii="Times New Roman" w:hAnsi="Times New Roman" w:eastAsia="Times New Roman"/>
          <w:b w:val="0"/>
          <w:i w:val="0"/>
          <w:sz w:val="24"/>
        </w:rPr>
        <w:t>A single thread runs through the findings. Omega operates in a services industry historically defined by high staff turnover, and almost every one of its distinctive practices is engineered to keep good people and to make staying feel like progress. The Golden Brick long-service awards, the Omega Career Lattice that enables lateral and diagonal movement, the Performance-Based Quarterly Merit Increase for frontline staff, an AI-enabled continuous-listening approach to engagement, and a comprehensive well-being infrastructure all serve the same goal: retention. The results are striking for the sector – a reported employee-engagement score of around ninety-two per cent, a strongly positive employee net-promoter score, and recognition as a Great Place to Work and a Most Preferred Workplace for Women.</w:t>
      </w:r>
    </w:p>
    <w:p>
      <w:pPr>
        <w:spacing w:after="120" w:before="0" w:line="360" w:lineRule="auto"/>
        <w:jc w:val="both"/>
      </w:pPr>
      <w:r>
        <w:rPr>
          <w:rFonts w:ascii="Times New Roman" w:hAnsi="Times New Roman" w:eastAsia="Times New Roman"/>
          <w:b w:val="0"/>
          <w:i w:val="0"/>
          <w:sz w:val="24"/>
        </w:rPr>
        <w:t>The report concludes that Omega runs a mature, strategically aligned and genuinely innovative HR function whose main opportunities lie in deepening formal learning credentials, adding structured assessment of potential to its fast reward cycles, and converting strong entry-level gender balance into proportionate representation in senior leadership.</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1. Introduction</w:t>
      </w:r>
    </w:p>
    <w:p>
      <w:pPr>
        <w:keepNext/>
        <w:spacing w:before="200" w:after="80"/>
      </w:pPr>
      <w:r>
        <w:rPr>
          <w:rFonts w:ascii="Times New Roman" w:hAnsi="Times New Roman" w:eastAsia="Times New Roman"/>
          <w:b/>
          <w:i w:val="0"/>
          <w:color w:val="2E5496"/>
          <w:sz w:val="26"/>
        </w:rPr>
        <w:t>1.1 Background and Rationale</w:t>
      </w:r>
    </w:p>
    <w:p>
      <w:pPr>
        <w:spacing w:after="120" w:before="0" w:line="360" w:lineRule="auto"/>
        <w:jc w:val="both"/>
      </w:pPr>
      <w:r>
        <w:rPr>
          <w:rFonts w:ascii="Times New Roman" w:hAnsi="Times New Roman" w:eastAsia="Times New Roman"/>
          <w:b w:val="0"/>
          <w:i w:val="0"/>
          <w:sz w:val="24"/>
        </w:rPr>
        <w:t>Human resource management has evolved from a largely administrative activity into a strategic function that shapes culture, builds capability and helps deliver the business plan. Nowhere is this more visible than in people-intensive services businesses, where the workforce is not merely a cost of production but is, quite literally, the product delivered to clients. In such organisations the quality, motivation and stability of employees translate almost directly into client satisfaction and commercial success, which makes HR a truly strategic concern.</w:t>
      </w:r>
    </w:p>
    <w:p>
      <w:pPr>
        <w:spacing w:after="120" w:before="0" w:line="360" w:lineRule="auto"/>
        <w:jc w:val="both"/>
      </w:pPr>
      <w:r>
        <w:rPr>
          <w:rFonts w:ascii="Times New Roman" w:hAnsi="Times New Roman" w:eastAsia="Times New Roman"/>
          <w:b w:val="0"/>
          <w:i w:val="0"/>
          <w:sz w:val="24"/>
        </w:rPr>
        <w:t>This project takes Omega Healthcare Management Services as its subject. Omega is a strong choice for an HR study for three reasons. First, it operates in the healthcare-services and revenue-cycle-management sector – a knowledge-intensive, round-the-clock services industry historically associated with high attrition, which makes people practices existential rather than optional. Second, it has publicly positioned retention and employee experience at the centre of its strategy and communicates a good deal about how it does so. Third, it has been recognised for its people practices by employee-experience bodies and industry analysts, making it a useful example of strong, industry-appropriate HR.</w:t>
      </w:r>
    </w:p>
    <w:p>
      <w:pPr>
        <w:keepNext/>
        <w:spacing w:before="200" w:after="80"/>
      </w:pPr>
      <w:r>
        <w:rPr>
          <w:rFonts w:ascii="Times New Roman" w:hAnsi="Times New Roman" w:eastAsia="Times New Roman"/>
          <w:b/>
          <w:i w:val="0"/>
          <w:color w:val="2E5496"/>
          <w:sz w:val="26"/>
        </w:rPr>
        <w:t>1.2 Objectives of the Study</w:t>
      </w:r>
    </w:p>
    <w:p>
      <w:pPr>
        <w:spacing w:after="120" w:before="0" w:line="360" w:lineRule="auto"/>
        <w:jc w:val="both"/>
      </w:pPr>
      <w:r>
        <w:rPr>
          <w:rFonts w:ascii="Times New Roman" w:hAnsi="Times New Roman" w:eastAsia="Times New Roman"/>
          <w:b w:val="0"/>
          <w:i w:val="0"/>
          <w:sz w:val="24"/>
        </w:rPr>
        <w:t>The study is guided by the following objectives:</w:t>
      </w:r>
    </w:p>
    <w:p>
      <w:pPr>
        <w:pStyle w:val="ListBullet"/>
        <w:spacing w:after="60" w:line="360" w:lineRule="auto"/>
        <w:jc w:val="both"/>
      </w:pPr>
      <w:r>
        <w:rPr>
          <w:rFonts w:ascii="Times New Roman" w:hAnsi="Times New Roman" w:eastAsia="Times New Roman"/>
          <w:b w:val="0"/>
          <w:i w:val="0"/>
          <w:sz w:val="24"/>
        </w:rPr>
        <w:t>to examine the HR practices of Omega Healthcare across the defined HR functions;</w:t>
      </w:r>
    </w:p>
    <w:p>
      <w:pPr>
        <w:pStyle w:val="ListBullet"/>
        <w:spacing w:after="60" w:line="360" w:lineRule="auto"/>
        <w:jc w:val="both"/>
      </w:pPr>
      <w:r>
        <w:rPr>
          <w:rFonts w:ascii="Times New Roman" w:hAnsi="Times New Roman" w:eastAsia="Times New Roman"/>
          <w:b w:val="0"/>
          <w:i w:val="0"/>
          <w:sz w:val="24"/>
        </w:rPr>
        <w:t>to explain how the characteristics of the healthcare-services industry shape those practices;</w:t>
      </w:r>
    </w:p>
    <w:p>
      <w:pPr>
        <w:pStyle w:val="ListBullet"/>
        <w:spacing w:after="60" w:line="360" w:lineRule="auto"/>
        <w:jc w:val="both"/>
      </w:pPr>
      <w:r>
        <w:rPr>
          <w:rFonts w:ascii="Times New Roman" w:hAnsi="Times New Roman" w:eastAsia="Times New Roman"/>
          <w:b w:val="0"/>
          <w:i w:val="0"/>
          <w:sz w:val="24"/>
        </w:rPr>
        <w:t>to evaluate the effectiveness of the practices and identify the company’s HR strengths and areas for improvement;</w:t>
      </w:r>
    </w:p>
    <w:p>
      <w:pPr>
        <w:pStyle w:val="ListBullet"/>
        <w:spacing w:after="60" w:line="360" w:lineRule="auto"/>
        <w:jc w:val="both"/>
      </w:pPr>
      <w:r>
        <w:rPr>
          <w:rFonts w:ascii="Times New Roman" w:hAnsi="Times New Roman" w:eastAsia="Times New Roman"/>
          <w:b w:val="0"/>
          <w:i w:val="0"/>
          <w:sz w:val="24"/>
        </w:rPr>
        <w:t>to relate the observations to established HR concepts and theories; and</w:t>
      </w:r>
    </w:p>
    <w:p>
      <w:pPr>
        <w:pStyle w:val="ListBullet"/>
        <w:spacing w:after="60" w:line="360" w:lineRule="auto"/>
        <w:jc w:val="both"/>
      </w:pPr>
      <w:r>
        <w:rPr>
          <w:rFonts w:ascii="Times New Roman" w:hAnsi="Times New Roman" w:eastAsia="Times New Roman"/>
          <w:b w:val="0"/>
          <w:i w:val="0"/>
          <w:sz w:val="24"/>
        </w:rPr>
        <w:t>to offer practical recommendations for further strengthening the HR function.</w:t>
      </w:r>
    </w:p>
    <w:p>
      <w:pPr>
        <w:keepNext/>
        <w:spacing w:before="200" w:after="80"/>
      </w:pPr>
      <w:r>
        <w:rPr>
          <w:rFonts w:ascii="Times New Roman" w:hAnsi="Times New Roman" w:eastAsia="Times New Roman"/>
          <w:b/>
          <w:i w:val="0"/>
          <w:color w:val="2E5496"/>
          <w:sz w:val="26"/>
        </w:rPr>
        <w:t>1.3 Scope of the Study</w:t>
      </w:r>
    </w:p>
    <w:p>
      <w:pPr>
        <w:spacing w:after="120" w:before="0" w:line="360" w:lineRule="auto"/>
        <w:jc w:val="both"/>
      </w:pPr>
      <w:r>
        <w:rPr>
          <w:rFonts w:ascii="Times New Roman" w:hAnsi="Times New Roman" w:eastAsia="Times New Roman"/>
          <w:b w:val="0"/>
          <w:i w:val="0"/>
          <w:sz w:val="24"/>
        </w:rPr>
        <w:t>The study is confined to the HR domains listed above, with particular attention to Omega’s large Indian delivery operations, which form the core of its global workforce. In keeping with an analytical brief, it does not narrate the company’s commercial history except where such context is necessary to make sense of an HR decision. The reporting period for the secondary data is January to June 2026.</w:t>
      </w:r>
    </w:p>
    <w:p>
      <w:pPr>
        <w:keepNext/>
        <w:spacing w:before="200" w:after="80"/>
      </w:pPr>
      <w:r>
        <w:rPr>
          <w:rFonts w:ascii="Times New Roman" w:hAnsi="Times New Roman" w:eastAsia="Times New Roman"/>
          <w:b/>
          <w:i w:val="0"/>
          <w:color w:val="2E5496"/>
          <w:sz w:val="26"/>
        </w:rPr>
        <w:t>1.4 Research Methodology</w:t>
      </w:r>
    </w:p>
    <w:p>
      <w:pPr>
        <w:spacing w:after="120" w:before="0" w:line="360" w:lineRule="auto"/>
        <w:jc w:val="both"/>
      </w:pPr>
      <w:r>
        <w:rPr>
          <w:rFonts w:ascii="Times New Roman" w:hAnsi="Times New Roman" w:eastAsia="Times New Roman"/>
          <w:b w:val="0"/>
          <w:i w:val="0"/>
          <w:sz w:val="24"/>
        </w:rPr>
        <w:t>This is a qualitative, descriptive-analytical study based entirely on secondary data; no surveys or interviews were conducted. Information was gathered from credible public sources including Omega’s corporate and career web pages, its newsroom and leadership interviews, employer-recognition platforms such as Great Place to Work, employee-review platforms, and respected HR publications such as People Matters, HRKatha and ETHRWorld. Each HR function was analysed using a consistent template – describe the practice, explain the industry influence, and evaluate it against strengths and improvement areas – and the findings were interpreted through recognised HR frameworks so that the analysis stays grounded in theory.</w:t>
      </w:r>
    </w:p>
    <w:p>
      <w:pPr>
        <w:keepNext/>
        <w:spacing w:before="200" w:after="80"/>
      </w:pPr>
      <w:r>
        <w:rPr>
          <w:rFonts w:ascii="Times New Roman" w:hAnsi="Times New Roman" w:eastAsia="Times New Roman"/>
          <w:b/>
          <w:i w:val="0"/>
          <w:color w:val="2E5496"/>
          <w:sz w:val="26"/>
        </w:rPr>
        <w:t>1.5 Limitations</w:t>
      </w:r>
    </w:p>
    <w:p>
      <w:pPr>
        <w:spacing w:after="120" w:before="0" w:line="360" w:lineRule="auto"/>
        <w:jc w:val="both"/>
      </w:pPr>
      <w:r>
        <w:rPr>
          <w:rFonts w:ascii="Times New Roman" w:hAnsi="Times New Roman" w:eastAsia="Times New Roman"/>
          <w:b w:val="0"/>
          <w:i w:val="0"/>
          <w:sz w:val="24"/>
        </w:rPr>
        <w:t>Three limitations should be noted. First, as a privately held services firm, Omega communicates its people practices more selectively than a listed company would, and some figures are self-reported; internal realities may differ from the public account. Second, much of the available material emphasises positive practice, so the study relies on careful, cross-checked interpretation to remain balanced. Third, HR practices evolve quickly – Omega’s recent senior-HR-leadership changes are an example – so the report captures a moment in an ongoing journey. These limitations are managed by triangulating across multiple sources wherever possible.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2. Conceptual Framework of Strategic HRM</w:t>
      </w:r>
    </w:p>
    <w:p>
      <w:pPr>
        <w:spacing w:after="120" w:before="0" w:line="360" w:lineRule="auto"/>
        <w:jc w:val="both"/>
      </w:pPr>
      <w:r>
        <w:rPr>
          <w:rFonts w:ascii="Times New Roman" w:hAnsi="Times New Roman" w:eastAsia="Times New Roman"/>
          <w:b w:val="0"/>
          <w:i w:val="0"/>
          <w:sz w:val="24"/>
        </w:rPr>
        <w:t>To keep the analysis grounded, it helps to set out the theoretical lenses through which Omega’s practices are read. These frameworks recur throughout the report and provide the vocabulary for the evaluation that follows.</w:t>
      </w:r>
    </w:p>
    <w:p>
      <w:pPr>
        <w:keepNext/>
        <w:spacing w:before="200" w:after="80"/>
      </w:pPr>
      <w:r>
        <w:rPr>
          <w:rFonts w:ascii="Times New Roman" w:hAnsi="Times New Roman" w:eastAsia="Times New Roman"/>
          <w:b/>
          <w:i w:val="0"/>
          <w:color w:val="2E5496"/>
          <w:sz w:val="26"/>
        </w:rPr>
        <w:t>2.1 Strategic HRM and the idea of ‘bundling’</w:t>
      </w:r>
    </w:p>
    <w:p>
      <w:pPr>
        <w:spacing w:after="120" w:before="0" w:line="360" w:lineRule="auto"/>
        <w:jc w:val="both"/>
      </w:pPr>
      <w:r>
        <w:rPr>
          <w:rFonts w:ascii="Times New Roman" w:hAnsi="Times New Roman" w:eastAsia="Times New Roman"/>
          <w:b w:val="0"/>
          <w:i w:val="0"/>
          <w:sz w:val="24"/>
        </w:rPr>
        <w:t>Strategic Human Resource Management (SHRM) holds that people practices work best when they are aligned with business strategy and reinforce one another as a coherent bundle. Omega is a textbook illustration: its recruitment, learning, reward, career and engagement practices are all bundled around a single strategic priority – retaining a capable, motivated workforce in an industry where turnover is the norm.</w:t>
      </w:r>
    </w:p>
    <w:p>
      <w:pPr>
        <w:keepNext/>
        <w:spacing w:before="200" w:after="80"/>
      </w:pPr>
      <w:r>
        <w:rPr>
          <w:rFonts w:ascii="Times New Roman" w:hAnsi="Times New Roman" w:eastAsia="Times New Roman"/>
          <w:b/>
          <w:i w:val="0"/>
          <w:color w:val="2E5496"/>
          <w:sz w:val="26"/>
        </w:rPr>
        <w:t>2.2 Best-practice versus best-fit</w:t>
      </w:r>
    </w:p>
    <w:p>
      <w:pPr>
        <w:spacing w:after="120" w:before="0" w:line="360" w:lineRule="auto"/>
        <w:jc w:val="both"/>
      </w:pPr>
      <w:r>
        <w:rPr>
          <w:rFonts w:ascii="Times New Roman" w:hAnsi="Times New Roman" w:eastAsia="Times New Roman"/>
          <w:b w:val="0"/>
          <w:i w:val="0"/>
          <w:sz w:val="24"/>
        </w:rPr>
        <w:t>The field distinguishes the ‘best-practice’ view, that certain HR practices benefit any organisation, from the ‘best-fit’ or contingency view, that practices must fit the specific context. Omega supports the best-fit position: its quarterly merit increases and loyalty awards are not generic imports but precise responses to the churn dynamics of healthcare-services outsourcing. A practice that makes sense here might be unnecessary in a low-attrition manufacturing setting.</w:t>
      </w:r>
    </w:p>
    <w:p>
      <w:pPr>
        <w:keepNext/>
        <w:spacing w:before="200" w:after="80"/>
      </w:pPr>
      <w:r>
        <w:rPr>
          <w:rFonts w:ascii="Times New Roman" w:hAnsi="Times New Roman" w:eastAsia="Times New Roman"/>
          <w:b/>
          <w:i w:val="0"/>
          <w:color w:val="2E5496"/>
          <w:sz w:val="26"/>
        </w:rPr>
        <w:t>2.3 The Harvard and Ulrich models</w:t>
      </w:r>
    </w:p>
    <w:p>
      <w:pPr>
        <w:spacing w:after="120" w:before="0" w:line="360" w:lineRule="auto"/>
        <w:jc w:val="both"/>
      </w:pPr>
      <w:r>
        <w:rPr>
          <w:rFonts w:ascii="Times New Roman" w:hAnsi="Times New Roman" w:eastAsia="Times New Roman"/>
          <w:b w:val="0"/>
          <w:i w:val="0"/>
          <w:sz w:val="24"/>
        </w:rPr>
        <w:t>The Harvard model stresses that situational factors – the labour market, technology, workforce characteristics – condition HR choices. For Omega, a high-volume, churn-prone labour market and round-the-clock service delivery are exactly such factors. Dave Ulrich’s model of HR roles – strategic partner, administrative expert, employee champion and change agent – is also useful: Omega’s reinvention of career structures and reward cycles shows HR acting decisively as a change agent and strategic partner.</w:t>
      </w:r>
    </w:p>
    <w:p>
      <w:pPr>
        <w:keepNext/>
        <w:spacing w:before="200" w:after="80"/>
      </w:pPr>
      <w:r>
        <w:rPr>
          <w:rFonts w:ascii="Times New Roman" w:hAnsi="Times New Roman" w:eastAsia="Times New Roman"/>
          <w:b/>
          <w:i w:val="0"/>
          <w:color w:val="2E5496"/>
          <w:sz w:val="26"/>
        </w:rPr>
        <w:t>2.4 The AMO model and the resource-based view</w:t>
      </w:r>
    </w:p>
    <w:p>
      <w:pPr>
        <w:spacing w:after="120" w:before="0" w:line="360" w:lineRule="auto"/>
        <w:jc w:val="both"/>
      </w:pPr>
      <w:r>
        <w:rPr>
          <w:rFonts w:ascii="Times New Roman" w:hAnsi="Times New Roman" w:eastAsia="Times New Roman"/>
          <w:b w:val="0"/>
          <w:i w:val="0"/>
          <w:sz w:val="24"/>
        </w:rPr>
        <w:t>The AMO framework proposes that performance flows from employees’ Ability, Motivation and Opportunity to contribute. Omega’s tiered, contextual learning builds Ability; its quarterly rewards, recognition and long-service awards drive Motivation; and its Career Lattice creates Opportunity. The resource-based view (RBV) adds that people become a source of durable advantage when they are valuable, rare and hard to imitate; in a churn-prone industry, a loyal and experienced workforce is precisely such a rare, inimitable asset, which is why Omega invests so heavily in keeping it.</w:t>
      </w:r>
    </w:p>
    <w:p>
      <w:pPr>
        <w:keepNext/>
        <w:spacing w:before="200" w:after="80"/>
      </w:pPr>
      <w:r>
        <w:rPr>
          <w:rFonts w:ascii="Times New Roman" w:hAnsi="Times New Roman" w:eastAsia="Times New Roman"/>
          <w:b/>
          <w:i w:val="0"/>
          <w:color w:val="2E5496"/>
          <w:sz w:val="26"/>
        </w:rPr>
        <w:t>2.5 Herzberg and the psychological contract</w:t>
      </w:r>
    </w:p>
    <w:p>
      <w:pPr>
        <w:spacing w:after="120" w:before="0" w:line="360" w:lineRule="auto"/>
        <w:jc w:val="both"/>
      </w:pPr>
      <w:r>
        <w:rPr>
          <w:rFonts w:ascii="Times New Roman" w:hAnsi="Times New Roman" w:eastAsia="Times New Roman"/>
          <w:b w:val="0"/>
          <w:i w:val="0"/>
          <w:sz w:val="24"/>
        </w:rPr>
        <w:t>Herzberg’s two-factor theory – distinguishing hygiene factors that prevent dissatisfaction from motivators that create genuine engagement – helps explain why Omega pairs competitive pay with frequent recognition, growth and belonging. The notion of the psychological contract, the unwritten mutual expectations between employer and employee, is central to interpreting Omega’s loyalty-building practices, which are essentially an attempt to strengthen that contract so that employees choose to stay.</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3. Company and Industry Profile</w:t>
      </w:r>
    </w:p>
    <w:p>
      <w:pPr>
        <w:spacing w:after="120" w:before="0" w:line="360" w:lineRule="auto"/>
        <w:jc w:val="both"/>
      </w:pPr>
      <w:r>
        <w:rPr>
          <w:rFonts w:ascii="Times New Roman" w:hAnsi="Times New Roman" w:eastAsia="Times New Roman"/>
          <w:b w:val="0"/>
          <w:i w:val="0"/>
          <w:sz w:val="24"/>
        </w:rPr>
        <w:t>This chapter provides only the context needed to understand the HR analysis that follows; in keeping with the analytical focus of the study it avoids a long operational narrative.</w:t>
      </w:r>
    </w:p>
    <w:p>
      <w:pPr>
        <w:keepNext/>
        <w:spacing w:before="200" w:after="80"/>
      </w:pPr>
      <w:r>
        <w:rPr>
          <w:rFonts w:ascii="Times New Roman" w:hAnsi="Times New Roman" w:eastAsia="Times New Roman"/>
          <w:b/>
          <w:i w:val="0"/>
          <w:color w:val="2E5496"/>
          <w:sz w:val="26"/>
        </w:rPr>
        <w:t>3.1 Omega Healthcare Management Services</w:t>
      </w:r>
    </w:p>
    <w:p>
      <w:pPr>
        <w:spacing w:after="120" w:before="0" w:line="360" w:lineRule="auto"/>
        <w:jc w:val="both"/>
      </w:pPr>
      <w:r>
        <w:rPr>
          <w:rFonts w:ascii="Times New Roman" w:hAnsi="Times New Roman" w:eastAsia="Times New Roman"/>
          <w:b w:val="0"/>
          <w:i w:val="0"/>
          <w:sz w:val="24"/>
        </w:rPr>
        <w:t>Omega Healthcare Management Services was founded in 2003 and has grown into a leading global provider of healthcare revenue-cycle management, medical coding, health-information management and related administrative and clinical-support services. It employs more than thirty-five thousand people across roughly eleven cities in four countries, with a large delivery presence in Indian cities such as Chennai, Bangalore, Trichy and Hyderabad, alongside operations in the Philippines, Colombia and the United States. The business essentially runs critical back-office and knowledge processes for American hospitals, payers and life-science firms, which means confidentiality, accuracy and service continuity are paramount.</w:t>
      </w:r>
    </w:p>
    <w:p>
      <w:pPr>
        <w:spacing w:after="120" w:before="0" w:line="360" w:lineRule="auto"/>
        <w:jc w:val="both"/>
      </w:pPr>
      <w:r>
        <w:rPr>
          <w:rFonts w:ascii="Times New Roman" w:hAnsi="Times New Roman" w:eastAsia="Times New Roman"/>
          <w:b w:val="0"/>
          <w:i w:val="0"/>
          <w:sz w:val="24"/>
        </w:rPr>
        <w:t>Because it belongs to a business-services industry historically associated with high attrition, Omega has made retention and employee experience a central pillar of its strategy. Its people agenda has been led at senior levels by experienced HR leadership, including a Chief Human Resources Officer known for a coaching-and-lifelong-learning philosophy, and the company has continued to strengthen its global HR leadership as it scales. It has been recognised as a Great Place to Work, named a Most Preferred Workplace for Women, and cited by industry analysts for its operations and people practices. The snapshot below situates the company for the HR analysis.</w:t>
      </w: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Indicator</w:t>
            </w:r>
          </w:p>
        </w:tc>
        <w:tc>
          <w:tcPr>
            <w:tcW w:type="dxa" w:w="4608"/>
            <w:shd w:val="clear" w:color="auto" w:fill="2E5496"/>
          </w:tcPr>
          <w:p>
            <w:pPr>
              <w:jc w:val="center"/>
            </w:pPr>
            <w:r/>
            <w:r>
              <w:rPr>
                <w:rFonts w:ascii="Times New Roman" w:hAnsi="Times New Roman" w:eastAsia="Times New Roman"/>
                <w:b/>
                <w:i w:val="0"/>
                <w:color w:val="FFFFFF"/>
                <w:sz w:val="22"/>
              </w:rPr>
              <w:t>Position (most recent public disclosures)</w:t>
            </w:r>
          </w:p>
        </w:tc>
      </w:tr>
      <w:tr>
        <w:tc>
          <w:tcPr>
            <w:tcW w:type="dxa" w:w="4608"/>
          </w:tcPr>
          <w:p>
            <w:pPr>
              <w:spacing w:after="40" w:line="240" w:lineRule="auto"/>
            </w:pPr>
            <w:r/>
            <w:r>
              <w:rPr>
                <w:rFonts w:ascii="Times New Roman" w:hAnsi="Times New Roman" w:eastAsia="Times New Roman"/>
                <w:b w:val="0"/>
                <w:i w:val="0"/>
                <w:sz w:val="21"/>
              </w:rPr>
              <w:t>Sector</w:t>
            </w:r>
          </w:p>
        </w:tc>
        <w:tc>
          <w:tcPr>
            <w:tcW w:type="dxa" w:w="4608"/>
          </w:tcPr>
          <w:p>
            <w:pPr>
              <w:spacing w:after="40" w:line="240" w:lineRule="auto"/>
            </w:pPr>
            <w:r/>
            <w:r>
              <w:rPr>
                <w:rFonts w:ascii="Times New Roman" w:hAnsi="Times New Roman" w:eastAsia="Times New Roman"/>
                <w:b w:val="0"/>
                <w:i w:val="0"/>
                <w:sz w:val="21"/>
              </w:rPr>
              <w:t>Healthcare services – revenue-cycle management (RCM) and BPO</w:t>
            </w:r>
          </w:p>
        </w:tc>
      </w:tr>
      <w:tr>
        <w:tc>
          <w:tcPr>
            <w:tcW w:type="dxa" w:w="4608"/>
          </w:tcPr>
          <w:p>
            <w:pPr>
              <w:spacing w:after="40" w:line="240" w:lineRule="auto"/>
            </w:pPr>
            <w:r/>
            <w:r>
              <w:rPr>
                <w:rFonts w:ascii="Times New Roman" w:hAnsi="Times New Roman" w:eastAsia="Times New Roman"/>
                <w:b w:val="0"/>
                <w:i w:val="0"/>
                <w:sz w:val="21"/>
              </w:rPr>
              <w:t>Founded</w:t>
            </w:r>
          </w:p>
        </w:tc>
        <w:tc>
          <w:tcPr>
            <w:tcW w:type="dxa" w:w="4608"/>
          </w:tcPr>
          <w:p>
            <w:pPr>
              <w:spacing w:after="40" w:line="240" w:lineRule="auto"/>
            </w:pPr>
            <w:r/>
            <w:r>
              <w:rPr>
                <w:rFonts w:ascii="Times New Roman" w:hAnsi="Times New Roman" w:eastAsia="Times New Roman"/>
                <w:b w:val="0"/>
                <w:i w:val="0"/>
                <w:sz w:val="21"/>
              </w:rPr>
              <w:t>2003; headquartered in the United States with major delivery in India</w:t>
            </w:r>
          </w:p>
        </w:tc>
      </w:tr>
      <w:tr>
        <w:tc>
          <w:tcPr>
            <w:tcW w:type="dxa" w:w="4608"/>
          </w:tcPr>
          <w:p>
            <w:pPr>
              <w:spacing w:after="40" w:line="240" w:lineRule="auto"/>
            </w:pPr>
            <w:r/>
            <w:r>
              <w:rPr>
                <w:rFonts w:ascii="Times New Roman" w:hAnsi="Times New Roman" w:eastAsia="Times New Roman"/>
                <w:b w:val="0"/>
                <w:i w:val="0"/>
                <w:sz w:val="21"/>
              </w:rPr>
              <w:t>Scale</w:t>
            </w:r>
          </w:p>
        </w:tc>
        <w:tc>
          <w:tcPr>
            <w:tcW w:type="dxa" w:w="4608"/>
          </w:tcPr>
          <w:p>
            <w:pPr>
              <w:spacing w:after="40" w:line="240" w:lineRule="auto"/>
            </w:pPr>
            <w:r/>
            <w:r>
              <w:rPr>
                <w:rFonts w:ascii="Times New Roman" w:hAnsi="Times New Roman" w:eastAsia="Times New Roman"/>
                <w:b w:val="0"/>
                <w:i w:val="0"/>
                <w:sz w:val="21"/>
              </w:rPr>
              <w:t>35,000+ employees across ~11 cities in four countries</w:t>
            </w:r>
          </w:p>
        </w:tc>
      </w:tr>
      <w:tr>
        <w:tc>
          <w:tcPr>
            <w:tcW w:type="dxa" w:w="4608"/>
          </w:tcPr>
          <w:p>
            <w:pPr>
              <w:spacing w:after="40" w:line="240" w:lineRule="auto"/>
            </w:pPr>
            <w:r/>
            <w:r>
              <w:rPr>
                <w:rFonts w:ascii="Times New Roman" w:hAnsi="Times New Roman" w:eastAsia="Times New Roman"/>
                <w:b w:val="0"/>
                <w:i w:val="0"/>
                <w:sz w:val="21"/>
              </w:rPr>
              <w:t>Delivery hubs</w:t>
            </w:r>
          </w:p>
        </w:tc>
        <w:tc>
          <w:tcPr>
            <w:tcW w:type="dxa" w:w="4608"/>
          </w:tcPr>
          <w:p>
            <w:pPr>
              <w:spacing w:after="40" w:line="240" w:lineRule="auto"/>
            </w:pPr>
            <w:r/>
            <w:r>
              <w:rPr>
                <w:rFonts w:ascii="Times New Roman" w:hAnsi="Times New Roman" w:eastAsia="Times New Roman"/>
                <w:b w:val="0"/>
                <w:i w:val="0"/>
                <w:sz w:val="21"/>
              </w:rPr>
              <w:t>India (Chennai, Bangalore, Trichy, Hyderabad), Philippines, Colombia, US</w:t>
            </w:r>
          </w:p>
        </w:tc>
      </w:tr>
      <w:tr>
        <w:tc>
          <w:tcPr>
            <w:tcW w:type="dxa" w:w="4608"/>
          </w:tcPr>
          <w:p>
            <w:pPr>
              <w:spacing w:after="40" w:line="240" w:lineRule="auto"/>
            </w:pPr>
            <w:r/>
            <w:r>
              <w:rPr>
                <w:rFonts w:ascii="Times New Roman" w:hAnsi="Times New Roman" w:eastAsia="Times New Roman"/>
                <w:b w:val="0"/>
                <w:i w:val="0"/>
                <w:sz w:val="21"/>
              </w:rPr>
              <w:t>Core work</w:t>
            </w:r>
          </w:p>
        </w:tc>
        <w:tc>
          <w:tcPr>
            <w:tcW w:type="dxa" w:w="4608"/>
          </w:tcPr>
          <w:p>
            <w:pPr>
              <w:spacing w:after="40" w:line="240" w:lineRule="auto"/>
            </w:pPr>
            <w:r/>
            <w:r>
              <w:rPr>
                <w:rFonts w:ascii="Times New Roman" w:hAnsi="Times New Roman" w:eastAsia="Times New Roman"/>
                <w:b w:val="0"/>
                <w:i w:val="0"/>
                <w:sz w:val="21"/>
              </w:rPr>
              <w:t>Medical coding, billing, RCM, health-information management</w:t>
            </w:r>
          </w:p>
        </w:tc>
      </w:tr>
      <w:tr>
        <w:tc>
          <w:tcPr>
            <w:tcW w:type="dxa" w:w="4608"/>
          </w:tcPr>
          <w:p>
            <w:pPr>
              <w:spacing w:after="40" w:line="240" w:lineRule="auto"/>
            </w:pPr>
            <w:r/>
            <w:r>
              <w:rPr>
                <w:rFonts w:ascii="Times New Roman" w:hAnsi="Times New Roman" w:eastAsia="Times New Roman"/>
                <w:b w:val="0"/>
                <w:i w:val="0"/>
                <w:sz w:val="21"/>
              </w:rPr>
              <w:t>People focus</w:t>
            </w:r>
          </w:p>
        </w:tc>
        <w:tc>
          <w:tcPr>
            <w:tcW w:type="dxa" w:w="4608"/>
          </w:tcPr>
          <w:p>
            <w:pPr>
              <w:spacing w:after="40" w:line="240" w:lineRule="auto"/>
            </w:pPr>
            <w:r/>
            <w:r>
              <w:rPr>
                <w:rFonts w:ascii="Times New Roman" w:hAnsi="Times New Roman" w:eastAsia="Times New Roman"/>
                <w:b w:val="0"/>
                <w:i w:val="0"/>
                <w:sz w:val="21"/>
              </w:rPr>
              <w:t>Retention and employee experience as central strategy</w:t>
            </w:r>
          </w:p>
        </w:tc>
      </w:tr>
      <w:tr>
        <w:tc>
          <w:tcPr>
            <w:tcW w:type="dxa" w:w="4608"/>
          </w:tcPr>
          <w:p>
            <w:pPr>
              <w:spacing w:after="40" w:line="240" w:lineRule="auto"/>
            </w:pPr>
            <w:r/>
            <w:r>
              <w:rPr>
                <w:rFonts w:ascii="Times New Roman" w:hAnsi="Times New Roman" w:eastAsia="Times New Roman"/>
                <w:b w:val="0"/>
                <w:i w:val="0"/>
                <w:sz w:val="21"/>
              </w:rPr>
              <w:t>Recognition</w:t>
            </w:r>
          </w:p>
        </w:tc>
        <w:tc>
          <w:tcPr>
            <w:tcW w:type="dxa" w:w="4608"/>
          </w:tcPr>
          <w:p>
            <w:pPr>
              <w:spacing w:after="40" w:line="240" w:lineRule="auto"/>
            </w:pPr>
            <w:r/>
            <w:r>
              <w:rPr>
                <w:rFonts w:ascii="Times New Roman" w:hAnsi="Times New Roman" w:eastAsia="Times New Roman"/>
                <w:b w:val="0"/>
                <w:i w:val="0"/>
                <w:sz w:val="21"/>
              </w:rPr>
              <w:t>Great Place to Work; Most Preferred Workplace for Women; analyst recognition</w:t>
            </w:r>
          </w:p>
        </w:tc>
      </w:tr>
    </w:tbl>
    <w:p>
      <w:pPr>
        <w:spacing w:after="40"/>
      </w:pPr>
    </w:p>
    <w:p>
      <w:pPr>
        <w:keepNext/>
        <w:spacing w:before="200" w:after="80"/>
      </w:pPr>
      <w:r>
        <w:rPr>
          <w:rFonts w:ascii="Times New Roman" w:hAnsi="Times New Roman" w:eastAsia="Times New Roman"/>
          <w:b/>
          <w:i w:val="0"/>
          <w:color w:val="2E5496"/>
          <w:sz w:val="26"/>
        </w:rPr>
        <w:t>3.2 The Healthcare-Services Industry as the Context for HR</w:t>
      </w:r>
    </w:p>
    <w:p>
      <w:pPr>
        <w:spacing w:after="120" w:before="0" w:line="360" w:lineRule="auto"/>
        <w:jc w:val="both"/>
      </w:pPr>
      <w:r>
        <w:rPr>
          <w:rFonts w:ascii="Times New Roman" w:hAnsi="Times New Roman" w:eastAsia="Times New Roman"/>
          <w:b w:val="0"/>
          <w:i w:val="0"/>
          <w:sz w:val="24"/>
        </w:rPr>
        <w:t>Several features of the healthcare-services and RCM industry shape almost every HR decision Omega makes, and it is worth naming them explicitly before the analysis begins.</w:t>
      </w:r>
    </w:p>
    <w:p>
      <w:pPr>
        <w:pStyle w:val="ListBullet"/>
        <w:spacing w:after="60" w:line="360" w:lineRule="auto"/>
        <w:jc w:val="both"/>
      </w:pPr>
      <w:r>
        <w:rPr>
          <w:rFonts w:ascii="Times New Roman" w:hAnsi="Times New Roman" w:eastAsia="Times New Roman"/>
          <w:b/>
          <w:i w:val="0"/>
          <w:sz w:val="24"/>
        </w:rPr>
        <w:t xml:space="preserve">People-intensive delivery. </w:t>
      </w:r>
      <w:r>
        <w:rPr>
          <w:rFonts w:ascii="Times New Roman" w:hAnsi="Times New Roman" w:eastAsia="Times New Roman"/>
          <w:b w:val="0"/>
          <w:i w:val="0"/>
          <w:sz w:val="24"/>
        </w:rPr>
        <w:t>the workforce is the product; the quality and stability of people translate directly into client service levels.</w:t>
      </w:r>
    </w:p>
    <w:p>
      <w:pPr>
        <w:pStyle w:val="ListBullet"/>
        <w:spacing w:after="60" w:line="360" w:lineRule="auto"/>
        <w:jc w:val="both"/>
      </w:pPr>
      <w:r>
        <w:rPr>
          <w:rFonts w:ascii="Times New Roman" w:hAnsi="Times New Roman" w:eastAsia="Times New Roman"/>
          <w:b/>
          <w:i w:val="0"/>
          <w:sz w:val="24"/>
        </w:rPr>
        <w:t xml:space="preserve">Chronic churn. </w:t>
      </w:r>
      <w:r>
        <w:rPr>
          <w:rFonts w:ascii="Times New Roman" w:hAnsi="Times New Roman" w:eastAsia="Times New Roman"/>
          <w:b w:val="0"/>
          <w:i w:val="0"/>
          <w:sz w:val="24"/>
        </w:rPr>
        <w:t>the sector has historically suffered rapid staff turnover, making retention the single most important HR objective.</w:t>
      </w:r>
    </w:p>
    <w:p>
      <w:pPr>
        <w:pStyle w:val="ListBullet"/>
        <w:spacing w:after="60" w:line="360" w:lineRule="auto"/>
        <w:jc w:val="both"/>
      </w:pPr>
      <w:r>
        <w:rPr>
          <w:rFonts w:ascii="Times New Roman" w:hAnsi="Times New Roman" w:eastAsia="Times New Roman"/>
          <w:b/>
          <w:i w:val="0"/>
          <w:sz w:val="24"/>
        </w:rPr>
        <w:t xml:space="preserve">Round-the-clock operations. </w:t>
      </w:r>
      <w:r>
        <w:rPr>
          <w:rFonts w:ascii="Times New Roman" w:hAnsi="Times New Roman" w:eastAsia="Times New Roman"/>
          <w:b w:val="0"/>
          <w:i w:val="0"/>
          <w:sz w:val="24"/>
        </w:rPr>
        <w:t>much delivery is aligned to overseas (largely US) time zones and runs around the clock, raising the risk of stress and burnout.</w:t>
      </w:r>
    </w:p>
    <w:p>
      <w:pPr>
        <w:pStyle w:val="ListBullet"/>
        <w:spacing w:after="60" w:line="360" w:lineRule="auto"/>
        <w:jc w:val="both"/>
      </w:pPr>
      <w:r>
        <w:rPr>
          <w:rFonts w:ascii="Times New Roman" w:hAnsi="Times New Roman" w:eastAsia="Times New Roman"/>
          <w:b/>
          <w:i w:val="0"/>
          <w:sz w:val="24"/>
        </w:rPr>
        <w:t xml:space="preserve">Data sensitivity and compliance. </w:t>
      </w:r>
      <w:r>
        <w:rPr>
          <w:rFonts w:ascii="Times New Roman" w:hAnsi="Times New Roman" w:eastAsia="Times New Roman"/>
          <w:b w:val="0"/>
          <w:i w:val="0"/>
          <w:sz w:val="24"/>
        </w:rPr>
        <w:t>the work involves sensitive medical and financial data, so accuracy, compliance and confidentiality are non-negotiable.</w:t>
      </w:r>
    </w:p>
    <w:p>
      <w:pPr>
        <w:pStyle w:val="ListBullet"/>
        <w:spacing w:after="60" w:line="360" w:lineRule="auto"/>
        <w:jc w:val="both"/>
      </w:pPr>
      <w:r>
        <w:rPr>
          <w:rFonts w:ascii="Times New Roman" w:hAnsi="Times New Roman" w:eastAsia="Times New Roman"/>
          <w:b/>
          <w:i w:val="0"/>
          <w:sz w:val="24"/>
        </w:rPr>
        <w:t xml:space="preserve">Highly measurable work. </w:t>
      </w:r>
      <w:r>
        <w:rPr>
          <w:rFonts w:ascii="Times New Roman" w:hAnsi="Times New Roman" w:eastAsia="Times New Roman"/>
          <w:b w:val="0"/>
          <w:i w:val="0"/>
          <w:sz w:val="24"/>
        </w:rPr>
        <w:t>individual output (for example, coding accuracy and productivity) is highly measurable, which makes frequent, performance-linked reward feasible.</w:t>
      </w:r>
    </w:p>
    <w:p>
      <w:pPr>
        <w:spacing w:after="120" w:before="0" w:line="360" w:lineRule="auto"/>
        <w:jc w:val="both"/>
      </w:pPr>
      <w:r>
        <w:rPr>
          <w:rFonts w:ascii="Times New Roman" w:hAnsi="Times New Roman" w:eastAsia="Times New Roman"/>
          <w:b w:val="0"/>
          <w:i w:val="0"/>
          <w:sz w:val="24"/>
        </w:rPr>
        <w:t>As the analysis will show, each of Omega’s distinctive HR practices can be traced back to one or more of these industry characteristics – and, above all, to the imperative of retention.</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4. Analysis of HR Practices at Omega Healthcare</w:t>
      </w:r>
    </w:p>
    <w:p>
      <w:pPr>
        <w:spacing w:after="120" w:before="0" w:line="360" w:lineRule="auto"/>
        <w:jc w:val="both"/>
      </w:pPr>
      <w:r>
        <w:rPr>
          <w:rFonts w:ascii="Times New Roman" w:hAnsi="Times New Roman" w:eastAsia="Times New Roman"/>
          <w:b w:val="0"/>
          <w:i w:val="0"/>
          <w:sz w:val="24"/>
        </w:rPr>
        <w:t>This chapter forms the core of the report. Each HR function is examined under three headings – current practice and how it works, effectiveness and strengths, and areas for improvement – with the influence of the healthcare-services industry drawn out throughout. The table below offers a high-level map of the practices before they are examined in detail.</w:t>
      </w: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HR function</w:t>
            </w:r>
          </w:p>
        </w:tc>
        <w:tc>
          <w:tcPr>
            <w:tcW w:type="dxa" w:w="4608"/>
            <w:shd w:val="clear" w:color="auto" w:fill="2E5496"/>
          </w:tcPr>
          <w:p>
            <w:pPr>
              <w:jc w:val="center"/>
            </w:pPr>
            <w:r/>
            <w:r>
              <w:rPr>
                <w:rFonts w:ascii="Times New Roman" w:hAnsi="Times New Roman" w:eastAsia="Times New Roman"/>
                <w:b/>
                <w:i w:val="0"/>
                <w:color w:val="FFFFFF"/>
                <w:sz w:val="22"/>
              </w:rPr>
              <w:t>Signature practice at Omega Healthcare</w:t>
            </w:r>
          </w:p>
        </w:tc>
      </w:tr>
      <w:tr>
        <w:tc>
          <w:tcPr>
            <w:tcW w:type="dxa" w:w="4608"/>
          </w:tcPr>
          <w:p>
            <w:pPr>
              <w:spacing w:after="40" w:line="240" w:lineRule="auto"/>
            </w:pPr>
            <w:r/>
            <w:r>
              <w:rPr>
                <w:rFonts w:ascii="Times New Roman" w:hAnsi="Times New Roman" w:eastAsia="Times New Roman"/>
                <w:b w:val="0"/>
                <w:i w:val="0"/>
                <w:sz w:val="21"/>
              </w:rPr>
              <w:t>Employer branding</w:t>
            </w:r>
          </w:p>
        </w:tc>
        <w:tc>
          <w:tcPr>
            <w:tcW w:type="dxa" w:w="4608"/>
          </w:tcPr>
          <w:p>
            <w:pPr>
              <w:spacing w:after="40" w:line="240" w:lineRule="auto"/>
            </w:pPr>
            <w:r/>
            <w:r>
              <w:rPr>
                <w:rFonts w:ascii="Times New Roman" w:hAnsi="Times New Roman" w:eastAsia="Times New Roman"/>
                <w:b w:val="0"/>
                <w:i w:val="0"/>
                <w:sz w:val="21"/>
              </w:rPr>
              <w:t>‘Life at Omega’; stability and advancement stories</w:t>
            </w:r>
          </w:p>
        </w:tc>
      </w:tr>
      <w:tr>
        <w:tc>
          <w:tcPr>
            <w:tcW w:type="dxa" w:w="4608"/>
          </w:tcPr>
          <w:p>
            <w:pPr>
              <w:spacing w:after="40" w:line="240" w:lineRule="auto"/>
            </w:pPr>
            <w:r/>
            <w:r>
              <w:rPr>
                <w:rFonts w:ascii="Times New Roman" w:hAnsi="Times New Roman" w:eastAsia="Times New Roman"/>
                <w:b w:val="0"/>
                <w:i w:val="0"/>
                <w:sz w:val="21"/>
              </w:rPr>
              <w:t>Recruitment &amp; selection</w:t>
            </w:r>
          </w:p>
        </w:tc>
        <w:tc>
          <w:tcPr>
            <w:tcW w:type="dxa" w:w="4608"/>
          </w:tcPr>
          <w:p>
            <w:pPr>
              <w:spacing w:after="40" w:line="240" w:lineRule="auto"/>
            </w:pPr>
            <w:r/>
            <w:r>
              <w:rPr>
                <w:rFonts w:ascii="Times New Roman" w:hAnsi="Times New Roman" w:eastAsia="Times New Roman"/>
                <w:b w:val="0"/>
                <w:i w:val="0"/>
                <w:sz w:val="21"/>
              </w:rPr>
              <w:t>High-volume, inclusive, train-to-hire model</w:t>
            </w:r>
          </w:p>
        </w:tc>
      </w:tr>
      <w:tr>
        <w:tc>
          <w:tcPr>
            <w:tcW w:type="dxa" w:w="4608"/>
          </w:tcPr>
          <w:p>
            <w:pPr>
              <w:spacing w:after="40" w:line="240" w:lineRule="auto"/>
            </w:pPr>
            <w:r/>
            <w:r>
              <w:rPr>
                <w:rFonts w:ascii="Times New Roman" w:hAnsi="Times New Roman" w:eastAsia="Times New Roman"/>
                <w:b w:val="0"/>
                <w:i w:val="0"/>
                <w:sz w:val="21"/>
              </w:rPr>
              <w:t>Learning &amp; development</w:t>
            </w:r>
          </w:p>
        </w:tc>
        <w:tc>
          <w:tcPr>
            <w:tcW w:type="dxa" w:w="4608"/>
          </w:tcPr>
          <w:p>
            <w:pPr>
              <w:spacing w:after="40" w:line="240" w:lineRule="auto"/>
            </w:pPr>
            <w:r/>
            <w:r>
              <w:rPr>
                <w:rFonts w:ascii="Times New Roman" w:hAnsi="Times New Roman" w:eastAsia="Times New Roman"/>
                <w:b w:val="0"/>
                <w:i w:val="0"/>
                <w:sz w:val="21"/>
              </w:rPr>
              <w:t>Tiered L&amp;D; Future Leader Pipeline; contextual learning</w:t>
            </w:r>
          </w:p>
        </w:tc>
      </w:tr>
      <w:tr>
        <w:tc>
          <w:tcPr>
            <w:tcW w:type="dxa" w:w="4608"/>
          </w:tcPr>
          <w:p>
            <w:pPr>
              <w:spacing w:after="40" w:line="240" w:lineRule="auto"/>
            </w:pPr>
            <w:r/>
            <w:r>
              <w:rPr>
                <w:rFonts w:ascii="Times New Roman" w:hAnsi="Times New Roman" w:eastAsia="Times New Roman"/>
                <w:b w:val="0"/>
                <w:i w:val="0"/>
                <w:sz w:val="21"/>
              </w:rPr>
              <w:t>Performance management</w:t>
            </w:r>
          </w:p>
        </w:tc>
        <w:tc>
          <w:tcPr>
            <w:tcW w:type="dxa" w:w="4608"/>
          </w:tcPr>
          <w:p>
            <w:pPr>
              <w:spacing w:after="40" w:line="240" w:lineRule="auto"/>
            </w:pPr>
            <w:r/>
            <w:r>
              <w:rPr>
                <w:rFonts w:ascii="Times New Roman" w:hAnsi="Times New Roman" w:eastAsia="Times New Roman"/>
                <w:b w:val="0"/>
                <w:i w:val="0"/>
                <w:sz w:val="21"/>
              </w:rPr>
              <w:t>Quarterly merit increases (PBQMI) for frontline staff</w:t>
            </w:r>
          </w:p>
        </w:tc>
      </w:tr>
      <w:tr>
        <w:tc>
          <w:tcPr>
            <w:tcW w:type="dxa" w:w="4608"/>
          </w:tcPr>
          <w:p>
            <w:pPr>
              <w:spacing w:after="40" w:line="240" w:lineRule="auto"/>
            </w:pPr>
            <w:r/>
            <w:r>
              <w:rPr>
                <w:rFonts w:ascii="Times New Roman" w:hAnsi="Times New Roman" w:eastAsia="Times New Roman"/>
                <w:b w:val="0"/>
                <w:i w:val="0"/>
                <w:sz w:val="21"/>
              </w:rPr>
              <w:t>Compensation &amp; benefits</w:t>
            </w:r>
          </w:p>
        </w:tc>
        <w:tc>
          <w:tcPr>
            <w:tcW w:type="dxa" w:w="4608"/>
          </w:tcPr>
          <w:p>
            <w:pPr>
              <w:spacing w:after="40" w:line="240" w:lineRule="auto"/>
            </w:pPr>
            <w:r/>
            <w:r>
              <w:rPr>
                <w:rFonts w:ascii="Times New Roman" w:hAnsi="Times New Roman" w:eastAsia="Times New Roman"/>
                <w:b w:val="0"/>
                <w:i w:val="0"/>
                <w:sz w:val="21"/>
              </w:rPr>
              <w:t>Golden Brick long-service awards; wellness benefits</w:t>
            </w:r>
          </w:p>
        </w:tc>
      </w:tr>
      <w:tr>
        <w:tc>
          <w:tcPr>
            <w:tcW w:type="dxa" w:w="4608"/>
          </w:tcPr>
          <w:p>
            <w:pPr>
              <w:spacing w:after="40" w:line="240" w:lineRule="auto"/>
            </w:pPr>
            <w:r/>
            <w:r>
              <w:rPr>
                <w:rFonts w:ascii="Times New Roman" w:hAnsi="Times New Roman" w:eastAsia="Times New Roman"/>
                <w:b w:val="0"/>
                <w:i w:val="0"/>
                <w:sz w:val="21"/>
              </w:rPr>
              <w:t>Employee engagement</w:t>
            </w:r>
          </w:p>
        </w:tc>
        <w:tc>
          <w:tcPr>
            <w:tcW w:type="dxa" w:w="4608"/>
          </w:tcPr>
          <w:p>
            <w:pPr>
              <w:spacing w:after="40" w:line="240" w:lineRule="auto"/>
            </w:pPr>
            <w:r/>
            <w:r>
              <w:rPr>
                <w:rFonts w:ascii="Times New Roman" w:hAnsi="Times New Roman" w:eastAsia="Times New Roman"/>
                <w:b w:val="0"/>
                <w:i w:val="0"/>
                <w:sz w:val="21"/>
              </w:rPr>
              <w:t>~92% engagement; eNPS +40; AI listening</w:t>
            </w:r>
          </w:p>
        </w:tc>
      </w:tr>
      <w:tr>
        <w:tc>
          <w:tcPr>
            <w:tcW w:type="dxa" w:w="4608"/>
          </w:tcPr>
          <w:p>
            <w:pPr>
              <w:spacing w:after="40" w:line="240" w:lineRule="auto"/>
            </w:pPr>
            <w:r/>
            <w:r>
              <w:rPr>
                <w:rFonts w:ascii="Times New Roman" w:hAnsi="Times New Roman" w:eastAsia="Times New Roman"/>
                <w:b w:val="0"/>
                <w:i w:val="0"/>
                <w:sz w:val="21"/>
              </w:rPr>
              <w:t>Diversity, equity &amp; inclusion</w:t>
            </w:r>
          </w:p>
        </w:tc>
        <w:tc>
          <w:tcPr>
            <w:tcW w:type="dxa" w:w="4608"/>
          </w:tcPr>
          <w:p>
            <w:pPr>
              <w:spacing w:after="40" w:line="240" w:lineRule="auto"/>
            </w:pPr>
            <w:r/>
            <w:r>
              <w:rPr>
                <w:rFonts w:ascii="Times New Roman" w:hAnsi="Times New Roman" w:eastAsia="Times New Roman"/>
                <w:b w:val="0"/>
                <w:i w:val="0"/>
                <w:sz w:val="21"/>
              </w:rPr>
              <w:t>~50% women; ERGs; broad inclusion policies</w:t>
            </w:r>
          </w:p>
        </w:tc>
      </w:tr>
      <w:tr>
        <w:tc>
          <w:tcPr>
            <w:tcW w:type="dxa" w:w="4608"/>
          </w:tcPr>
          <w:p>
            <w:pPr>
              <w:spacing w:after="40" w:line="240" w:lineRule="auto"/>
            </w:pPr>
            <w:r/>
            <w:r>
              <w:rPr>
                <w:rFonts w:ascii="Times New Roman" w:hAnsi="Times New Roman" w:eastAsia="Times New Roman"/>
                <w:b w:val="0"/>
                <w:i w:val="0"/>
                <w:sz w:val="21"/>
              </w:rPr>
              <w:t>Career development</w:t>
            </w:r>
          </w:p>
        </w:tc>
        <w:tc>
          <w:tcPr>
            <w:tcW w:type="dxa" w:w="4608"/>
          </w:tcPr>
          <w:p>
            <w:pPr>
              <w:spacing w:after="40" w:line="240" w:lineRule="auto"/>
            </w:pPr>
            <w:r/>
            <w:r>
              <w:rPr>
                <w:rFonts w:ascii="Times New Roman" w:hAnsi="Times New Roman" w:eastAsia="Times New Roman"/>
                <w:b w:val="0"/>
                <w:i w:val="0"/>
                <w:sz w:val="21"/>
              </w:rPr>
              <w:t>Omega Career Lattice – lateral &amp; diagonal mobility</w:t>
            </w:r>
          </w:p>
        </w:tc>
      </w:tr>
      <w:tr>
        <w:tc>
          <w:tcPr>
            <w:tcW w:type="dxa" w:w="4608"/>
          </w:tcPr>
          <w:p>
            <w:pPr>
              <w:spacing w:after="40" w:line="240" w:lineRule="auto"/>
            </w:pPr>
            <w:r/>
            <w:r>
              <w:rPr>
                <w:rFonts w:ascii="Times New Roman" w:hAnsi="Times New Roman" w:eastAsia="Times New Roman"/>
                <w:b w:val="0"/>
                <w:i w:val="0"/>
                <w:sz w:val="21"/>
              </w:rPr>
              <w:t>HR technology</w:t>
            </w:r>
          </w:p>
        </w:tc>
        <w:tc>
          <w:tcPr>
            <w:tcW w:type="dxa" w:w="4608"/>
          </w:tcPr>
          <w:p>
            <w:pPr>
              <w:spacing w:after="40" w:line="240" w:lineRule="auto"/>
            </w:pPr>
            <w:r/>
            <w:r>
              <w:rPr>
                <w:rFonts w:ascii="Times New Roman" w:hAnsi="Times New Roman" w:eastAsia="Times New Roman"/>
                <w:b w:val="0"/>
                <w:i w:val="0"/>
                <w:sz w:val="21"/>
              </w:rPr>
              <w:t>AI-enabled continuous listening (‘emotional pulse checks’)</w:t>
            </w:r>
          </w:p>
        </w:tc>
      </w:tr>
      <w:tr>
        <w:tc>
          <w:tcPr>
            <w:tcW w:type="dxa" w:w="4608"/>
          </w:tcPr>
          <w:p>
            <w:pPr>
              <w:spacing w:after="40" w:line="240" w:lineRule="auto"/>
            </w:pPr>
            <w:r/>
            <w:r>
              <w:rPr>
                <w:rFonts w:ascii="Times New Roman" w:hAnsi="Times New Roman" w:eastAsia="Times New Roman"/>
                <w:b w:val="0"/>
                <w:i w:val="0"/>
                <w:sz w:val="21"/>
              </w:rPr>
              <w:t>Well-being &amp; culture</w:t>
            </w:r>
          </w:p>
        </w:tc>
        <w:tc>
          <w:tcPr>
            <w:tcW w:type="dxa" w:w="4608"/>
          </w:tcPr>
          <w:p>
            <w:pPr>
              <w:spacing w:after="40" w:line="240" w:lineRule="auto"/>
            </w:pPr>
            <w:r/>
            <w:r>
              <w:rPr>
                <w:rFonts w:ascii="Times New Roman" w:hAnsi="Times New Roman" w:eastAsia="Times New Roman"/>
                <w:b w:val="0"/>
                <w:i w:val="0"/>
                <w:sz w:val="21"/>
              </w:rPr>
              <w:t>EAP, 24-hour helpline, in-house doctors; belonging</w:t>
            </w:r>
          </w:p>
        </w:tc>
      </w:tr>
    </w:tbl>
    <w:p>
      <w:pPr>
        <w:spacing w:after="40"/>
      </w:pPr>
    </w:p>
    <w:p>
      <w:pPr>
        <w:keepNext/>
        <w:spacing w:before="200" w:after="80"/>
      </w:pPr>
      <w:r>
        <w:rPr>
          <w:rFonts w:ascii="Times New Roman" w:hAnsi="Times New Roman" w:eastAsia="Times New Roman"/>
          <w:b/>
          <w:i w:val="0"/>
          <w:color w:val="2E5496"/>
          <w:sz w:val="26"/>
        </w:rPr>
        <w:t>4.1 Employer Branding</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employer brand, expressed through its ‘Life at Omega’ messaging, leans heavily on stories of long-serving employees who have climbed from entry-level roles into management, on a caring and growth-oriented culture, and on external recognition as a Great Place to Work and a Most Preferred Workplace for Women. The core promise is stability and advancement in a field where both are historically rare – the brand explicitly answers the candidate’s unspoken question, ‘will I still be here, and growing, in five years?’</w:t>
      </w:r>
    </w:p>
    <w:p>
      <w:pPr>
        <w:spacing w:after="120" w:before="0" w:line="360" w:lineRule="auto"/>
        <w:jc w:val="both"/>
      </w:pPr>
      <w:r>
        <w:rPr>
          <w:rFonts w:ascii="Times New Roman" w:hAnsi="Times New Roman" w:eastAsia="Times New Roman"/>
          <w:b w:val="0"/>
          <w:i w:val="0"/>
          <w:sz w:val="24"/>
        </w:rPr>
        <w:t>This positioning fits the industry precisely. Because the sector is associated with churn, an employer that can credibly promise belonging, longevity and internal mobility stands out in a crowded, high-volume labour market.</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The brand is authentic and well-targeted, addressing the specific anxieties of services-sector candidates.</w:t>
      </w:r>
    </w:p>
    <w:p>
      <w:pPr>
        <w:pStyle w:val="ListBullet"/>
        <w:spacing w:after="60" w:line="360" w:lineRule="auto"/>
        <w:jc w:val="both"/>
      </w:pPr>
      <w:r>
        <w:rPr>
          <w:rFonts w:ascii="Times New Roman" w:hAnsi="Times New Roman" w:eastAsia="Times New Roman"/>
          <w:b w:val="0"/>
          <w:i w:val="0"/>
          <w:sz w:val="24"/>
        </w:rPr>
        <w:t>External recognition (Great Place to Work; Most Preferred Workplace for Women) lends the messaging credibility.</w:t>
      </w:r>
    </w:p>
    <w:p>
      <w:pPr>
        <w:pStyle w:val="ListBullet"/>
        <w:spacing w:after="60" w:line="360" w:lineRule="auto"/>
        <w:jc w:val="both"/>
      </w:pPr>
      <w:r>
        <w:rPr>
          <w:rFonts w:ascii="Times New Roman" w:hAnsi="Times New Roman" w:eastAsia="Times New Roman"/>
          <w:b w:val="0"/>
          <w:i w:val="0"/>
          <w:sz w:val="24"/>
        </w:rPr>
        <w:t>Real internal-promotion stories provide living proof of the advancement promise.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The brand depends on continuing to deliver the mobility it advertises; any gap would quickly erode trust.</w:t>
      </w:r>
    </w:p>
    <w:p>
      <w:pPr>
        <w:pStyle w:val="ListBullet"/>
        <w:spacing w:after="60" w:line="360" w:lineRule="auto"/>
        <w:jc w:val="both"/>
      </w:pPr>
      <w:r>
        <w:rPr>
          <w:rFonts w:ascii="Times New Roman" w:hAnsi="Times New Roman" w:eastAsia="Times New Roman"/>
          <w:b w:val="0"/>
          <w:i w:val="0"/>
          <w:sz w:val="24"/>
        </w:rPr>
        <w:t>More formal, independently benchmarked certifications could add harder, comparative edges to the warm messaging.</w:t>
      </w:r>
    </w:p>
    <w:p>
      <w:pPr>
        <w:keepNext/>
        <w:spacing w:before="200" w:after="80"/>
      </w:pPr>
      <w:r>
        <w:rPr>
          <w:rFonts w:ascii="Times New Roman" w:hAnsi="Times New Roman" w:eastAsia="Times New Roman"/>
          <w:b/>
          <w:i w:val="0"/>
          <w:color w:val="2E5496"/>
          <w:sz w:val="26"/>
        </w:rPr>
        <w:t>4.2 Recruitment and Selection</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recruitment challenge is one of scale and speed: it must hire and onboard very large numbers of people across multiple cities and countries to staff round-the-clock operations. It recruits both technical and non-technical talent, often taking in fresh graduates and training them into medical-coding and RCM roles. Selection therefore emphasises trainability, communication ability and attention to detail rather than pre-existing domain expertise, and the company runs targeted campaigns to attract under-represented groups, including people with disabilities and women returning from career breaks.</w:t>
      </w:r>
    </w:p>
    <w:p>
      <w:pPr>
        <w:spacing w:after="120" w:before="0" w:line="360" w:lineRule="auto"/>
        <w:jc w:val="both"/>
      </w:pPr>
      <w:r>
        <w:rPr>
          <w:rFonts w:ascii="Times New Roman" w:hAnsi="Times New Roman" w:eastAsia="Times New Roman"/>
          <w:b w:val="0"/>
          <w:i w:val="0"/>
          <w:sz w:val="24"/>
        </w:rPr>
        <w:t>This model is well matched to a service business where the pressing risk is filling seats and then keeping people, so the hiring engine is built for throughput and for converting raw potential into capability quickly through strong early training.</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A high-throughput, inclusive hiring engine reliably staffs large, round-the-clock operations.</w:t>
      </w:r>
    </w:p>
    <w:p>
      <w:pPr>
        <w:pStyle w:val="ListBullet"/>
        <w:spacing w:after="60" w:line="360" w:lineRule="auto"/>
        <w:jc w:val="both"/>
      </w:pPr>
      <w:r>
        <w:rPr>
          <w:rFonts w:ascii="Times New Roman" w:hAnsi="Times New Roman" w:eastAsia="Times New Roman"/>
          <w:b w:val="0"/>
          <w:i w:val="0"/>
          <w:sz w:val="24"/>
        </w:rPr>
        <w:t>A train-to-hire approach widens the talent pool by valuing potential over prior expertise.</w:t>
      </w:r>
    </w:p>
    <w:p>
      <w:pPr>
        <w:pStyle w:val="ListBullet"/>
        <w:spacing w:after="60" w:line="360" w:lineRule="auto"/>
        <w:jc w:val="both"/>
      </w:pPr>
      <w:r>
        <w:rPr>
          <w:rFonts w:ascii="Times New Roman" w:hAnsi="Times New Roman" w:eastAsia="Times New Roman"/>
          <w:b w:val="0"/>
          <w:i w:val="0"/>
          <w:sz w:val="24"/>
        </w:rPr>
        <w:t>Deliberate sourcing of under-represented groups strengthens both inclusion and supply.</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Volume hiring always risks quality dilution, placing a heavy burden on screening and onboarding.</w:t>
      </w:r>
    </w:p>
    <w:p>
      <w:pPr>
        <w:pStyle w:val="ListBullet"/>
        <w:spacing w:after="60" w:line="360" w:lineRule="auto"/>
        <w:jc w:val="both"/>
      </w:pPr>
      <w:r>
        <w:rPr>
          <w:rFonts w:ascii="Times New Roman" w:hAnsi="Times New Roman" w:eastAsia="Times New Roman"/>
          <w:b w:val="0"/>
          <w:i w:val="0"/>
          <w:sz w:val="24"/>
        </w:rPr>
        <w:t>Assigning a named mentor from day one could further raise early-stage retention among new recruits.</w:t>
      </w:r>
    </w:p>
    <w:p>
      <w:pPr>
        <w:keepNext/>
        <w:spacing w:before="200" w:after="80"/>
      </w:pPr>
      <w:r>
        <w:rPr>
          <w:rFonts w:ascii="Times New Roman" w:hAnsi="Times New Roman" w:eastAsia="Times New Roman"/>
          <w:b/>
          <w:i w:val="0"/>
          <w:color w:val="2E5496"/>
          <w:sz w:val="26"/>
        </w:rPr>
        <w:t>4.3 Learning and Development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learning framework is tiered to its workforce structure. New associates receive grounding in business communication and quality control; those moving into supervisory roles complete programmes in people management and hiring; and a Future Leader Pipeline develops talent at emerging, mid and senior levels. Delivery blends instructor-led sessions, digital learning, simulations and internal mentoring, and the company continuously refreshes its industry-skills training as technology and client requirements change.</w:t>
      </w:r>
    </w:p>
    <w:p>
      <w:pPr>
        <w:spacing w:after="120" w:before="0" w:line="360" w:lineRule="auto"/>
        <w:jc w:val="both"/>
      </w:pPr>
      <w:r>
        <w:rPr>
          <w:rFonts w:ascii="Times New Roman" w:hAnsi="Times New Roman" w:eastAsia="Times New Roman"/>
          <w:b w:val="0"/>
          <w:i w:val="0"/>
          <w:sz w:val="24"/>
        </w:rPr>
        <w:t>The stated intent is to make learning ‘contextual, not just accessible’ – tightly linked to each person’s actual career path – reflecting a leadership philosophy of building careers rather than merely filling jobs. In a compliance-sensitive services industry, this capability-building is directly tied to accuracy, quality and client trust.</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Learning is tiered and contextual, aligned to real career steps rather than generic content.</w:t>
      </w:r>
    </w:p>
    <w:p>
      <w:pPr>
        <w:pStyle w:val="ListBullet"/>
        <w:spacing w:after="60" w:line="360" w:lineRule="auto"/>
        <w:jc w:val="both"/>
      </w:pPr>
      <w:r>
        <w:rPr>
          <w:rFonts w:ascii="Times New Roman" w:hAnsi="Times New Roman" w:eastAsia="Times New Roman"/>
          <w:b w:val="0"/>
          <w:i w:val="0"/>
          <w:sz w:val="24"/>
        </w:rPr>
        <w:t>A Future Leader Pipeline systematically builds leadership capability from within.</w:t>
      </w:r>
    </w:p>
    <w:p>
      <w:pPr>
        <w:pStyle w:val="ListBullet"/>
        <w:spacing w:after="60" w:line="360" w:lineRule="auto"/>
        <w:jc w:val="both"/>
      </w:pPr>
      <w:r>
        <w:rPr>
          <w:rFonts w:ascii="Times New Roman" w:hAnsi="Times New Roman" w:eastAsia="Times New Roman"/>
          <w:b w:val="0"/>
          <w:i w:val="0"/>
          <w:sz w:val="24"/>
        </w:rPr>
        <w:t>A blended delivery model suits a large, distributed, round-the-clock workforce.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Deeper external academic and certification partnerships would add formal, portable credentials.</w:t>
      </w:r>
    </w:p>
    <w:p>
      <w:pPr>
        <w:pStyle w:val="ListBullet"/>
        <w:spacing w:after="60" w:line="360" w:lineRule="auto"/>
        <w:jc w:val="both"/>
      </w:pPr>
      <w:r>
        <w:rPr>
          <w:rFonts w:ascii="Times New Roman" w:hAnsi="Times New Roman" w:eastAsia="Times New Roman"/>
          <w:b w:val="0"/>
          <w:i w:val="0"/>
          <w:sz w:val="24"/>
        </w:rPr>
        <w:t>Measuring learning impact (not just completion) would further strengthen the evidence base.</w:t>
      </w:r>
    </w:p>
    <w:p>
      <w:pPr>
        <w:keepNext/>
        <w:spacing w:before="200" w:after="80"/>
      </w:pPr>
      <w:r>
        <w:rPr>
          <w:rFonts w:ascii="Times New Roman" w:hAnsi="Times New Roman" w:eastAsia="Times New Roman"/>
          <w:b/>
          <w:i w:val="0"/>
          <w:color w:val="2E5496"/>
          <w:sz w:val="26"/>
        </w:rPr>
        <w:t>4.4 Performance Management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most distinctive performance practice is its Performance-Based Quarterly Merit Increase (PBQMI), introduced in 2021 for its Band 1 frontline employees – the agents who form the operational backbone. Instead of the traditional annual cycle, eligible high performers can receive performance-linked pay rises every three months. The logic, articulated by the company’s HR leadership, is that there is little sense in waiting a year to reward good work, particularly for younger employees who expect their impact to be recognised quickly.</w:t>
      </w:r>
    </w:p>
    <w:p>
      <w:pPr>
        <w:spacing w:after="120" w:before="0" w:line="360" w:lineRule="auto"/>
        <w:jc w:val="both"/>
      </w:pPr>
      <w:r>
        <w:rPr>
          <w:rFonts w:ascii="Times New Roman" w:hAnsi="Times New Roman" w:eastAsia="Times New Roman"/>
          <w:b w:val="0"/>
          <w:i w:val="0"/>
          <w:sz w:val="24"/>
        </w:rPr>
        <w:t>This high-frequency approach is feasible precisely because RCM work produces highly measurable individual output, and it is powerful because timely reward is a strong retention lever in a churn-prone industry.</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Quarterly reward creates a clear, immediate line of sight between performance and recognition.</w:t>
      </w:r>
    </w:p>
    <w:p>
      <w:pPr>
        <w:pStyle w:val="ListBullet"/>
        <w:spacing w:after="60" w:line="360" w:lineRule="auto"/>
        <w:jc w:val="both"/>
      </w:pPr>
      <w:r>
        <w:rPr>
          <w:rFonts w:ascii="Times New Roman" w:hAnsi="Times New Roman" w:eastAsia="Times New Roman"/>
          <w:b w:val="0"/>
          <w:i w:val="0"/>
          <w:sz w:val="24"/>
        </w:rPr>
        <w:t>The approach resonates strongly with millennial and Gen Z employees who value prompt feedback.</w:t>
      </w:r>
    </w:p>
    <w:p>
      <w:pPr>
        <w:pStyle w:val="ListBullet"/>
        <w:spacing w:after="60" w:line="360" w:lineRule="auto"/>
        <w:jc w:val="both"/>
      </w:pPr>
      <w:r>
        <w:rPr>
          <w:rFonts w:ascii="Times New Roman" w:hAnsi="Times New Roman" w:eastAsia="Times New Roman"/>
          <w:b w:val="0"/>
          <w:i w:val="0"/>
          <w:sz w:val="24"/>
        </w:rPr>
        <w:t>It directly supports retention by making good performance continuously worthwhile.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Frequent monetary reward demands robust, transparent metrics to avoid perceptions of unfairness.</w:t>
      </w:r>
    </w:p>
    <w:p>
      <w:pPr>
        <w:pStyle w:val="ListBullet"/>
        <w:spacing w:after="60" w:line="360" w:lineRule="auto"/>
        <w:jc w:val="both"/>
      </w:pPr>
      <w:r>
        <w:rPr>
          <w:rFonts w:ascii="Times New Roman" w:hAnsi="Times New Roman" w:eastAsia="Times New Roman"/>
          <w:b w:val="0"/>
          <w:i w:val="0"/>
          <w:sz w:val="24"/>
        </w:rPr>
        <w:t>Care is needed to prevent an exclusively quantitative focus from crowding out quality and collaboration.</w:t>
      </w:r>
    </w:p>
    <w:p>
      <w:pPr>
        <w:keepNext/>
        <w:spacing w:before="200" w:after="80"/>
      </w:pPr>
      <w:r>
        <w:rPr>
          <w:rFonts w:ascii="Times New Roman" w:hAnsi="Times New Roman" w:eastAsia="Times New Roman"/>
          <w:b/>
          <w:i w:val="0"/>
          <w:color w:val="2E5496"/>
          <w:sz w:val="26"/>
        </w:rPr>
        <w:t>4.5 Compensation and Benefits</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reward strategy is shaped by the economics of services and by the retention imperative. Its headline innovation is the quarterly merit increase described above, which effectively accelerates reward for good performers. Around this sits a benefits package that the company frames as ‘infrastructure for performance’ rather than as perks: employee-assistance schemes, financial-wellness tools and health support. Its most symbolic element is the Golden Brick long-service award, launched in 2009, which celebrates three-, ten-, fifteen- and twenty-year milestones at high-profile ceremonies attended by senior leadership.</w:t>
      </w:r>
    </w:p>
    <w:p>
      <w:pPr>
        <w:spacing w:after="120" w:before="0" w:line="360" w:lineRule="auto"/>
        <w:jc w:val="both"/>
      </w:pPr>
      <w:r>
        <w:rPr>
          <w:rFonts w:ascii="Times New Roman" w:hAnsi="Times New Roman" w:eastAsia="Times New Roman"/>
          <w:b w:val="0"/>
          <w:i w:val="0"/>
          <w:sz w:val="24"/>
        </w:rPr>
        <w:t>Implicitly, Omega treats pay in a Herzbergian way – necessary but not sufficient – and wraps it in recognition and belonging. Celebrating twenty-year veterans is a deliberate, powerful statement in an industry where long tenure is unusual.</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The Golden Brick awards turn long service into a celebrated, visible achievement.</w:t>
      </w:r>
    </w:p>
    <w:p>
      <w:pPr>
        <w:pStyle w:val="ListBullet"/>
        <w:spacing w:after="60" w:line="360" w:lineRule="auto"/>
        <w:jc w:val="both"/>
      </w:pPr>
      <w:r>
        <w:rPr>
          <w:rFonts w:ascii="Times New Roman" w:hAnsi="Times New Roman" w:eastAsia="Times New Roman"/>
          <w:b w:val="0"/>
          <w:i w:val="0"/>
          <w:sz w:val="24"/>
        </w:rPr>
        <w:t>Framing benefits as ‘infrastructure for performance’ links well-being directly to results.</w:t>
      </w:r>
    </w:p>
    <w:p>
      <w:pPr>
        <w:pStyle w:val="ListBullet"/>
        <w:spacing w:after="60" w:line="360" w:lineRule="auto"/>
        <w:jc w:val="both"/>
      </w:pPr>
      <w:r>
        <w:rPr>
          <w:rFonts w:ascii="Times New Roman" w:hAnsi="Times New Roman" w:eastAsia="Times New Roman"/>
          <w:b w:val="0"/>
          <w:i w:val="0"/>
          <w:sz w:val="24"/>
        </w:rPr>
        <w:t>Accelerated reward cycles keep compensation motivating rather than static.</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Frequent monetary reward must be funded sustainably as the workforce scales.</w:t>
      </w:r>
    </w:p>
    <w:p>
      <w:pPr>
        <w:pStyle w:val="ListBullet"/>
        <w:spacing w:after="60" w:line="360" w:lineRule="auto"/>
        <w:jc w:val="both"/>
      </w:pPr>
      <w:r>
        <w:rPr>
          <w:rFonts w:ascii="Times New Roman" w:hAnsi="Times New Roman" w:eastAsia="Times New Roman"/>
          <w:b w:val="0"/>
          <w:i w:val="0"/>
          <w:sz w:val="24"/>
        </w:rPr>
        <w:t>A disciplined, role-linked pay structure would help keep dynamic rewards internally equitable.</w:t>
      </w:r>
    </w:p>
    <w:p>
      <w:pPr>
        <w:keepNext/>
        <w:spacing w:before="200" w:after="80"/>
      </w:pPr>
      <w:r>
        <w:rPr>
          <w:rFonts w:ascii="Times New Roman" w:hAnsi="Times New Roman" w:eastAsia="Times New Roman"/>
          <w:b/>
          <w:i w:val="0"/>
          <w:color w:val="2E5496"/>
          <w:sz w:val="26"/>
        </w:rPr>
        <w:t>4.6 Employee Engagement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 measures engagement explicitly and prominently, reporting an engagement score of around ninety-two per cent and a strongly positive employee net-promoter score – unusually high figures for its industry. These are backed by a dense calendar of on-floor engagement activities, celebrations, sports leagues, recognition events and awards, together with leadership ‘connects’ and continuous sentiment listening.</w:t>
      </w:r>
    </w:p>
    <w:p>
      <w:pPr>
        <w:spacing w:after="120" w:before="0" w:line="360" w:lineRule="auto"/>
        <w:jc w:val="both"/>
      </w:pPr>
      <w:r>
        <w:rPr>
          <w:rFonts w:ascii="Times New Roman" w:hAnsi="Times New Roman" w:eastAsia="Times New Roman"/>
          <w:b w:val="0"/>
          <w:i w:val="0"/>
          <w:sz w:val="24"/>
        </w:rPr>
        <w:t>In an industry where disengagement quickly becomes attrition, Omega treats engagement as a business-critical metric to be actively managed rather than surveyed once a year. This is entirely appropriate for a high-volume services setting where the cost of disengagement is immediate and severe.</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Engagement is explicitly measured and managed as a leading indicator of retention.</w:t>
      </w:r>
    </w:p>
    <w:p>
      <w:pPr>
        <w:pStyle w:val="ListBullet"/>
        <w:spacing w:after="60" w:line="360" w:lineRule="auto"/>
        <w:jc w:val="both"/>
      </w:pPr>
      <w:r>
        <w:rPr>
          <w:rFonts w:ascii="Times New Roman" w:hAnsi="Times New Roman" w:eastAsia="Times New Roman"/>
          <w:b w:val="0"/>
          <w:i w:val="0"/>
          <w:sz w:val="24"/>
        </w:rPr>
        <w:t>A rich programme of activities and recognition suits a younger, service-oriented workforce.</w:t>
      </w:r>
    </w:p>
    <w:p>
      <w:pPr>
        <w:pStyle w:val="ListBullet"/>
        <w:spacing w:after="60" w:line="360" w:lineRule="auto"/>
        <w:jc w:val="both"/>
      </w:pPr>
      <w:r>
        <w:rPr>
          <w:rFonts w:ascii="Times New Roman" w:hAnsi="Times New Roman" w:eastAsia="Times New Roman"/>
          <w:b w:val="0"/>
          <w:i w:val="0"/>
          <w:sz w:val="24"/>
        </w:rPr>
        <w:t>Continuous listening allows problems to be detected and addressed early.</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Published scores must be used honestly to drive action rather than as marketing.</w:t>
      </w:r>
    </w:p>
    <w:p>
      <w:pPr>
        <w:pStyle w:val="ListBullet"/>
        <w:spacing w:after="60" w:line="360" w:lineRule="auto"/>
        <w:jc w:val="both"/>
      </w:pPr>
      <w:r>
        <w:rPr>
          <w:rFonts w:ascii="Times New Roman" w:hAnsi="Times New Roman" w:eastAsia="Times New Roman"/>
          <w:b w:val="0"/>
          <w:i w:val="0"/>
          <w:sz w:val="24"/>
        </w:rPr>
        <w:t>The activity-rich model could be enriched with deeper, mastery-based sources of engagement.</w:t>
      </w:r>
    </w:p>
    <w:p>
      <w:pPr>
        <w:keepNext/>
        <w:spacing w:before="200" w:after="80"/>
      </w:pPr>
      <w:r>
        <w:rPr>
          <w:rFonts w:ascii="Times New Roman" w:hAnsi="Times New Roman" w:eastAsia="Times New Roman"/>
          <w:b/>
          <w:i w:val="0"/>
          <w:color w:val="2E5496"/>
          <w:sz w:val="26"/>
        </w:rPr>
        <w:t>4.7 Diversity, Equity and Inclusion</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DEI position is notably strong on gender: it reports that women make up around half of its global workforce, and it has been recognised as a Most Preferred Workplace for Women. It supports this with employee resource groups, targeted recruitment of people with disabilities, LGBTQIA+ professionals and women returning from career breaks, and inclusion-oriented policies such as gender-neutral anti-harassment frameworks, all-gender restrooms and inclusive health benefits.</w:t>
      </w:r>
    </w:p>
    <w:p>
      <w:pPr>
        <w:spacing w:after="120" w:before="0" w:line="360" w:lineRule="auto"/>
        <w:jc w:val="both"/>
      </w:pPr>
      <w:r>
        <w:rPr>
          <w:rFonts w:ascii="Times New Roman" w:hAnsi="Times New Roman" w:eastAsia="Times New Roman"/>
          <w:b w:val="0"/>
          <w:i w:val="0"/>
          <w:sz w:val="24"/>
        </w:rPr>
        <w:t>For Omega, DEI is closely tied to its retention strategy – an inclusive environment is presented as a reason people choose to stay. Office-based services work is also far more accessible to a gender-balanced workforce than shift-based industrial work, which helps explain the strong baseline.</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Near gender parity in the workforce is leading practice for the sector.</w:t>
      </w:r>
    </w:p>
    <w:p>
      <w:pPr>
        <w:pStyle w:val="ListBullet"/>
        <w:spacing w:after="60" w:line="360" w:lineRule="auto"/>
        <w:jc w:val="both"/>
      </w:pPr>
      <w:r>
        <w:rPr>
          <w:rFonts w:ascii="Times New Roman" w:hAnsi="Times New Roman" w:eastAsia="Times New Roman"/>
          <w:b w:val="0"/>
          <w:i w:val="0"/>
          <w:sz w:val="24"/>
        </w:rPr>
        <w:t>A broad suite of inclusion policies signals genuine belonging, not mere compliance.</w:t>
      </w:r>
    </w:p>
    <w:p>
      <w:pPr>
        <w:pStyle w:val="ListBullet"/>
        <w:spacing w:after="60" w:line="360" w:lineRule="auto"/>
        <w:jc w:val="both"/>
      </w:pPr>
      <w:r>
        <w:rPr>
          <w:rFonts w:ascii="Times New Roman" w:hAnsi="Times New Roman" w:eastAsia="Times New Roman"/>
          <w:b w:val="0"/>
          <w:i w:val="0"/>
          <w:sz w:val="24"/>
        </w:rPr>
        <w:t>Employee resource groups give under-represented employees voice and community.</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Strong entry-level balance needs to be converted into proportionate senior-leadership representation.</w:t>
      </w:r>
    </w:p>
    <w:p>
      <w:pPr>
        <w:pStyle w:val="ListBullet"/>
        <w:spacing w:after="60" w:line="360" w:lineRule="auto"/>
        <w:jc w:val="both"/>
      </w:pPr>
      <w:r>
        <w:rPr>
          <w:rFonts w:ascii="Times New Roman" w:hAnsi="Times New Roman" w:eastAsia="Times New Roman"/>
          <w:b w:val="0"/>
          <w:i w:val="0"/>
          <w:sz w:val="24"/>
        </w:rPr>
        <w:t>Tracking and publishing the progression rate of women into management would evidence progress.</w:t>
      </w:r>
    </w:p>
    <w:p>
      <w:pPr>
        <w:keepNext/>
        <w:spacing w:before="200" w:after="80"/>
      </w:pPr>
      <w:r>
        <w:rPr>
          <w:rFonts w:ascii="Times New Roman" w:hAnsi="Times New Roman" w:eastAsia="Times New Roman"/>
          <w:b/>
          <w:i w:val="0"/>
          <w:color w:val="2E5496"/>
          <w:sz w:val="26"/>
        </w:rPr>
        <w:t>4.8 Career Development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Omega’s signature contribution here is the ‘Omega Career Lattice’, which deliberately replaces the traditional promotion ladder with a structure that supports lateral and diagonal moves across operations, quality, training and analytics. The idea, in the company’s own framing, is that people should be able to ‘grow with the business, not just within it.’ Real internal-mobility stories – coders who progressed step by step into regional management – are used both to prove the model works and to reinforce the employer brand.</w:t>
      </w:r>
    </w:p>
    <w:p>
      <w:pPr>
        <w:spacing w:after="120" w:before="0" w:line="360" w:lineRule="auto"/>
        <w:jc w:val="both"/>
      </w:pPr>
      <w:r>
        <w:rPr>
          <w:rFonts w:ascii="Times New Roman" w:hAnsi="Times New Roman" w:eastAsia="Times New Roman"/>
          <w:b w:val="0"/>
          <w:i w:val="0"/>
          <w:sz w:val="24"/>
        </w:rPr>
        <w:t>This fluid model fits a services business with adjacent skill domains between which employees can move relatively easily, and where offering breadth of experience is itself a retention tool in an industry where people might otherwise leave to find variety elsewhere.</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The Career Lattice reframes retention as opportunity, offering breadth as well as promotion.</w:t>
      </w:r>
    </w:p>
    <w:p>
      <w:pPr>
        <w:pStyle w:val="ListBullet"/>
        <w:spacing w:after="60" w:line="360" w:lineRule="auto"/>
        <w:jc w:val="both"/>
      </w:pPr>
      <w:r>
        <w:rPr>
          <w:rFonts w:ascii="Times New Roman" w:hAnsi="Times New Roman" w:eastAsia="Times New Roman"/>
          <w:b w:val="0"/>
          <w:i w:val="0"/>
          <w:sz w:val="24"/>
        </w:rPr>
        <w:t>It suits a flat, fast-moving services business with many adjacent skill areas.</w:t>
      </w:r>
    </w:p>
    <w:p>
      <w:pPr>
        <w:pStyle w:val="ListBullet"/>
        <w:spacing w:after="60" w:line="360" w:lineRule="auto"/>
        <w:jc w:val="both"/>
      </w:pPr>
      <w:r>
        <w:rPr>
          <w:rFonts w:ascii="Times New Roman" w:hAnsi="Times New Roman" w:eastAsia="Times New Roman"/>
          <w:b w:val="0"/>
          <w:i w:val="0"/>
          <w:sz w:val="24"/>
        </w:rPr>
        <w:t>Visible internal-promotion journeys motivate employees and validate the brand.</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Fluid mobility needs disciplined skills mapping to prevent moves from becoming ad hoc.</w:t>
      </w:r>
    </w:p>
    <w:p>
      <w:pPr>
        <w:pStyle w:val="ListBullet"/>
        <w:spacing w:after="60" w:line="360" w:lineRule="auto"/>
        <w:jc w:val="both"/>
      </w:pPr>
      <w:r>
        <w:rPr>
          <w:rFonts w:ascii="Times New Roman" w:hAnsi="Times New Roman" w:eastAsia="Times New Roman"/>
          <w:b w:val="0"/>
          <w:i w:val="0"/>
          <w:sz w:val="24"/>
        </w:rPr>
        <w:t>Adding objective assessment would ensure lateral moves are developmental rather than merely convenient.</w:t>
      </w:r>
    </w:p>
    <w:p>
      <w:pPr>
        <w:keepNext/>
        <w:spacing w:before="200" w:after="80"/>
      </w:pPr>
      <w:r>
        <w:rPr>
          <w:rFonts w:ascii="Times New Roman" w:hAnsi="Times New Roman" w:eastAsia="Times New Roman"/>
          <w:b/>
          <w:i w:val="0"/>
          <w:color w:val="2E5496"/>
          <w:sz w:val="26"/>
        </w:rPr>
        <w:t>4.9 HR Technology</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 applies technology directly to the employee-experience and listening side of HR. It uses artificial-intelligence tools alongside regular leadership connections to monitor employee sentiment – described by its leadership as ‘emotional pulse checks’ rather than conventional once-a-year surveys – and has reported that AI-enabled listening lifted survey response rates substantially, turning listening into a continuous rather than periodic activity.</w:t>
      </w:r>
    </w:p>
    <w:p>
      <w:pPr>
        <w:spacing w:after="120" w:before="0" w:line="360" w:lineRule="auto"/>
        <w:jc w:val="both"/>
      </w:pPr>
      <w:r>
        <w:rPr>
          <w:rFonts w:ascii="Times New Roman" w:hAnsi="Times New Roman" w:eastAsia="Times New Roman"/>
          <w:b w:val="0"/>
          <w:i w:val="0"/>
          <w:sz w:val="24"/>
        </w:rPr>
        <w:t>This is consistent with a technology-and-services company that already uses automation and AI extensively in its core RCM delivery and naturally extends the same toolkit to managing its people. Pointed at retention, HR technology becomes an early-warning system for disengagement.</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AI-enabled continuous listening provides an early-warning system for disengagement.</w:t>
      </w:r>
    </w:p>
    <w:p>
      <w:pPr>
        <w:pStyle w:val="ListBullet"/>
        <w:spacing w:after="60" w:line="360" w:lineRule="auto"/>
        <w:jc w:val="both"/>
      </w:pPr>
      <w:r>
        <w:rPr>
          <w:rFonts w:ascii="Times New Roman" w:hAnsi="Times New Roman" w:eastAsia="Times New Roman"/>
          <w:b w:val="0"/>
          <w:i w:val="0"/>
          <w:sz w:val="24"/>
        </w:rPr>
        <w:t>High response rates make the sentiment data genuinely representative and actionable.</w:t>
      </w:r>
    </w:p>
    <w:p>
      <w:pPr>
        <w:pStyle w:val="ListBullet"/>
        <w:spacing w:after="60" w:line="360" w:lineRule="auto"/>
        <w:jc w:val="both"/>
      </w:pPr>
      <w:r>
        <w:rPr>
          <w:rFonts w:ascii="Times New Roman" w:hAnsi="Times New Roman" w:eastAsia="Times New Roman"/>
          <w:b w:val="0"/>
          <w:i w:val="0"/>
          <w:sz w:val="24"/>
        </w:rPr>
        <w:t>The approach leverages the company’s existing technology-and-automation strengths.</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Sentiment data must be used ethically and transparently so it is experienced as care, not surveillance.</w:t>
      </w:r>
    </w:p>
    <w:p>
      <w:pPr>
        <w:pStyle w:val="ListBullet"/>
        <w:spacing w:after="60" w:line="360" w:lineRule="auto"/>
        <w:jc w:val="both"/>
      </w:pPr>
      <w:r>
        <w:rPr>
          <w:rFonts w:ascii="Times New Roman" w:hAnsi="Times New Roman" w:eastAsia="Times New Roman"/>
          <w:b w:val="0"/>
          <w:i w:val="0"/>
          <w:sz w:val="24"/>
        </w:rPr>
        <w:t>Investment in learning-technology and skills platforms could match the sophistication of the listening tools.</w:t>
      </w:r>
    </w:p>
    <w:p>
      <w:pPr>
        <w:keepNext/>
        <w:spacing w:before="200" w:after="80"/>
      </w:pPr>
      <w:r>
        <w:rPr>
          <w:rFonts w:ascii="Times New Roman" w:hAnsi="Times New Roman" w:eastAsia="Times New Roman"/>
          <w:b/>
          <w:i w:val="0"/>
          <w:color w:val="2E5496"/>
          <w:sz w:val="26"/>
        </w:rPr>
        <w:t>4.10 Employee Well-being and Workplace Culture</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Omega approaches well-being as, in its own words, ‘infrastructure for performance’. Its provisions include employee-assistance programmes, mental-health support, financial-wellness tools, a round-the-clock helpline, in-house medical support and a busy programme of on-floor wellness and engagement activities. Culturally, the Golden Brick long-service awards and the celebration of long-tenured employees send a deliberate signal that people are valued for the long term.</w:t>
      </w:r>
    </w:p>
    <w:p>
      <w:pPr>
        <w:spacing w:after="120" w:before="0" w:line="360" w:lineRule="auto"/>
        <w:jc w:val="both"/>
      </w:pPr>
      <w:r>
        <w:rPr>
          <w:rFonts w:ascii="Times New Roman" w:hAnsi="Times New Roman" w:eastAsia="Times New Roman"/>
          <w:b w:val="0"/>
          <w:i w:val="0"/>
          <w:sz w:val="24"/>
        </w:rPr>
        <w:t>This emphasis on mental health, assistance and continuous support is exactly what a round-the-clock services environment demands, where the pressing risks are stress, fatigue and burnout rather than physical hazard.</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A comprehensive well-being infrastructure directly addresses the burnout risk of the sector.</w:t>
      </w:r>
    </w:p>
    <w:p>
      <w:pPr>
        <w:pStyle w:val="ListBullet"/>
        <w:spacing w:after="60" w:line="360" w:lineRule="auto"/>
        <w:jc w:val="both"/>
      </w:pPr>
      <w:r>
        <w:rPr>
          <w:rFonts w:ascii="Times New Roman" w:hAnsi="Times New Roman" w:eastAsia="Times New Roman"/>
          <w:b w:val="0"/>
          <w:i w:val="0"/>
          <w:sz w:val="24"/>
        </w:rPr>
        <w:t>Mental-health and financial-wellness support treat well-being as holistic, not superficial.</w:t>
      </w:r>
    </w:p>
    <w:p>
      <w:pPr>
        <w:pStyle w:val="ListBullet"/>
        <w:spacing w:after="60" w:line="360" w:lineRule="auto"/>
        <w:jc w:val="both"/>
      </w:pPr>
      <w:r>
        <w:rPr>
          <w:rFonts w:ascii="Times New Roman" w:hAnsi="Times New Roman" w:eastAsia="Times New Roman"/>
          <w:b w:val="0"/>
          <w:i w:val="0"/>
          <w:sz w:val="24"/>
        </w:rPr>
        <w:t>A culture of long-service celebration reinforces belonging and stability.</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Such programmes must be genuinely used, not merely offered, to change outcomes.</w:t>
      </w:r>
    </w:p>
    <w:p>
      <w:pPr>
        <w:pStyle w:val="ListBullet"/>
        <w:spacing w:after="60" w:line="360" w:lineRule="auto"/>
        <w:jc w:val="both"/>
      </w:pPr>
      <w:r>
        <w:rPr>
          <w:rFonts w:ascii="Times New Roman" w:hAnsi="Times New Roman" w:eastAsia="Times New Roman"/>
          <w:b w:val="0"/>
          <w:i w:val="0"/>
          <w:sz w:val="24"/>
        </w:rPr>
        <w:t>As the company scales, the rigour and consistency of well-being provision across sites must be maintained.</w:t>
      </w:r>
    </w:p>
    <w:p>
      <w:pPr>
        <w:keepNext/>
        <w:spacing w:before="200" w:after="80"/>
      </w:pPr>
      <w:r>
        <w:rPr>
          <w:rFonts w:ascii="Times New Roman" w:hAnsi="Times New Roman" w:eastAsia="Times New Roman"/>
          <w:b/>
          <w:i w:val="0"/>
          <w:color w:val="2E5496"/>
          <w:sz w:val="26"/>
        </w:rPr>
        <w:t>4.11 Retention and the Anti-Attrition Strategy</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Because attrition is the defining challenge of healthcare-services outsourcing, it is worth treating Omega’s retention strategy as a subject in its own right. Rather than relying on a single lever, Omega has assembled a deliberate, mutually reinforcing system: the Golden Brick awards celebrate longevity; the Career Lattice offers movement and variety; quarterly merit increases make good performance continuously rewarding; continuous listening detects disengagement early; and a comprehensive well-being infrastructure sustains people through demanding, round-the-clock work.</w:t>
      </w:r>
    </w:p>
    <w:p>
      <w:pPr>
        <w:spacing w:after="120" w:before="0" w:line="360" w:lineRule="auto"/>
        <w:jc w:val="both"/>
      </w:pPr>
      <w:r>
        <w:rPr>
          <w:rFonts w:ascii="Times New Roman" w:hAnsi="Times New Roman" w:eastAsia="Times New Roman"/>
          <w:b w:val="0"/>
          <w:i w:val="0"/>
          <w:sz w:val="24"/>
        </w:rPr>
        <w:t>The outcome is a workforce that, by the company’s account, stays far longer than the sector norm, with high engagement and a strongly positive net-promoter score. Seen through the resource-based view, this loyal, experienced workforce is itself the company’s hardest-to-imitate asset, because institutional knowledge in coding and compliance accumulates with tenure.</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Retention is pursued through a coherent bundle of practices rather than a single initiative.</w:t>
      </w:r>
    </w:p>
    <w:p>
      <w:pPr>
        <w:pStyle w:val="ListBullet"/>
        <w:spacing w:after="60" w:line="360" w:lineRule="auto"/>
        <w:jc w:val="both"/>
      </w:pPr>
      <w:r>
        <w:rPr>
          <w:rFonts w:ascii="Times New Roman" w:hAnsi="Times New Roman" w:eastAsia="Times New Roman"/>
          <w:b w:val="0"/>
          <w:i w:val="0"/>
          <w:sz w:val="24"/>
        </w:rPr>
        <w:t>The strategy converts a sector weakness (churn) into a potential source of competitive advantage.</w:t>
      </w:r>
    </w:p>
    <w:p>
      <w:pPr>
        <w:pStyle w:val="ListBullet"/>
        <w:spacing w:after="60" w:line="360" w:lineRule="auto"/>
        <w:jc w:val="both"/>
      </w:pPr>
      <w:r>
        <w:rPr>
          <w:rFonts w:ascii="Times New Roman" w:hAnsi="Times New Roman" w:eastAsia="Times New Roman"/>
          <w:b w:val="0"/>
          <w:i w:val="0"/>
          <w:sz w:val="24"/>
        </w:rPr>
        <w:t>High engagement and long tenure preserve valuable institutional knowledge.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The model requires significant, sustained investment in systems, training and management time.</w:t>
      </w:r>
    </w:p>
    <w:p>
      <w:pPr>
        <w:pStyle w:val="ListBullet"/>
        <w:spacing w:after="60" w:line="360" w:lineRule="auto"/>
        <w:jc w:val="both"/>
      </w:pPr>
      <w:r>
        <w:rPr>
          <w:rFonts w:ascii="Times New Roman" w:hAnsi="Times New Roman" w:eastAsia="Times New Roman"/>
          <w:b w:val="0"/>
          <w:i w:val="0"/>
          <w:sz w:val="24"/>
        </w:rPr>
        <w:t>Continued success depends on ensuring the promises of mobility and reward remain credible at scale.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5. Discussion: How HR Supports Strategy</w:t>
      </w:r>
    </w:p>
    <w:p>
      <w:pPr>
        <w:spacing w:after="120" w:before="0" w:line="360" w:lineRule="auto"/>
        <w:jc w:val="both"/>
      </w:pPr>
      <w:r>
        <w:rPr>
          <w:rFonts w:ascii="Times New Roman" w:hAnsi="Times New Roman" w:eastAsia="Times New Roman"/>
          <w:b w:val="0"/>
          <w:i w:val="0"/>
          <w:sz w:val="24"/>
        </w:rPr>
        <w:t>Looking across the functions, Omega’s HR system reveals a clear and internally consistent organising logic: almost everything is designed to retain a capable, motivated workforce in an industry where turnover is the norm, and to make staying feel like genuine progress. This coherence is exactly what strategic HRM theory predicts – the practices form a bundle in which recruitment, learning, reward, career mobility, engagement and well-being all reinforce one another around the single priority of retention.</w:t>
      </w:r>
    </w:p>
    <w:p>
      <w:pPr>
        <w:spacing w:after="120" w:before="0" w:line="360" w:lineRule="auto"/>
        <w:jc w:val="both"/>
      </w:pPr>
      <w:r>
        <w:rPr>
          <w:rFonts w:ascii="Times New Roman" w:hAnsi="Times New Roman" w:eastAsia="Times New Roman"/>
          <w:b w:val="0"/>
          <w:i w:val="0"/>
          <w:sz w:val="24"/>
        </w:rPr>
        <w:t>The alignment can be read directly through the frameworks introduced earlier. Ability is built by tiered, contextual learning and the Future Leader Pipeline. Motivation is driven by quarterly rewards, recognition and the Golden Brick awards rather than by pay alone, echoing Herzberg. Opportunity is created by the Career Lattice and its lateral and diagonal moves. Seen through the resource-based view, the entire system is an attempt to build and protect a rare, hard-to-imitate asset – a loyal, experienced workforce whose institutional knowledge competitors cannot quickly replicate. In Ulrich’s terms, Omega’s reinvention of career and reward structures shows HR operating as a strategic partner and change agent.</w:t>
      </w:r>
    </w:p>
    <w:p>
      <w:pPr>
        <w:spacing w:after="120" w:before="0" w:line="360" w:lineRule="auto"/>
        <w:jc w:val="both"/>
      </w:pPr>
      <w:r>
        <w:rPr>
          <w:rFonts w:ascii="Times New Roman" w:hAnsi="Times New Roman" w:eastAsia="Times New Roman"/>
          <w:b w:val="0"/>
          <w:i w:val="0"/>
          <w:sz w:val="24"/>
        </w:rPr>
        <w:t>The tables below summarise the HR function as a whole using a simple SWOT lens, drawing the analysis together before the findings and recommendations.</w:t>
      </w: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Strengths</w:t>
            </w:r>
          </w:p>
        </w:tc>
        <w:tc>
          <w:tcPr>
            <w:tcW w:type="dxa" w:w="4608"/>
            <w:shd w:val="clear" w:color="auto" w:fill="2E5496"/>
          </w:tcPr>
          <w:p>
            <w:pPr>
              <w:jc w:val="center"/>
            </w:pPr>
            <w:r/>
            <w:r>
              <w:rPr>
                <w:rFonts w:ascii="Times New Roman" w:hAnsi="Times New Roman" w:eastAsia="Times New Roman"/>
                <w:b/>
                <w:i w:val="0"/>
                <w:color w:val="FFFFFF"/>
                <w:sz w:val="22"/>
              </w:rPr>
              <w:t>Weaknesses / Areas to improve</w:t>
            </w:r>
          </w:p>
        </w:tc>
      </w:tr>
      <w:tr>
        <w:tc>
          <w:tcPr>
            <w:tcW w:type="dxa" w:w="4608"/>
          </w:tcPr>
          <w:p>
            <w:pPr>
              <w:spacing w:after="40" w:line="240" w:lineRule="auto"/>
            </w:pPr>
            <w:r/>
            <w:r>
              <w:rPr>
                <w:rFonts w:ascii="Times New Roman" w:hAnsi="Times New Roman" w:eastAsia="Times New Roman"/>
                <w:b w:val="0"/>
                <w:i w:val="0"/>
                <w:sz w:val="21"/>
              </w:rPr>
              <w:t>Award-winning employee experience; ~92% engagement</w:t>
            </w:r>
          </w:p>
        </w:tc>
        <w:tc>
          <w:tcPr>
            <w:tcW w:type="dxa" w:w="4608"/>
          </w:tcPr>
          <w:p>
            <w:pPr>
              <w:spacing w:after="40" w:line="240" w:lineRule="auto"/>
            </w:pPr>
            <w:r/>
            <w:r>
              <w:rPr>
                <w:rFonts w:ascii="Times New Roman" w:hAnsi="Times New Roman" w:eastAsia="Times New Roman"/>
                <w:b w:val="0"/>
                <w:i w:val="0"/>
                <w:sz w:val="21"/>
              </w:rPr>
              <w:t>Reliance on self-reported figures; limited external benchmarking</w:t>
            </w:r>
          </w:p>
        </w:tc>
      </w:tr>
      <w:tr>
        <w:tc>
          <w:tcPr>
            <w:tcW w:type="dxa" w:w="4608"/>
          </w:tcPr>
          <w:p>
            <w:pPr>
              <w:spacing w:after="40" w:line="240" w:lineRule="auto"/>
            </w:pPr>
            <w:r/>
            <w:r>
              <w:rPr>
                <w:rFonts w:ascii="Times New Roman" w:hAnsi="Times New Roman" w:eastAsia="Times New Roman"/>
                <w:b w:val="0"/>
                <w:i w:val="0"/>
                <w:sz w:val="21"/>
              </w:rPr>
              <w:t>Innovative retention toolkit (Golden Brick, Career Lattice, PBQMI)</w:t>
            </w:r>
          </w:p>
        </w:tc>
        <w:tc>
          <w:tcPr>
            <w:tcW w:type="dxa" w:w="4608"/>
          </w:tcPr>
          <w:p>
            <w:pPr>
              <w:spacing w:after="40" w:line="240" w:lineRule="auto"/>
            </w:pPr>
            <w:r/>
            <w:r>
              <w:rPr>
                <w:rFonts w:ascii="Times New Roman" w:hAnsi="Times New Roman" w:eastAsia="Times New Roman"/>
                <w:b w:val="0"/>
                <w:i w:val="0"/>
                <w:sz w:val="21"/>
              </w:rPr>
              <w:t>Fast reward cycles need robust, transparent metrics</w:t>
            </w:r>
          </w:p>
        </w:tc>
      </w:tr>
      <w:tr>
        <w:tc>
          <w:tcPr>
            <w:tcW w:type="dxa" w:w="4608"/>
          </w:tcPr>
          <w:p>
            <w:pPr>
              <w:spacing w:after="40" w:line="240" w:lineRule="auto"/>
            </w:pPr>
            <w:r/>
            <w:r>
              <w:rPr>
                <w:rFonts w:ascii="Times New Roman" w:hAnsi="Times New Roman" w:eastAsia="Times New Roman"/>
                <w:b w:val="0"/>
                <w:i w:val="0"/>
                <w:sz w:val="21"/>
              </w:rPr>
              <w:t>Near gender parity and broad inclusion policies</w:t>
            </w:r>
          </w:p>
        </w:tc>
        <w:tc>
          <w:tcPr>
            <w:tcW w:type="dxa" w:w="4608"/>
          </w:tcPr>
          <w:p>
            <w:pPr>
              <w:spacing w:after="40" w:line="240" w:lineRule="auto"/>
            </w:pPr>
            <w:r/>
            <w:r>
              <w:rPr>
                <w:rFonts w:ascii="Times New Roman" w:hAnsi="Times New Roman" w:eastAsia="Times New Roman"/>
                <w:b w:val="0"/>
                <w:i w:val="0"/>
                <w:sz w:val="21"/>
              </w:rPr>
              <w:t>Senior-leadership gender representation to be evidenced</w:t>
            </w:r>
          </w:p>
        </w:tc>
      </w:tr>
      <w:tr>
        <w:tc>
          <w:tcPr>
            <w:tcW w:type="dxa" w:w="4608"/>
          </w:tcPr>
          <w:p>
            <w:pPr>
              <w:spacing w:after="40" w:line="240" w:lineRule="auto"/>
            </w:pPr>
            <w:r/>
            <w:r>
              <w:rPr>
                <w:rFonts w:ascii="Times New Roman" w:hAnsi="Times New Roman" w:eastAsia="Times New Roman"/>
                <w:b w:val="0"/>
                <w:i w:val="0"/>
                <w:sz w:val="21"/>
              </w:rPr>
              <w:t>AI-enabled continuous listening</w:t>
            </w:r>
          </w:p>
        </w:tc>
        <w:tc>
          <w:tcPr>
            <w:tcW w:type="dxa" w:w="4608"/>
          </w:tcPr>
          <w:p>
            <w:pPr>
              <w:spacing w:after="40" w:line="240" w:lineRule="auto"/>
            </w:pPr>
            <w:r/>
            <w:r>
              <w:rPr>
                <w:rFonts w:ascii="Times New Roman" w:hAnsi="Times New Roman" w:eastAsia="Times New Roman"/>
                <w:b w:val="0"/>
                <w:i w:val="0"/>
                <w:sz w:val="21"/>
              </w:rPr>
              <w:t>Learning credentials less formal than best-in-class</w:t>
            </w:r>
          </w:p>
        </w:tc>
      </w:tr>
    </w:tbl>
    <w:p>
      <w:pPr>
        <w:spacing w:after="40"/>
      </w:pP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Opportunities</w:t>
            </w:r>
          </w:p>
        </w:tc>
        <w:tc>
          <w:tcPr>
            <w:tcW w:type="dxa" w:w="4608"/>
            <w:shd w:val="clear" w:color="auto" w:fill="2E5496"/>
          </w:tcPr>
          <w:p>
            <w:pPr>
              <w:jc w:val="center"/>
            </w:pPr>
            <w:r/>
            <w:r>
              <w:rPr>
                <w:rFonts w:ascii="Times New Roman" w:hAnsi="Times New Roman" w:eastAsia="Times New Roman"/>
                <w:b/>
                <w:i w:val="0"/>
                <w:color w:val="FFFFFF"/>
                <w:sz w:val="22"/>
              </w:rPr>
              <w:t>Threats / Challenges</w:t>
            </w:r>
          </w:p>
        </w:tc>
      </w:tr>
      <w:tr>
        <w:tc>
          <w:tcPr>
            <w:tcW w:type="dxa" w:w="4608"/>
          </w:tcPr>
          <w:p>
            <w:pPr>
              <w:spacing w:after="40" w:line="240" w:lineRule="auto"/>
            </w:pPr>
            <w:r/>
            <w:r>
              <w:rPr>
                <w:rFonts w:ascii="Times New Roman" w:hAnsi="Times New Roman" w:eastAsia="Times New Roman"/>
                <w:b w:val="0"/>
                <w:i w:val="0"/>
                <w:sz w:val="21"/>
              </w:rPr>
              <w:t>Deepening academic and certification partnerships</w:t>
            </w:r>
          </w:p>
        </w:tc>
        <w:tc>
          <w:tcPr>
            <w:tcW w:type="dxa" w:w="4608"/>
          </w:tcPr>
          <w:p>
            <w:pPr>
              <w:spacing w:after="40" w:line="240" w:lineRule="auto"/>
            </w:pPr>
            <w:r/>
            <w:r>
              <w:rPr>
                <w:rFonts w:ascii="Times New Roman" w:hAnsi="Times New Roman" w:eastAsia="Times New Roman"/>
                <w:b w:val="0"/>
                <w:i w:val="0"/>
                <w:sz w:val="21"/>
              </w:rPr>
              <w:t>Persistent, industry-wide attrition pressure</w:t>
            </w:r>
          </w:p>
        </w:tc>
      </w:tr>
      <w:tr>
        <w:tc>
          <w:tcPr>
            <w:tcW w:type="dxa" w:w="4608"/>
          </w:tcPr>
          <w:p>
            <w:pPr>
              <w:spacing w:after="40" w:line="240" w:lineRule="auto"/>
            </w:pPr>
            <w:r/>
            <w:r>
              <w:rPr>
                <w:rFonts w:ascii="Times New Roman" w:hAnsi="Times New Roman" w:eastAsia="Times New Roman"/>
                <w:b w:val="0"/>
                <w:i w:val="0"/>
                <w:sz w:val="21"/>
              </w:rPr>
              <w:t>Converting entry-level gender balance into leadership parity</w:t>
            </w:r>
          </w:p>
        </w:tc>
        <w:tc>
          <w:tcPr>
            <w:tcW w:type="dxa" w:w="4608"/>
          </w:tcPr>
          <w:p>
            <w:pPr>
              <w:spacing w:after="40" w:line="240" w:lineRule="auto"/>
            </w:pPr>
            <w:r/>
            <w:r>
              <w:rPr>
                <w:rFonts w:ascii="Times New Roman" w:hAnsi="Times New Roman" w:eastAsia="Times New Roman"/>
                <w:b w:val="0"/>
                <w:i w:val="0"/>
                <w:sz w:val="21"/>
              </w:rPr>
              <w:t>Burnout risk from round-the-clock, target-driven work</w:t>
            </w:r>
          </w:p>
        </w:tc>
      </w:tr>
      <w:tr>
        <w:tc>
          <w:tcPr>
            <w:tcW w:type="dxa" w:w="4608"/>
          </w:tcPr>
          <w:p>
            <w:pPr>
              <w:spacing w:after="40" w:line="240" w:lineRule="auto"/>
            </w:pPr>
            <w:r/>
            <w:r>
              <w:rPr>
                <w:rFonts w:ascii="Times New Roman" w:hAnsi="Times New Roman" w:eastAsia="Times New Roman"/>
                <w:b w:val="0"/>
                <w:i w:val="0"/>
                <w:sz w:val="21"/>
              </w:rPr>
              <w:t>Adding structured assessment of potential to reward cycles</w:t>
            </w:r>
          </w:p>
        </w:tc>
        <w:tc>
          <w:tcPr>
            <w:tcW w:type="dxa" w:w="4608"/>
          </w:tcPr>
          <w:p>
            <w:pPr>
              <w:spacing w:after="40" w:line="240" w:lineRule="auto"/>
            </w:pPr>
            <w:r/>
            <w:r>
              <w:rPr>
                <w:rFonts w:ascii="Times New Roman" w:hAnsi="Times New Roman" w:eastAsia="Times New Roman"/>
                <w:b w:val="0"/>
                <w:i w:val="0"/>
                <w:sz w:val="21"/>
              </w:rPr>
              <w:t>Client and regulatory (data-privacy) compliance demands</w:t>
            </w:r>
          </w:p>
        </w:tc>
      </w:tr>
      <w:tr>
        <w:tc>
          <w:tcPr>
            <w:tcW w:type="dxa" w:w="4608"/>
          </w:tcPr>
          <w:p>
            <w:pPr>
              <w:spacing w:after="40" w:line="240" w:lineRule="auto"/>
            </w:pPr>
            <w:r/>
            <w:r>
              <w:rPr>
                <w:rFonts w:ascii="Times New Roman" w:hAnsi="Times New Roman" w:eastAsia="Times New Roman"/>
                <w:b w:val="0"/>
                <w:i w:val="0"/>
                <w:sz w:val="21"/>
              </w:rPr>
              <w:t>Scaling proven practices to new geographies (e.g., Colombia)</w:t>
            </w:r>
          </w:p>
        </w:tc>
        <w:tc>
          <w:tcPr>
            <w:tcW w:type="dxa" w:w="4608"/>
          </w:tcPr>
          <w:p>
            <w:pPr>
              <w:spacing w:after="40" w:line="240" w:lineRule="auto"/>
            </w:pPr>
            <w:r/>
            <w:r>
              <w:rPr>
                <w:rFonts w:ascii="Times New Roman" w:hAnsi="Times New Roman" w:eastAsia="Times New Roman"/>
                <w:b w:val="0"/>
                <w:i w:val="0"/>
                <w:sz w:val="21"/>
              </w:rPr>
              <w:t>Rising employee expectations and wage competition</w:t>
            </w:r>
          </w:p>
        </w:tc>
      </w:tr>
    </w:tbl>
    <w:p>
      <w:pPr>
        <w:spacing w:after="40"/>
      </w:pP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6. Key Findings</w:t>
      </w:r>
    </w:p>
    <w:p>
      <w:pPr>
        <w:spacing w:after="120" w:before="0" w:line="360" w:lineRule="auto"/>
        <w:jc w:val="both"/>
      </w:pPr>
      <w:r>
        <w:rPr>
          <w:rFonts w:ascii="Times New Roman" w:hAnsi="Times New Roman" w:eastAsia="Times New Roman"/>
          <w:b w:val="0"/>
          <w:i w:val="0"/>
          <w:sz w:val="24"/>
        </w:rPr>
        <w:t>The principal findings of the study can be summarised as follows.</w:t>
      </w:r>
    </w:p>
    <w:p>
      <w:pPr>
        <w:pStyle w:val="ListBullet"/>
        <w:spacing w:after="60" w:line="360" w:lineRule="auto"/>
        <w:jc w:val="both"/>
      </w:pPr>
      <w:r>
        <w:rPr>
          <w:rFonts w:ascii="Times New Roman" w:hAnsi="Times New Roman" w:eastAsia="Times New Roman"/>
          <w:b/>
          <w:i w:val="0"/>
          <w:sz w:val="24"/>
        </w:rPr>
        <w:t xml:space="preserve">HR is strategic, not administrative. </w:t>
      </w:r>
      <w:r>
        <w:rPr>
          <w:rFonts w:ascii="Times New Roman" w:hAnsi="Times New Roman" w:eastAsia="Times New Roman"/>
          <w:b w:val="0"/>
          <w:i w:val="0"/>
          <w:sz w:val="24"/>
        </w:rPr>
        <w:t>Omega runs a mature, award-winning HR function in which people practices are clearly aligned to business strategy; HR is treated as a strategic partner, not an administrative function.</w:t>
      </w:r>
    </w:p>
    <w:p>
      <w:pPr>
        <w:pStyle w:val="ListBullet"/>
        <w:spacing w:after="60" w:line="360" w:lineRule="auto"/>
        <w:jc w:val="both"/>
      </w:pPr>
      <w:r>
        <w:rPr>
          <w:rFonts w:ascii="Times New Roman" w:hAnsi="Times New Roman" w:eastAsia="Times New Roman"/>
          <w:b/>
          <w:i w:val="0"/>
          <w:sz w:val="24"/>
        </w:rPr>
        <w:t xml:space="preserve">Retention is the organising logic. </w:t>
      </w:r>
      <w:r>
        <w:rPr>
          <w:rFonts w:ascii="Times New Roman" w:hAnsi="Times New Roman" w:eastAsia="Times New Roman"/>
          <w:b w:val="0"/>
          <w:i w:val="0"/>
          <w:sz w:val="24"/>
        </w:rPr>
        <w:t>the entire HR system is organised around retention – keeping a capable, motivated workforce in an industry defined by churn – and the practices form a coherent, mutually reinforcing bundle.</w:t>
      </w:r>
    </w:p>
    <w:p>
      <w:pPr>
        <w:pStyle w:val="ListBullet"/>
        <w:spacing w:after="60" w:line="360" w:lineRule="auto"/>
        <w:jc w:val="both"/>
      </w:pPr>
      <w:r>
        <w:rPr>
          <w:rFonts w:ascii="Times New Roman" w:hAnsi="Times New Roman" w:eastAsia="Times New Roman"/>
          <w:b/>
          <w:i w:val="0"/>
          <w:sz w:val="24"/>
        </w:rPr>
        <w:t xml:space="preserve">Distinctive, innovative practices. </w:t>
      </w:r>
      <w:r>
        <w:rPr>
          <w:rFonts w:ascii="Times New Roman" w:hAnsi="Times New Roman" w:eastAsia="Times New Roman"/>
          <w:b w:val="0"/>
          <w:i w:val="0"/>
          <w:sz w:val="24"/>
        </w:rPr>
        <w:t>several practices are genuinely innovative – the Golden Brick long-service awards, the Omega Career Lattice, and quarterly merit increases for frontline staff stand out as distinctive responses to the sector’s challenges.</w:t>
      </w:r>
    </w:p>
    <w:p>
      <w:pPr>
        <w:pStyle w:val="ListBullet"/>
        <w:spacing w:after="60" w:line="360" w:lineRule="auto"/>
        <w:jc w:val="both"/>
      </w:pPr>
      <w:r>
        <w:rPr>
          <w:rFonts w:ascii="Times New Roman" w:hAnsi="Times New Roman" w:eastAsia="Times New Roman"/>
          <w:b/>
          <w:i w:val="0"/>
          <w:sz w:val="24"/>
        </w:rPr>
        <w:t xml:space="preserve">Engagement is measured and managed. </w:t>
      </w:r>
      <w:r>
        <w:rPr>
          <w:rFonts w:ascii="Times New Roman" w:hAnsi="Times New Roman" w:eastAsia="Times New Roman"/>
          <w:b w:val="0"/>
          <w:i w:val="0"/>
          <w:sz w:val="24"/>
        </w:rPr>
        <w:t>engagement is explicitly measured and actively managed, supported by AI-enabled continuous listening, producing outcomes (high engagement and a positive eNPS) that are exceptional for the industry.</w:t>
      </w:r>
    </w:p>
    <w:p>
      <w:pPr>
        <w:pStyle w:val="ListBullet"/>
        <w:spacing w:after="60" w:line="360" w:lineRule="auto"/>
        <w:jc w:val="both"/>
      </w:pPr>
      <w:r>
        <w:rPr>
          <w:rFonts w:ascii="Times New Roman" w:hAnsi="Times New Roman" w:eastAsia="Times New Roman"/>
          <w:b/>
          <w:i w:val="0"/>
          <w:sz w:val="24"/>
        </w:rPr>
        <w:t xml:space="preserve">DEI is a genuine strength. </w:t>
      </w:r>
      <w:r>
        <w:rPr>
          <w:rFonts w:ascii="Times New Roman" w:hAnsi="Times New Roman" w:eastAsia="Times New Roman"/>
          <w:b w:val="0"/>
          <w:i w:val="0"/>
          <w:sz w:val="24"/>
        </w:rPr>
        <w:t>near gender parity and a broad suite of inclusion policies make DEI a clear strength, closely linked to the retention agenda.</w:t>
      </w:r>
    </w:p>
    <w:p>
      <w:pPr>
        <w:pStyle w:val="ListBullet"/>
        <w:spacing w:after="60" w:line="360" w:lineRule="auto"/>
        <w:jc w:val="both"/>
      </w:pPr>
      <w:r>
        <w:rPr>
          <w:rFonts w:ascii="Times New Roman" w:hAnsi="Times New Roman" w:eastAsia="Times New Roman"/>
          <w:b/>
          <w:i w:val="0"/>
          <w:sz w:val="24"/>
        </w:rPr>
        <w:t xml:space="preserve">Focused areas for improvement. </w:t>
      </w:r>
      <w:r>
        <w:rPr>
          <w:rFonts w:ascii="Times New Roman" w:hAnsi="Times New Roman" w:eastAsia="Times New Roman"/>
          <w:b w:val="0"/>
          <w:i w:val="0"/>
          <w:sz w:val="24"/>
        </w:rPr>
        <w:t>the clearest improvement areas are formalising learning credentials, adding structured assessment of potential to the fast reward cycles, and converting entry-level gender balance into leadership representation.</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7. Recommendations</w:t>
      </w:r>
    </w:p>
    <w:p>
      <w:pPr>
        <w:spacing w:after="120" w:before="0" w:line="360" w:lineRule="auto"/>
        <w:jc w:val="both"/>
      </w:pPr>
      <w:r>
        <w:rPr>
          <w:rFonts w:ascii="Times New Roman" w:hAnsi="Times New Roman" w:eastAsia="Times New Roman"/>
          <w:b w:val="0"/>
          <w:i w:val="0"/>
          <w:sz w:val="24"/>
        </w:rPr>
        <w:t>The following recommendations are intended to strengthen an already strong and innovative HR function. They are framed as refinements consistent with Omega’s strategy and industry context.</w:t>
      </w:r>
    </w:p>
    <w:p>
      <w:pPr>
        <w:pStyle w:val="ListBullet"/>
        <w:spacing w:after="60" w:line="360" w:lineRule="auto"/>
        <w:jc w:val="both"/>
      </w:pPr>
      <w:r>
        <w:rPr>
          <w:rFonts w:ascii="Times New Roman" w:hAnsi="Times New Roman" w:eastAsia="Times New Roman"/>
          <w:b/>
          <w:i w:val="0"/>
          <w:sz w:val="24"/>
        </w:rPr>
        <w:t xml:space="preserve">Formalise learning credentials. </w:t>
      </w:r>
      <w:r>
        <w:rPr>
          <w:rFonts w:ascii="Times New Roman" w:hAnsi="Times New Roman" w:eastAsia="Times New Roman"/>
          <w:b w:val="0"/>
          <w:i w:val="0"/>
          <w:sz w:val="24"/>
        </w:rPr>
        <w:t>deepen external academic and certification partnerships to add formal, portable credentials to the company’s strong internal learning.</w:t>
      </w:r>
    </w:p>
    <w:p>
      <w:pPr>
        <w:pStyle w:val="ListBullet"/>
        <w:spacing w:after="60" w:line="360" w:lineRule="auto"/>
        <w:jc w:val="both"/>
      </w:pPr>
      <w:r>
        <w:rPr>
          <w:rFonts w:ascii="Times New Roman" w:hAnsi="Times New Roman" w:eastAsia="Times New Roman"/>
          <w:b/>
          <w:i w:val="0"/>
          <w:sz w:val="24"/>
        </w:rPr>
        <w:t xml:space="preserve">Add assessment rigour. </w:t>
      </w:r>
      <w:r>
        <w:rPr>
          <w:rFonts w:ascii="Times New Roman" w:hAnsi="Times New Roman" w:eastAsia="Times New Roman"/>
          <w:b w:val="0"/>
          <w:i w:val="0"/>
          <w:sz w:val="24"/>
        </w:rPr>
        <w:t>complement the quarterly quantitative rewards with structured capability-and-potential assessment (for example, an assessment-and-development-centre approach) so that progression judges potential as well as recent output.</w:t>
      </w:r>
    </w:p>
    <w:p>
      <w:pPr>
        <w:pStyle w:val="ListBullet"/>
        <w:spacing w:after="60" w:line="360" w:lineRule="auto"/>
        <w:jc w:val="both"/>
      </w:pPr>
      <w:r>
        <w:rPr>
          <w:rFonts w:ascii="Times New Roman" w:hAnsi="Times New Roman" w:eastAsia="Times New Roman"/>
          <w:b/>
          <w:i w:val="0"/>
          <w:sz w:val="24"/>
        </w:rPr>
        <w:t xml:space="preserve">Underpin the lattice with skills mapping. </w:t>
      </w:r>
      <w:r>
        <w:rPr>
          <w:rFonts w:ascii="Times New Roman" w:hAnsi="Times New Roman" w:eastAsia="Times New Roman"/>
          <w:b w:val="0"/>
          <w:i w:val="0"/>
          <w:sz w:val="24"/>
        </w:rPr>
        <w:t>map the Career Lattice against a clear skills-and-competency framework so that lateral and diagonal moves are consistently developmental rather than opportunistic.</w:t>
      </w:r>
    </w:p>
    <w:p>
      <w:pPr>
        <w:pStyle w:val="ListBullet"/>
        <w:spacing w:after="60" w:line="360" w:lineRule="auto"/>
        <w:jc w:val="both"/>
      </w:pPr>
      <w:r>
        <w:rPr>
          <w:rFonts w:ascii="Times New Roman" w:hAnsi="Times New Roman" w:eastAsia="Times New Roman"/>
          <w:b/>
          <w:i w:val="0"/>
          <w:sz w:val="24"/>
        </w:rPr>
        <w:t xml:space="preserve">Convert parity into leadership parity. </w:t>
      </w:r>
      <w:r>
        <w:rPr>
          <w:rFonts w:ascii="Times New Roman" w:hAnsi="Times New Roman" w:eastAsia="Times New Roman"/>
          <w:b w:val="0"/>
          <w:i w:val="0"/>
          <w:sz w:val="24"/>
        </w:rPr>
        <w:t>continue converting strong entry-level gender balance into proportionate representation in senior leadership, tracking and publishing the progression rate of women into management.</w:t>
      </w:r>
    </w:p>
    <w:p>
      <w:pPr>
        <w:pStyle w:val="ListBullet"/>
        <w:spacing w:after="60" w:line="360" w:lineRule="auto"/>
        <w:jc w:val="both"/>
      </w:pPr>
      <w:r>
        <w:rPr>
          <w:rFonts w:ascii="Times New Roman" w:hAnsi="Times New Roman" w:eastAsia="Times New Roman"/>
          <w:b/>
          <w:i w:val="0"/>
          <w:sz w:val="24"/>
        </w:rPr>
        <w:t xml:space="preserve">Keep people-analytics ethical. </w:t>
      </w:r>
      <w:r>
        <w:rPr>
          <w:rFonts w:ascii="Times New Roman" w:hAnsi="Times New Roman" w:eastAsia="Times New Roman"/>
          <w:b w:val="0"/>
          <w:i w:val="0"/>
          <w:sz w:val="24"/>
        </w:rPr>
        <w:t>govern the AI-based sentiment tools transparently and ethically, communicating clearly how listening data is used so the practice is experienced as care rather than surveillance.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8. Conclusion</w:t>
      </w:r>
    </w:p>
    <w:p>
      <w:pPr>
        <w:spacing w:after="120" w:before="0" w:line="360" w:lineRule="auto"/>
        <w:jc w:val="both"/>
      </w:pPr>
      <w:r>
        <w:rPr>
          <w:rFonts w:ascii="Times New Roman" w:hAnsi="Times New Roman" w:eastAsia="Times New Roman"/>
          <w:b w:val="0"/>
          <w:i w:val="0"/>
          <w:sz w:val="24"/>
        </w:rPr>
        <w:t>This study set out to examine the strategic HR practices of Omega Healthcare Management Services and to evaluate how they support the company’s objectives. The evidence gathered across the HR functions supports a clear conclusion: Omega operates a sophisticated, strategically aligned and genuinely innovative HR function that has been designed around the single most important reality of its industry – the constant threat of attrition in a people-intensive, round-the-clock services business.</w:t>
      </w:r>
    </w:p>
    <w:p>
      <w:pPr>
        <w:spacing w:after="120" w:before="0" w:line="360" w:lineRule="auto"/>
        <w:jc w:val="both"/>
      </w:pPr>
      <w:r>
        <w:rPr>
          <w:rFonts w:ascii="Times New Roman" w:hAnsi="Times New Roman" w:eastAsia="Times New Roman"/>
          <w:b w:val="0"/>
          <w:i w:val="0"/>
          <w:sz w:val="24"/>
        </w:rPr>
        <w:t>The company’s greatest HR strength is the coherence of its retention strategy: the Golden Brick awards, the Career Lattice, quarterly merit increases, continuous AI-enabled listening and comprehensive well-being provision all work together to keep good people and to make staying feel like progress. The outcomes – high engagement, a positive net-promoter score and recognition as a great and inclusive place to work – suggest the strategy is effective. Its opportunities for improvement, chiefly around formal learning credentials, assessment rigour and leadership diversity, are refinements to a fundamentally strong system rather than corrections of weaknesses.</w:t>
      </w:r>
    </w:p>
    <w:p>
      <w:pPr>
        <w:spacing w:after="120" w:before="0" w:line="360" w:lineRule="auto"/>
        <w:jc w:val="both"/>
      </w:pPr>
      <w:r>
        <w:rPr>
          <w:rFonts w:ascii="Times New Roman" w:hAnsi="Times New Roman" w:eastAsia="Times New Roman"/>
          <w:b w:val="0"/>
          <w:i w:val="0"/>
          <w:sz w:val="24"/>
        </w:rPr>
        <w:t>The wider lesson for a student of human-resource management is that excellent HR is never generic. Omega’s practices make sense precisely because they are tailored to the demands of its industry; the same practices might be unnecessary elsewhere. By turning the sector’s defining weakness – churn – into a source of competitive advantage through a loyal, experienced workforce, Omega demonstrates how a well-designed people function can become a genuine driver of organisational success.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References</w:t>
      </w:r>
    </w:p>
    <w:p>
      <w:pPr>
        <w:spacing w:after="120" w:before="0" w:line="360" w:lineRule="auto"/>
        <w:jc w:val="both"/>
      </w:pPr>
      <w:r>
        <w:rPr>
          <w:rFonts w:ascii="Times New Roman" w:hAnsi="Times New Roman" w:eastAsia="Times New Roman"/>
          <w:b w:val="0"/>
          <w:i/>
          <w:sz w:val="22"/>
        </w:rPr>
        <w:t>The following publicly available sources were consulted between January and June 2026. All information has been paraphrased and synthesised; figures reflect the most recent data disclosed by the sources at the time of writing.</w:t>
      </w:r>
    </w:p>
    <w:p>
      <w:pPr>
        <w:spacing w:after="120" w:before="0" w:line="360" w:lineRule="auto"/>
        <w:jc w:val="both"/>
      </w:pPr>
      <w:r>
        <w:rPr>
          <w:rFonts w:ascii="Times New Roman" w:hAnsi="Times New Roman" w:eastAsia="Times New Roman"/>
          <w:b w:val="0"/>
          <w:i w:val="0"/>
          <w:sz w:val="22"/>
        </w:rPr>
        <w:t>1.  Omega Healthcare Management Services. “About”, “Careers”, “Careers – India”, “Industry Skills” and “Life at Omega Healthcare” pages, omegahms.com.</w:t>
      </w:r>
    </w:p>
    <w:p>
      <w:pPr>
        <w:spacing w:after="120" w:before="0" w:line="360" w:lineRule="auto"/>
        <w:jc w:val="both"/>
      </w:pPr>
      <w:r>
        <w:rPr>
          <w:rFonts w:ascii="Times New Roman" w:hAnsi="Times New Roman" w:eastAsia="Times New Roman"/>
          <w:b w:val="0"/>
          <w:i w:val="0"/>
          <w:sz w:val="22"/>
        </w:rPr>
        <w:t>2.  Omega Healthcare Management Services. Executive Leadership Team profiles (including Anurag Mehta and Dr. Guruvayurappan PV), omegahms.com.</w:t>
      </w:r>
    </w:p>
    <w:p>
      <w:pPr>
        <w:spacing w:after="120" w:before="0" w:line="360" w:lineRule="auto"/>
        <w:jc w:val="both"/>
      </w:pPr>
      <w:r>
        <w:rPr>
          <w:rFonts w:ascii="Times New Roman" w:hAnsi="Times New Roman" w:eastAsia="Times New Roman"/>
          <w:b w:val="0"/>
          <w:i w:val="0"/>
          <w:sz w:val="22"/>
        </w:rPr>
        <w:t>3.  Omega Healthcare Management Services. “Recognized as the ‘Most Preferred Workplace for Women 2024-2025’.” Newsroom, omegahms.com.</w:t>
      </w:r>
    </w:p>
    <w:p>
      <w:pPr>
        <w:spacing w:after="120" w:before="0" w:line="360" w:lineRule="auto"/>
        <w:jc w:val="both"/>
      </w:pPr>
      <w:r>
        <w:rPr>
          <w:rFonts w:ascii="Times New Roman" w:hAnsi="Times New Roman" w:eastAsia="Times New Roman"/>
          <w:b w:val="0"/>
          <w:i w:val="0"/>
          <w:sz w:val="22"/>
        </w:rPr>
        <w:t>4.  Omega Healthcare Management Services. “Honored by Invest in Bogotá for Outstanding Commitment to Best People Practices.” Newsroom / MarketWatch.</w:t>
      </w:r>
    </w:p>
    <w:p>
      <w:pPr>
        <w:spacing w:after="120" w:before="0" w:line="360" w:lineRule="auto"/>
        <w:jc w:val="both"/>
      </w:pPr>
      <w:r>
        <w:rPr>
          <w:rFonts w:ascii="Times New Roman" w:hAnsi="Times New Roman" w:eastAsia="Times New Roman"/>
          <w:b w:val="0"/>
          <w:i w:val="0"/>
          <w:sz w:val="22"/>
        </w:rPr>
        <w:t>5.  HRKatha. “The golden brick strategy: how this firm defies healthcare’s churn culture.” hrkatha.com.</w:t>
      </w:r>
    </w:p>
    <w:p>
      <w:pPr>
        <w:spacing w:after="120" w:before="0" w:line="360" w:lineRule="auto"/>
        <w:jc w:val="both"/>
      </w:pPr>
      <w:r>
        <w:rPr>
          <w:rFonts w:ascii="Times New Roman" w:hAnsi="Times New Roman" w:eastAsia="Times New Roman"/>
          <w:b w:val="0"/>
          <w:i w:val="0"/>
          <w:sz w:val="22"/>
        </w:rPr>
        <w:t>6.  People Matters. “Building careers, not just jobs: Dr. Guruvayurappan PV on talent, education and lifelong learning.” peoplematters.in / peoplemattersglobal.com.</w:t>
      </w:r>
    </w:p>
    <w:p>
      <w:pPr>
        <w:spacing w:after="120" w:before="0" w:line="360" w:lineRule="auto"/>
        <w:jc w:val="both"/>
      </w:pPr>
      <w:r>
        <w:rPr>
          <w:rFonts w:ascii="Times New Roman" w:hAnsi="Times New Roman" w:eastAsia="Times New Roman"/>
          <w:b w:val="0"/>
          <w:i w:val="0"/>
          <w:sz w:val="22"/>
        </w:rPr>
        <w:t>7.  People Matters. “Omega Healthcare appoints Viral Bansal as Chief People Officer &amp; Global Head of HR.” peoplematters.in.</w:t>
      </w:r>
    </w:p>
    <w:p>
      <w:pPr>
        <w:spacing w:after="120" w:before="0" w:line="360" w:lineRule="auto"/>
        <w:jc w:val="both"/>
      </w:pPr>
      <w:r>
        <w:rPr>
          <w:rFonts w:ascii="Times New Roman" w:hAnsi="Times New Roman" w:eastAsia="Times New Roman"/>
          <w:b w:val="0"/>
          <w:i w:val="0"/>
          <w:sz w:val="22"/>
        </w:rPr>
        <w:t>8.  ETHRWorld (The Economic Times). Interview with Dr. Guruvayurappan PV, CHRO, Omega Healthcare (on attrition and HR technology). hr.economictimes.indiatimes.com.</w:t>
      </w:r>
    </w:p>
    <w:p>
      <w:pPr>
        <w:spacing w:after="120" w:before="0" w:line="360" w:lineRule="auto"/>
        <w:jc w:val="both"/>
      </w:pPr>
      <w:r>
        <w:rPr>
          <w:rFonts w:ascii="Times New Roman" w:hAnsi="Times New Roman" w:eastAsia="Times New Roman"/>
          <w:b w:val="0"/>
          <w:i w:val="0"/>
          <w:sz w:val="22"/>
        </w:rPr>
        <w:t>9.  inFeedo. “Omega Healthcare scales AI listening, lifting response to 80%” (Amber employee-engagement case study). infeedo.ai.</w:t>
      </w:r>
    </w:p>
    <w:p>
      <w:pPr>
        <w:spacing w:after="120" w:before="0" w:line="360" w:lineRule="auto"/>
        <w:jc w:val="both"/>
      </w:pPr>
      <w:r>
        <w:rPr>
          <w:rFonts w:ascii="Times New Roman" w:hAnsi="Times New Roman" w:eastAsia="Times New Roman"/>
          <w:b w:val="0"/>
          <w:i w:val="0"/>
          <w:sz w:val="22"/>
        </w:rPr>
        <w:t>10.  Great Place to Work; Glassdoor and Indeed employee-review platforms – for external validation of employee experience.</w:t>
      </w:r>
    </w:p>
    <w:p>
      <w:pPr>
        <w:spacing w:after="120" w:before="0" w:line="360" w:lineRule="auto"/>
        <w:jc w:val="both"/>
      </w:pPr>
      <w:r>
        <w:rPr>
          <w:rFonts w:ascii="Times New Roman" w:hAnsi="Times New Roman" w:eastAsia="Times New Roman"/>
          <w:b w:val="0"/>
          <w:i w:val="0"/>
          <w:sz w:val="22"/>
        </w:rPr>
        <w:t>11.  Armstrong, M. Armstrong’s Handbook of Human Resource Management Practice – for the SHRM, best-fit/best-practice, Harvard, Ulrich, AMO and RBV frameworks in Chapter 2.</w:t>
      </w:r>
    </w:p>
    <w:p>
      <w:pPr>
        <w:spacing w:after="120" w:before="0" w:line="360" w:lineRule="auto"/>
        <w:jc w:val="both"/>
      </w:pPr>
      <w:r>
        <w:rPr>
          <w:rFonts w:ascii="Times New Roman" w:hAnsi="Times New Roman" w:eastAsia="Times New Roman"/>
          <w:b w:val="0"/>
          <w:i w:val="0"/>
          <w:sz w:val="22"/>
        </w:rPr>
        <w:t>12.  Herzberg, F. “One More Time: How Do You Motivate Employees?” Harvard Business Review – for the two-factor theory referenced in Chapters 2 and 4.</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Appendix A: Mapping HR Practices to Industry Drivers</w:t>
      </w:r>
    </w:p>
    <w:p>
      <w:pPr>
        <w:spacing w:after="120" w:before="0" w:line="360" w:lineRule="auto"/>
        <w:jc w:val="both"/>
      </w:pPr>
      <w:r>
        <w:rPr>
          <w:rFonts w:ascii="Times New Roman" w:hAnsi="Times New Roman" w:eastAsia="Times New Roman"/>
          <w:b w:val="0"/>
          <w:i w:val="0"/>
          <w:sz w:val="24"/>
        </w:rPr>
        <w:t>The table below consolidates the central argument of the report – that each HR practice at Omega is a response to a specific feature of the healthcare-services industry.</w:t>
      </w:r>
    </w:p>
    <w:tbl>
      <w:tblPr>
        <w:tblStyle w:val="LightGrid-Accent1"/>
        <w:tblW w:type="auto" w:w="0"/>
        <w:tblLook w:firstColumn="1" w:firstRow="1" w:lastColumn="0" w:lastRow="0" w:noHBand="0" w:noVBand="1" w:val="04A0"/>
      </w:tblPr>
      <w:tblGrid>
        <w:gridCol w:w="3072"/>
        <w:gridCol w:w="3072"/>
        <w:gridCol w:w="3072"/>
      </w:tblGrid>
      <w:tr>
        <w:tc>
          <w:tcPr>
            <w:tcW w:type="dxa" w:w="3072"/>
            <w:shd w:val="clear" w:color="auto" w:fill="2E5496"/>
          </w:tcPr>
          <w:p>
            <w:pPr>
              <w:jc w:val="center"/>
            </w:pPr>
            <w:r/>
            <w:r>
              <w:rPr>
                <w:rFonts w:ascii="Times New Roman" w:hAnsi="Times New Roman" w:eastAsia="Times New Roman"/>
                <w:b/>
                <w:i w:val="0"/>
                <w:color w:val="FFFFFF"/>
                <w:sz w:val="22"/>
              </w:rPr>
              <w:t>HR function</w:t>
            </w:r>
          </w:p>
        </w:tc>
        <w:tc>
          <w:tcPr>
            <w:tcW w:type="dxa" w:w="3072"/>
            <w:shd w:val="clear" w:color="auto" w:fill="2E5496"/>
          </w:tcPr>
          <w:p>
            <w:pPr>
              <w:jc w:val="center"/>
            </w:pPr>
            <w:r/>
            <w:r>
              <w:rPr>
                <w:rFonts w:ascii="Times New Roman" w:hAnsi="Times New Roman" w:eastAsia="Times New Roman"/>
                <w:b/>
                <w:i w:val="0"/>
                <w:color w:val="FFFFFF"/>
                <w:sz w:val="22"/>
              </w:rPr>
              <w:t>Signature practice</w:t>
            </w:r>
          </w:p>
        </w:tc>
        <w:tc>
          <w:tcPr>
            <w:tcW w:type="dxa" w:w="3072"/>
            <w:shd w:val="clear" w:color="auto" w:fill="2E5496"/>
          </w:tcPr>
          <w:p>
            <w:pPr>
              <w:jc w:val="center"/>
            </w:pPr>
            <w:r/>
            <w:r>
              <w:rPr>
                <w:rFonts w:ascii="Times New Roman" w:hAnsi="Times New Roman" w:eastAsia="Times New Roman"/>
                <w:b/>
                <w:i w:val="0"/>
                <w:color w:val="FFFFFF"/>
                <w:sz w:val="22"/>
              </w:rPr>
              <w:t>Dominant industry driver</w:t>
            </w:r>
          </w:p>
        </w:tc>
      </w:tr>
      <w:tr>
        <w:tc>
          <w:tcPr>
            <w:tcW w:type="dxa" w:w="3072"/>
          </w:tcPr>
          <w:p>
            <w:pPr>
              <w:spacing w:after="40" w:line="240" w:lineRule="auto"/>
            </w:pPr>
            <w:r/>
            <w:r>
              <w:rPr>
                <w:rFonts w:ascii="Times New Roman" w:hAnsi="Times New Roman" w:eastAsia="Times New Roman"/>
                <w:b/>
                <w:i w:val="0"/>
                <w:sz w:val="21"/>
              </w:rPr>
              <w:t>Employer branding</w:t>
            </w:r>
          </w:p>
        </w:tc>
        <w:tc>
          <w:tcPr>
            <w:tcW w:type="dxa" w:w="3072"/>
          </w:tcPr>
          <w:p>
            <w:pPr>
              <w:spacing w:after="40" w:line="240" w:lineRule="auto"/>
            </w:pPr>
            <w:r/>
            <w:r>
              <w:rPr>
                <w:rFonts w:ascii="Times New Roman" w:hAnsi="Times New Roman" w:eastAsia="Times New Roman"/>
                <w:b w:val="0"/>
                <w:i w:val="0"/>
                <w:sz w:val="21"/>
              </w:rPr>
              <w:t>‘Life at Omega’; advancement stories</w:t>
            </w:r>
          </w:p>
        </w:tc>
        <w:tc>
          <w:tcPr>
            <w:tcW w:type="dxa" w:w="3072"/>
          </w:tcPr>
          <w:p>
            <w:pPr>
              <w:spacing w:after="40" w:line="240" w:lineRule="auto"/>
            </w:pPr>
            <w:r/>
            <w:r>
              <w:rPr>
                <w:rFonts w:ascii="Times New Roman" w:hAnsi="Times New Roman" w:eastAsia="Times New Roman"/>
                <w:b w:val="0"/>
                <w:i w:val="0"/>
                <w:sz w:val="21"/>
              </w:rPr>
              <w:t>Churn-prone, high-volume labour market</w:t>
            </w:r>
          </w:p>
        </w:tc>
      </w:tr>
      <w:tr>
        <w:tc>
          <w:tcPr>
            <w:tcW w:type="dxa" w:w="3072"/>
          </w:tcPr>
          <w:p>
            <w:pPr>
              <w:spacing w:after="40" w:line="240" w:lineRule="auto"/>
            </w:pPr>
            <w:r/>
            <w:r>
              <w:rPr>
                <w:rFonts w:ascii="Times New Roman" w:hAnsi="Times New Roman" w:eastAsia="Times New Roman"/>
                <w:b/>
                <w:i w:val="0"/>
                <w:sz w:val="21"/>
              </w:rPr>
              <w:t>Recruitment</w:t>
            </w:r>
          </w:p>
        </w:tc>
        <w:tc>
          <w:tcPr>
            <w:tcW w:type="dxa" w:w="3072"/>
          </w:tcPr>
          <w:p>
            <w:pPr>
              <w:spacing w:after="40" w:line="240" w:lineRule="auto"/>
            </w:pPr>
            <w:r/>
            <w:r>
              <w:rPr>
                <w:rFonts w:ascii="Times New Roman" w:hAnsi="Times New Roman" w:eastAsia="Times New Roman"/>
                <w:b w:val="0"/>
                <w:i w:val="0"/>
                <w:sz w:val="21"/>
              </w:rPr>
              <w:t>High-volume, inclusive, train-to-hire</w:t>
            </w:r>
          </w:p>
        </w:tc>
        <w:tc>
          <w:tcPr>
            <w:tcW w:type="dxa" w:w="3072"/>
          </w:tcPr>
          <w:p>
            <w:pPr>
              <w:spacing w:after="40" w:line="240" w:lineRule="auto"/>
            </w:pPr>
            <w:r/>
            <w:r>
              <w:rPr>
                <w:rFonts w:ascii="Times New Roman" w:hAnsi="Times New Roman" w:eastAsia="Times New Roman"/>
                <w:b w:val="0"/>
                <w:i w:val="0"/>
                <w:sz w:val="21"/>
              </w:rPr>
              <w:t>Need for scale, speed and deployability</w:t>
            </w:r>
          </w:p>
        </w:tc>
      </w:tr>
      <w:tr>
        <w:tc>
          <w:tcPr>
            <w:tcW w:type="dxa" w:w="3072"/>
          </w:tcPr>
          <w:p>
            <w:pPr>
              <w:spacing w:after="40" w:line="240" w:lineRule="auto"/>
            </w:pPr>
            <w:r/>
            <w:r>
              <w:rPr>
                <w:rFonts w:ascii="Times New Roman" w:hAnsi="Times New Roman" w:eastAsia="Times New Roman"/>
                <w:b/>
                <w:i w:val="0"/>
                <w:sz w:val="21"/>
              </w:rPr>
              <w:t>Learning &amp; development</w:t>
            </w:r>
          </w:p>
        </w:tc>
        <w:tc>
          <w:tcPr>
            <w:tcW w:type="dxa" w:w="3072"/>
          </w:tcPr>
          <w:p>
            <w:pPr>
              <w:spacing w:after="40" w:line="240" w:lineRule="auto"/>
            </w:pPr>
            <w:r/>
            <w:r>
              <w:rPr>
                <w:rFonts w:ascii="Times New Roman" w:hAnsi="Times New Roman" w:eastAsia="Times New Roman"/>
                <w:b w:val="0"/>
                <w:i w:val="0"/>
                <w:sz w:val="21"/>
              </w:rPr>
              <w:t>Tiered, contextual L&amp;D; leader pipeline</w:t>
            </w:r>
          </w:p>
        </w:tc>
        <w:tc>
          <w:tcPr>
            <w:tcW w:type="dxa" w:w="3072"/>
          </w:tcPr>
          <w:p>
            <w:pPr>
              <w:spacing w:after="40" w:line="240" w:lineRule="auto"/>
            </w:pPr>
            <w:r/>
            <w:r>
              <w:rPr>
                <w:rFonts w:ascii="Times New Roman" w:hAnsi="Times New Roman" w:eastAsia="Times New Roman"/>
                <w:b w:val="0"/>
                <w:i w:val="0"/>
                <w:sz w:val="21"/>
              </w:rPr>
              <w:t>Compliance, quality and fast readiness</w:t>
            </w:r>
          </w:p>
        </w:tc>
      </w:tr>
      <w:tr>
        <w:tc>
          <w:tcPr>
            <w:tcW w:type="dxa" w:w="3072"/>
          </w:tcPr>
          <w:p>
            <w:pPr>
              <w:spacing w:after="40" w:line="240" w:lineRule="auto"/>
            </w:pPr>
            <w:r/>
            <w:r>
              <w:rPr>
                <w:rFonts w:ascii="Times New Roman" w:hAnsi="Times New Roman" w:eastAsia="Times New Roman"/>
                <w:b/>
                <w:i w:val="0"/>
                <w:sz w:val="21"/>
              </w:rPr>
              <w:t>Performance</w:t>
            </w:r>
          </w:p>
        </w:tc>
        <w:tc>
          <w:tcPr>
            <w:tcW w:type="dxa" w:w="3072"/>
          </w:tcPr>
          <w:p>
            <w:pPr>
              <w:spacing w:after="40" w:line="240" w:lineRule="auto"/>
            </w:pPr>
            <w:r/>
            <w:r>
              <w:rPr>
                <w:rFonts w:ascii="Times New Roman" w:hAnsi="Times New Roman" w:eastAsia="Times New Roman"/>
                <w:b w:val="0"/>
                <w:i w:val="0"/>
                <w:sz w:val="21"/>
              </w:rPr>
              <w:t>Quarterly merit increases (PBQMI)</w:t>
            </w:r>
          </w:p>
        </w:tc>
        <w:tc>
          <w:tcPr>
            <w:tcW w:type="dxa" w:w="3072"/>
          </w:tcPr>
          <w:p>
            <w:pPr>
              <w:spacing w:after="40" w:line="240" w:lineRule="auto"/>
            </w:pPr>
            <w:r/>
            <w:r>
              <w:rPr>
                <w:rFonts w:ascii="Times New Roman" w:hAnsi="Times New Roman" w:eastAsia="Times New Roman"/>
                <w:b w:val="0"/>
                <w:i w:val="0"/>
                <w:sz w:val="21"/>
              </w:rPr>
              <w:t>Highly measurable individual output</w:t>
            </w:r>
          </w:p>
        </w:tc>
      </w:tr>
      <w:tr>
        <w:tc>
          <w:tcPr>
            <w:tcW w:type="dxa" w:w="3072"/>
          </w:tcPr>
          <w:p>
            <w:pPr>
              <w:spacing w:after="40" w:line="240" w:lineRule="auto"/>
            </w:pPr>
            <w:r/>
            <w:r>
              <w:rPr>
                <w:rFonts w:ascii="Times New Roman" w:hAnsi="Times New Roman" w:eastAsia="Times New Roman"/>
                <w:b/>
                <w:i w:val="0"/>
                <w:sz w:val="21"/>
              </w:rPr>
              <w:t>Compensation</w:t>
            </w:r>
          </w:p>
        </w:tc>
        <w:tc>
          <w:tcPr>
            <w:tcW w:type="dxa" w:w="3072"/>
          </w:tcPr>
          <w:p>
            <w:pPr>
              <w:spacing w:after="40" w:line="240" w:lineRule="auto"/>
            </w:pPr>
            <w:r/>
            <w:r>
              <w:rPr>
                <w:rFonts w:ascii="Times New Roman" w:hAnsi="Times New Roman" w:eastAsia="Times New Roman"/>
                <w:b w:val="0"/>
                <w:i w:val="0"/>
                <w:sz w:val="21"/>
              </w:rPr>
              <w:t>Golden Brick awards; wellness benefits</w:t>
            </w:r>
          </w:p>
        </w:tc>
        <w:tc>
          <w:tcPr>
            <w:tcW w:type="dxa" w:w="3072"/>
          </w:tcPr>
          <w:p>
            <w:pPr>
              <w:spacing w:after="40" w:line="240" w:lineRule="auto"/>
            </w:pPr>
            <w:r/>
            <w:r>
              <w:rPr>
                <w:rFonts w:ascii="Times New Roman" w:hAnsi="Times New Roman" w:eastAsia="Times New Roman"/>
                <w:b w:val="0"/>
                <w:i w:val="0"/>
                <w:sz w:val="21"/>
              </w:rPr>
              <w:t>Retention in a high-attrition sector</w:t>
            </w:r>
          </w:p>
        </w:tc>
      </w:tr>
      <w:tr>
        <w:tc>
          <w:tcPr>
            <w:tcW w:type="dxa" w:w="3072"/>
          </w:tcPr>
          <w:p>
            <w:pPr>
              <w:spacing w:after="40" w:line="240" w:lineRule="auto"/>
            </w:pPr>
            <w:r/>
            <w:r>
              <w:rPr>
                <w:rFonts w:ascii="Times New Roman" w:hAnsi="Times New Roman" w:eastAsia="Times New Roman"/>
                <w:b/>
                <w:i w:val="0"/>
                <w:sz w:val="21"/>
              </w:rPr>
              <w:t>Engagement</w:t>
            </w:r>
          </w:p>
        </w:tc>
        <w:tc>
          <w:tcPr>
            <w:tcW w:type="dxa" w:w="3072"/>
          </w:tcPr>
          <w:p>
            <w:pPr>
              <w:spacing w:after="40" w:line="240" w:lineRule="auto"/>
            </w:pPr>
            <w:r/>
            <w:r>
              <w:rPr>
                <w:rFonts w:ascii="Times New Roman" w:hAnsi="Times New Roman" w:eastAsia="Times New Roman"/>
                <w:b w:val="0"/>
                <w:i w:val="0"/>
                <w:sz w:val="21"/>
              </w:rPr>
              <w:t>~92% engagement; continuous listening</w:t>
            </w:r>
          </w:p>
        </w:tc>
        <w:tc>
          <w:tcPr>
            <w:tcW w:type="dxa" w:w="3072"/>
          </w:tcPr>
          <w:p>
            <w:pPr>
              <w:spacing w:after="40" w:line="240" w:lineRule="auto"/>
            </w:pPr>
            <w:r/>
            <w:r>
              <w:rPr>
                <w:rFonts w:ascii="Times New Roman" w:hAnsi="Times New Roman" w:eastAsia="Times New Roman"/>
                <w:b w:val="0"/>
                <w:i w:val="0"/>
                <w:sz w:val="21"/>
              </w:rPr>
              <w:t>Disengagement rapidly becomes attrition</w:t>
            </w:r>
          </w:p>
        </w:tc>
      </w:tr>
      <w:tr>
        <w:tc>
          <w:tcPr>
            <w:tcW w:type="dxa" w:w="3072"/>
          </w:tcPr>
          <w:p>
            <w:pPr>
              <w:spacing w:after="40" w:line="240" w:lineRule="auto"/>
            </w:pPr>
            <w:r/>
            <w:r>
              <w:rPr>
                <w:rFonts w:ascii="Times New Roman" w:hAnsi="Times New Roman" w:eastAsia="Times New Roman"/>
                <w:b/>
                <w:i w:val="0"/>
                <w:sz w:val="21"/>
              </w:rPr>
              <w:t>DEI</w:t>
            </w:r>
          </w:p>
        </w:tc>
        <w:tc>
          <w:tcPr>
            <w:tcW w:type="dxa" w:w="3072"/>
          </w:tcPr>
          <w:p>
            <w:pPr>
              <w:spacing w:after="40" w:line="240" w:lineRule="auto"/>
            </w:pPr>
            <w:r/>
            <w:r>
              <w:rPr>
                <w:rFonts w:ascii="Times New Roman" w:hAnsi="Times New Roman" w:eastAsia="Times New Roman"/>
                <w:b w:val="0"/>
                <w:i w:val="0"/>
                <w:sz w:val="21"/>
              </w:rPr>
              <w:t>~50% women; broad inclusion policies</w:t>
            </w:r>
          </w:p>
        </w:tc>
        <w:tc>
          <w:tcPr>
            <w:tcW w:type="dxa" w:w="3072"/>
          </w:tcPr>
          <w:p>
            <w:pPr>
              <w:spacing w:after="40" w:line="240" w:lineRule="auto"/>
            </w:pPr>
            <w:r/>
            <w:r>
              <w:rPr>
                <w:rFonts w:ascii="Times New Roman" w:hAnsi="Times New Roman" w:eastAsia="Times New Roman"/>
                <w:b w:val="0"/>
                <w:i w:val="0"/>
                <w:sz w:val="21"/>
              </w:rPr>
              <w:t>Office-based work enables gender parity</w:t>
            </w:r>
          </w:p>
        </w:tc>
      </w:tr>
      <w:tr>
        <w:tc>
          <w:tcPr>
            <w:tcW w:type="dxa" w:w="3072"/>
          </w:tcPr>
          <w:p>
            <w:pPr>
              <w:spacing w:after="40" w:line="240" w:lineRule="auto"/>
            </w:pPr>
            <w:r/>
            <w:r>
              <w:rPr>
                <w:rFonts w:ascii="Times New Roman" w:hAnsi="Times New Roman" w:eastAsia="Times New Roman"/>
                <w:b/>
                <w:i w:val="0"/>
                <w:sz w:val="21"/>
              </w:rPr>
              <w:t>Career development</w:t>
            </w:r>
          </w:p>
        </w:tc>
        <w:tc>
          <w:tcPr>
            <w:tcW w:type="dxa" w:w="3072"/>
          </w:tcPr>
          <w:p>
            <w:pPr>
              <w:spacing w:after="40" w:line="240" w:lineRule="auto"/>
            </w:pPr>
            <w:r/>
            <w:r>
              <w:rPr>
                <w:rFonts w:ascii="Times New Roman" w:hAnsi="Times New Roman" w:eastAsia="Times New Roman"/>
                <w:b w:val="0"/>
                <w:i w:val="0"/>
                <w:sz w:val="21"/>
              </w:rPr>
              <w:t>Omega Career Lattice</w:t>
            </w:r>
          </w:p>
        </w:tc>
        <w:tc>
          <w:tcPr>
            <w:tcW w:type="dxa" w:w="3072"/>
          </w:tcPr>
          <w:p>
            <w:pPr>
              <w:spacing w:after="40" w:line="240" w:lineRule="auto"/>
            </w:pPr>
            <w:r/>
            <w:r>
              <w:rPr>
                <w:rFonts w:ascii="Times New Roman" w:hAnsi="Times New Roman" w:eastAsia="Times New Roman"/>
                <w:b w:val="0"/>
                <w:i w:val="0"/>
                <w:sz w:val="21"/>
              </w:rPr>
              <w:t>Adjacent skills; breadth as retention lever</w:t>
            </w:r>
          </w:p>
        </w:tc>
      </w:tr>
      <w:tr>
        <w:tc>
          <w:tcPr>
            <w:tcW w:type="dxa" w:w="3072"/>
          </w:tcPr>
          <w:p>
            <w:pPr>
              <w:spacing w:after="40" w:line="240" w:lineRule="auto"/>
            </w:pPr>
            <w:r/>
            <w:r>
              <w:rPr>
                <w:rFonts w:ascii="Times New Roman" w:hAnsi="Times New Roman" w:eastAsia="Times New Roman"/>
                <w:b/>
                <w:i w:val="0"/>
                <w:sz w:val="21"/>
              </w:rPr>
              <w:t>HR technology</w:t>
            </w:r>
          </w:p>
        </w:tc>
        <w:tc>
          <w:tcPr>
            <w:tcW w:type="dxa" w:w="3072"/>
          </w:tcPr>
          <w:p>
            <w:pPr>
              <w:spacing w:after="40" w:line="240" w:lineRule="auto"/>
            </w:pPr>
            <w:r/>
            <w:r>
              <w:rPr>
                <w:rFonts w:ascii="Times New Roman" w:hAnsi="Times New Roman" w:eastAsia="Times New Roman"/>
                <w:b w:val="0"/>
                <w:i w:val="0"/>
                <w:sz w:val="21"/>
              </w:rPr>
              <w:t>AI-enabled sentiment listening</w:t>
            </w:r>
          </w:p>
        </w:tc>
        <w:tc>
          <w:tcPr>
            <w:tcW w:type="dxa" w:w="3072"/>
          </w:tcPr>
          <w:p>
            <w:pPr>
              <w:spacing w:after="40" w:line="240" w:lineRule="auto"/>
            </w:pPr>
            <w:r/>
            <w:r>
              <w:rPr>
                <w:rFonts w:ascii="Times New Roman" w:hAnsi="Times New Roman" w:eastAsia="Times New Roman"/>
                <w:b w:val="0"/>
                <w:i w:val="0"/>
                <w:sz w:val="21"/>
              </w:rPr>
              <w:t>Tech-services DNA; retention focus</w:t>
            </w:r>
          </w:p>
        </w:tc>
      </w:tr>
      <w:tr>
        <w:tc>
          <w:tcPr>
            <w:tcW w:type="dxa" w:w="3072"/>
          </w:tcPr>
          <w:p>
            <w:pPr>
              <w:spacing w:after="40" w:line="240" w:lineRule="auto"/>
            </w:pPr>
            <w:r/>
            <w:r>
              <w:rPr>
                <w:rFonts w:ascii="Times New Roman" w:hAnsi="Times New Roman" w:eastAsia="Times New Roman"/>
                <w:b/>
                <w:i w:val="0"/>
                <w:sz w:val="21"/>
              </w:rPr>
              <w:t>Well-being</w:t>
            </w:r>
          </w:p>
        </w:tc>
        <w:tc>
          <w:tcPr>
            <w:tcW w:type="dxa" w:w="3072"/>
          </w:tcPr>
          <w:p>
            <w:pPr>
              <w:spacing w:after="40" w:line="240" w:lineRule="auto"/>
            </w:pPr>
            <w:r/>
            <w:r>
              <w:rPr>
                <w:rFonts w:ascii="Times New Roman" w:hAnsi="Times New Roman" w:eastAsia="Times New Roman"/>
                <w:b w:val="0"/>
                <w:i w:val="0"/>
                <w:sz w:val="21"/>
              </w:rPr>
              <w:t>EAP, helpline, mental-health support</w:t>
            </w:r>
          </w:p>
        </w:tc>
        <w:tc>
          <w:tcPr>
            <w:tcW w:type="dxa" w:w="3072"/>
          </w:tcPr>
          <w:p>
            <w:pPr>
              <w:spacing w:after="40" w:line="240" w:lineRule="auto"/>
            </w:pPr>
            <w:r/>
            <w:r>
              <w:rPr>
                <w:rFonts w:ascii="Times New Roman" w:hAnsi="Times New Roman" w:eastAsia="Times New Roman"/>
                <w:b w:val="0"/>
                <w:i w:val="0"/>
                <w:sz w:val="21"/>
              </w:rPr>
              <w:t>Burnout risk of round-the-clock work</w:t>
            </w:r>
          </w:p>
        </w:tc>
      </w:tr>
      <w:tr>
        <w:tc>
          <w:tcPr>
            <w:tcW w:type="dxa" w:w="3072"/>
          </w:tcPr>
          <w:p>
            <w:pPr>
              <w:spacing w:after="40" w:line="240" w:lineRule="auto"/>
            </w:pPr>
            <w:r/>
            <w:r>
              <w:rPr>
                <w:rFonts w:ascii="Times New Roman" w:hAnsi="Times New Roman" w:eastAsia="Times New Roman"/>
                <w:b/>
                <w:i w:val="0"/>
                <w:sz w:val="21"/>
              </w:rPr>
              <w:t>Retention</w:t>
            </w:r>
          </w:p>
        </w:tc>
        <w:tc>
          <w:tcPr>
            <w:tcW w:type="dxa" w:w="3072"/>
          </w:tcPr>
          <w:p>
            <w:pPr>
              <w:spacing w:after="40" w:line="240" w:lineRule="auto"/>
            </w:pPr>
            <w:r/>
            <w:r>
              <w:rPr>
                <w:rFonts w:ascii="Times New Roman" w:hAnsi="Times New Roman" w:eastAsia="Times New Roman"/>
                <w:b w:val="0"/>
                <w:i w:val="0"/>
                <w:sz w:val="21"/>
              </w:rPr>
              <w:t>Integrated anti-attrition bundle</w:t>
            </w:r>
          </w:p>
        </w:tc>
        <w:tc>
          <w:tcPr>
            <w:tcW w:type="dxa" w:w="3072"/>
          </w:tcPr>
          <w:p>
            <w:pPr>
              <w:spacing w:after="40" w:line="240" w:lineRule="auto"/>
            </w:pPr>
            <w:r/>
            <w:r>
              <w:rPr>
                <w:rFonts w:ascii="Times New Roman" w:hAnsi="Times New Roman" w:eastAsia="Times New Roman"/>
                <w:b w:val="0"/>
                <w:i w:val="0"/>
                <w:sz w:val="21"/>
              </w:rPr>
              <w:t>Churn as the defining sector challenge</w:t>
            </w:r>
          </w:p>
        </w:tc>
      </w:tr>
    </w:tbl>
    <w:p>
      <w:pPr>
        <w:spacing w:after="40"/>
      </w:pP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Appendix B: Glossary of Key HR Terms</w:t>
      </w:r>
    </w:p>
    <w:p>
      <w:pPr>
        <w:spacing w:after="120" w:before="0" w:line="360" w:lineRule="auto"/>
        <w:jc w:val="both"/>
      </w:pPr>
      <w:r>
        <w:rPr>
          <w:rFonts w:ascii="Times New Roman" w:hAnsi="Times New Roman" w:eastAsia="Times New Roman"/>
          <w:b w:val="0"/>
          <w:i w:val="0"/>
          <w:sz w:val="24"/>
        </w:rPr>
        <w:t>The following short glossary defines the main technical terms used in this report.</w:t>
      </w:r>
    </w:p>
    <w:p>
      <w:pPr>
        <w:pStyle w:val="ListBullet"/>
        <w:spacing w:after="60" w:line="360" w:lineRule="auto"/>
        <w:jc w:val="both"/>
      </w:pPr>
      <w:r>
        <w:rPr>
          <w:rFonts w:ascii="Times New Roman" w:hAnsi="Times New Roman" w:eastAsia="Times New Roman"/>
          <w:b/>
          <w:i w:val="0"/>
          <w:sz w:val="24"/>
        </w:rPr>
        <w:t xml:space="preserve">Strategic HRM (SHRM): </w:t>
      </w:r>
      <w:r>
        <w:rPr>
          <w:rFonts w:ascii="Times New Roman" w:hAnsi="Times New Roman" w:eastAsia="Times New Roman"/>
          <w:b w:val="0"/>
          <w:i w:val="0"/>
          <w:sz w:val="24"/>
        </w:rPr>
        <w:t>the alignment of HR practices with business strategy so that they reinforce one another as a coherent bundle.</w:t>
      </w:r>
    </w:p>
    <w:p>
      <w:pPr>
        <w:pStyle w:val="ListBullet"/>
        <w:spacing w:after="60" w:line="360" w:lineRule="auto"/>
        <w:jc w:val="both"/>
      </w:pPr>
      <w:r>
        <w:rPr>
          <w:rFonts w:ascii="Times New Roman" w:hAnsi="Times New Roman" w:eastAsia="Times New Roman"/>
          <w:b/>
          <w:i w:val="0"/>
          <w:sz w:val="24"/>
        </w:rPr>
        <w:t xml:space="preserve">Revenue-cycle management (RCM): </w:t>
      </w:r>
      <w:r>
        <w:rPr>
          <w:rFonts w:ascii="Times New Roman" w:hAnsi="Times New Roman" w:eastAsia="Times New Roman"/>
          <w:b w:val="0"/>
          <w:i w:val="0"/>
          <w:sz w:val="24"/>
        </w:rPr>
        <w:t>the end-to-end financial process by which healthcare providers are reimbursed, including coding, billing and claims – Omega’s core business.</w:t>
      </w:r>
    </w:p>
    <w:p>
      <w:pPr>
        <w:pStyle w:val="ListBullet"/>
        <w:spacing w:after="60" w:line="360" w:lineRule="auto"/>
        <w:jc w:val="both"/>
      </w:pPr>
      <w:r>
        <w:rPr>
          <w:rFonts w:ascii="Times New Roman" w:hAnsi="Times New Roman" w:eastAsia="Times New Roman"/>
          <w:b/>
          <w:i w:val="0"/>
          <w:sz w:val="24"/>
        </w:rPr>
        <w:t xml:space="preserve">Best-fit (contingency) approach: </w:t>
      </w:r>
      <w:r>
        <w:rPr>
          <w:rFonts w:ascii="Times New Roman" w:hAnsi="Times New Roman" w:eastAsia="Times New Roman"/>
          <w:b w:val="0"/>
          <w:i w:val="0"/>
          <w:sz w:val="24"/>
        </w:rPr>
        <w:t>the view that HR practices should fit the specific context, strategy and industry rather than being universally applied.</w:t>
      </w:r>
    </w:p>
    <w:p>
      <w:pPr>
        <w:pStyle w:val="ListBullet"/>
        <w:spacing w:after="60" w:line="360" w:lineRule="auto"/>
        <w:jc w:val="both"/>
      </w:pPr>
      <w:r>
        <w:rPr>
          <w:rFonts w:ascii="Times New Roman" w:hAnsi="Times New Roman" w:eastAsia="Times New Roman"/>
          <w:b/>
          <w:i w:val="0"/>
          <w:sz w:val="24"/>
        </w:rPr>
        <w:t xml:space="preserve">AMO model: </w:t>
      </w:r>
      <w:r>
        <w:rPr>
          <w:rFonts w:ascii="Times New Roman" w:hAnsi="Times New Roman" w:eastAsia="Times New Roman"/>
          <w:b w:val="0"/>
          <w:i w:val="0"/>
          <w:sz w:val="24"/>
        </w:rPr>
        <w:t>a model proposing that performance depends on employees’ Ability, Motivation and Opportunity to contribute.</w:t>
      </w:r>
    </w:p>
    <w:p>
      <w:pPr>
        <w:pStyle w:val="ListBullet"/>
        <w:spacing w:after="60" w:line="360" w:lineRule="auto"/>
        <w:jc w:val="both"/>
      </w:pPr>
      <w:r>
        <w:rPr>
          <w:rFonts w:ascii="Times New Roman" w:hAnsi="Times New Roman" w:eastAsia="Times New Roman"/>
          <w:b/>
          <w:i w:val="0"/>
          <w:sz w:val="24"/>
        </w:rPr>
        <w:t xml:space="preserve">Resource-based view (RBV): </w:t>
      </w:r>
      <w:r>
        <w:rPr>
          <w:rFonts w:ascii="Times New Roman" w:hAnsi="Times New Roman" w:eastAsia="Times New Roman"/>
          <w:b w:val="0"/>
          <w:i w:val="0"/>
          <w:sz w:val="24"/>
        </w:rPr>
        <w:t>the argument that people become a source of durable advantage when they are valuable, rare, hard to imitate and organised for.</w:t>
      </w:r>
    </w:p>
    <w:p>
      <w:pPr>
        <w:pStyle w:val="ListBullet"/>
        <w:spacing w:after="60" w:line="360" w:lineRule="auto"/>
        <w:jc w:val="both"/>
      </w:pPr>
      <w:r>
        <w:rPr>
          <w:rFonts w:ascii="Times New Roman" w:hAnsi="Times New Roman" w:eastAsia="Times New Roman"/>
          <w:b/>
          <w:i w:val="0"/>
          <w:sz w:val="24"/>
        </w:rPr>
        <w:t xml:space="preserve">Herzberg’s two-factor theory: </w:t>
      </w:r>
      <w:r>
        <w:rPr>
          <w:rFonts w:ascii="Times New Roman" w:hAnsi="Times New Roman" w:eastAsia="Times New Roman"/>
          <w:b w:val="0"/>
          <w:i w:val="0"/>
          <w:sz w:val="24"/>
        </w:rPr>
        <w:t>the distinction between hygiene factors that prevent dissatisfaction and motivators that create genuine engagement.</w:t>
      </w:r>
    </w:p>
    <w:p>
      <w:pPr>
        <w:pStyle w:val="ListBullet"/>
        <w:spacing w:after="60" w:line="360" w:lineRule="auto"/>
        <w:jc w:val="both"/>
      </w:pPr>
      <w:r>
        <w:rPr>
          <w:rFonts w:ascii="Times New Roman" w:hAnsi="Times New Roman" w:eastAsia="Times New Roman"/>
          <w:b/>
          <w:i w:val="0"/>
          <w:sz w:val="24"/>
        </w:rPr>
        <w:t xml:space="preserve">Psychological contract: </w:t>
      </w:r>
      <w:r>
        <w:rPr>
          <w:rFonts w:ascii="Times New Roman" w:hAnsi="Times New Roman" w:eastAsia="Times New Roman"/>
          <w:b w:val="0"/>
          <w:i w:val="0"/>
          <w:sz w:val="24"/>
        </w:rPr>
        <w:t>the unwritten set of mutual expectations between an employer and an employee.</w:t>
      </w:r>
    </w:p>
    <w:p>
      <w:pPr>
        <w:pStyle w:val="ListBullet"/>
        <w:spacing w:after="60" w:line="360" w:lineRule="auto"/>
        <w:jc w:val="both"/>
      </w:pPr>
      <w:r>
        <w:rPr>
          <w:rFonts w:ascii="Times New Roman" w:hAnsi="Times New Roman" w:eastAsia="Times New Roman"/>
          <w:b/>
          <w:i w:val="0"/>
          <w:sz w:val="24"/>
        </w:rPr>
        <w:t xml:space="preserve">Career lattice: </w:t>
      </w:r>
      <w:r>
        <w:rPr>
          <w:rFonts w:ascii="Times New Roman" w:hAnsi="Times New Roman" w:eastAsia="Times New Roman"/>
          <w:b w:val="0"/>
          <w:i w:val="0"/>
          <w:sz w:val="24"/>
        </w:rPr>
        <w:t>a career structure allowing lateral and diagonal moves across functions, not only vertical promotion – Omega’s model.</w:t>
      </w:r>
    </w:p>
    <w:p>
      <w:pPr>
        <w:pStyle w:val="ListBullet"/>
        <w:spacing w:after="60" w:line="360" w:lineRule="auto"/>
        <w:jc w:val="both"/>
      </w:pPr>
      <w:r>
        <w:rPr>
          <w:rFonts w:ascii="Times New Roman" w:hAnsi="Times New Roman" w:eastAsia="Times New Roman"/>
          <w:b/>
          <w:i w:val="0"/>
          <w:sz w:val="24"/>
        </w:rPr>
        <w:t xml:space="preserve">Attrition rate: </w:t>
      </w:r>
      <w:r>
        <w:rPr>
          <w:rFonts w:ascii="Times New Roman" w:hAnsi="Times New Roman" w:eastAsia="Times New Roman"/>
          <w:b w:val="0"/>
          <w:i w:val="0"/>
          <w:sz w:val="24"/>
        </w:rPr>
        <w:t>the proportion of employees who leave over a given period; the central metric in services HR.</w:t>
      </w:r>
    </w:p>
    <w:p>
      <w:pPr>
        <w:pStyle w:val="ListBullet"/>
        <w:spacing w:after="60" w:line="360" w:lineRule="auto"/>
        <w:jc w:val="both"/>
      </w:pPr>
      <w:r>
        <w:rPr>
          <w:rFonts w:ascii="Times New Roman" w:hAnsi="Times New Roman" w:eastAsia="Times New Roman"/>
          <w:b/>
          <w:i w:val="0"/>
          <w:sz w:val="24"/>
        </w:rPr>
        <w:t xml:space="preserve">Employee net-promoter score (eNPS): </w:t>
      </w:r>
      <w:r>
        <w:rPr>
          <w:rFonts w:ascii="Times New Roman" w:hAnsi="Times New Roman" w:eastAsia="Times New Roman"/>
          <w:b w:val="0"/>
          <w:i w:val="0"/>
          <w:sz w:val="24"/>
        </w:rPr>
        <w:t>a metric capturing employees’ willingness to recommend their organisation as a place to work.</w:t>
      </w:r>
    </w:p>
    <w:p>
      <w:pPr>
        <w:spacing w:after="120" w:before="0" w:line="360" w:lineRule="auto"/>
        <w:jc w:val="both"/>
      </w:pPr>
    </w:p>
    <w:p>
      <w:pPr>
        <w:spacing w:after="120" w:before="240" w:line="360" w:lineRule="auto"/>
        <w:jc w:val="center"/>
      </w:pPr>
      <w:r>
        <w:rPr>
          <w:rFonts w:ascii="Times New Roman" w:hAnsi="Times New Roman" w:eastAsia="Times New Roman"/>
          <w:b/>
          <w:i/>
          <w:sz w:val="24"/>
        </w:rPr>
        <w:t>— End of Report —</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