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1745"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w:t>
      </w:r>
      <w:r>
        <w:rPr>
          <w:b/>
        </w:rPr>
        <w:t xml:space="preserve">Mr. Lingesh K</w:t>
      </w:r>
      <w:r>
        <w:t xml:space="preserve">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w:t>
      </w:r>
      <w:r>
        <w:rPr>
          <w:b/>
        </w:rPr>
        <w:t xml:space="preserve">Ms. A. Lakshmi</w:t>
      </w:r>
      <w:r>
        <w:t xml:space="preserve">,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w:t>
      </w:r>
      <w:r>
        <w:rPr>
          <w:b/>
        </w:rPr>
        <w:t xml:space="preserve">Mr. Lingesh K</w:t>
      </w:r>
      <w:r>
        <w:t xml:space="preserve">, hereby declare that this SIP Project Report is based on my internship of a little over two months done at M/s S. Ravi &amp; Associates, Chartered Accountants, Mylapore, Chennai, as an Accounting and Finance Intern, during the period from May 12th to July 17th, 2026, under the guidance of </w:t>
      </w:r>
      <w:r>
        <w:rPr>
          <w:b/>
        </w:rPr>
        <w:t xml:space="preserve">Ms. A. Lakshmi</w:t>
      </w:r>
      <w:r>
        <w:t xml:space="preserve">,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w:t>
      </w:r>
      <w:r>
        <w:rPr>
          <w:b/>
        </w:rPr>
        <w:t xml:space="preserve">Dr. PARKAVI MAHALINGAM</w:t>
      </w:r>
      <w:r>
        <w:t xml:space="preserve">,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w:t>
      </w:r>
      <w:r>
        <w:rPr>
          <w:b/>
        </w:rPr>
        <w:t xml:space="preserve">MS. A. LAKSHMI</w:t>
      </w:r>
      <w:r>
        <w:t xml:space="preserve">, MANAGER, M/s S. RAVI &amp; ASSOCIATES, CHARTERED ACCOUNTANTS, for mentoring me, reviewing my work and offering immense support and knowledge throughout the internship, and to </w:t>
      </w:r>
      <w:r>
        <w:rPr>
          <w:b/>
        </w:rPr>
        <w:t xml:space="preserve">CA S. RAVI</w:t>
      </w:r>
      <w:r>
        <w:t xml:space="preserve">,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ten working weeks, under the guidance of </w:t>
      </w:r>
      <w:r>
        <w:rPr>
          <w:b/>
        </w:rPr>
        <w:t xml:space="preserve">Ms. A. Lakshmi</w:t>
      </w:r>
      <w:r>
        <w:t xml:space="preserve">, Manager.</w:t>
      </w:r>
    </w:p>
    <w:p>
      <w:pPr>
        <w:spacing w:before="0" w:after="140" w:line="360" w:lineRule="auto"/>
        <w:jc w:val="both"/>
      </w:pPr>
      <w:r>
        <w:t xml:space="preserve">The timing was significant. The internship coincided with the busiest compliance window in an Indian chartered accountancy practice: the run-up to the income tax filing season for Assessment Year 2026-27, together with monthly Goods and Services Tax returns and quarterly Tax Deducted at Source statements. The work was therefore live client work against real deadlines, reviewed by the firm’s manager before submission.</w:t>
      </w:r>
    </w:p>
    <w:p>
      <w:pPr>
        <w:spacing w:before="0" w:after="140" w:line="360" w:lineRule="auto"/>
        <w:jc w:val="both"/>
      </w:pPr>
      <w:r>
        <w:t xml:space="preserve">The work began with the bank statement, the foundation of all accounting. I analysed statements for individual and then corporate clients, segregating every credit and debit into income, expenditure, drawings, transfers, capital items and non-business receipts. From the third week I was trained on Winman CA-ERP, downloading Form 26AS, the Annual Information Statement and the Taxpayer Information Summary, and I recorded client transactions in Tally.</w:t>
      </w:r>
    </w:p>
    <w:p>
      <w:pPr>
        <w:spacing w:before="0" w:after="140" w:line="360" w:lineRule="auto"/>
        <w:jc w:val="both"/>
      </w:pPr>
      <w:r>
        <w:t xml:space="preserve">The middle phase covered statutory compliance. On the indirect tax side I worked on Goods and Services Tax filings, handling GSTR-1, GSTR-2B and GSTR-3B. On the direct tax side I requested consolidated files from TRACES using Winman TDS and entered the data quarter-wise, learning why a mismatch between a deductor’s claim and Form 26AS must be resolved before filing.</w:t>
      </w:r>
    </w:p>
    <w:p>
      <w:pPr>
        <w:spacing w:before="0" w:after="140" w:line="360" w:lineRule="auto"/>
        <w:jc w:val="both"/>
      </w:pPr>
      <w:r>
        <w:t xml:space="preserve">The final phase brought this together in the Statement of Total Income: computing total income for individual and corporate clients, verifying taxes paid against taxes payable and preparing returns for upload. In the last two weeks I independently completed three returns end to end after review. Working under </w:t>
      </w:r>
      <w:r>
        <w:rPr>
          <w:b/>
        </w:rPr>
        <w:t xml:space="preserve">Ms. A. Lakshmi</w:t>
      </w:r>
      <w:r>
        <w:t xml:space="preserve"> and alongside </w:t>
      </w:r>
      <w:r>
        <w:rPr>
          <w:b/>
        </w:rPr>
        <w:t xml:space="preserve">Ms. Aruna</w:t>
      </w:r>
      <w:r>
        <w:t xml:space="preserve"> taught me the compliance calendar and accuracy as a professional obligation rather than a preference.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155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155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11</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12</w:t>
              </w:r>
            </w:fldSimple>
            <w:r>
              <w:rPr>
                <w:b/>
                <w:sz w:val="28"/>
                <w:szCs w:val="28"/>
              </w:rPr>
              <w:t xml:space="preserve">-</w:t>
            </w:r>
            <w:fldSimple w:instr=" PAGEREF ch2_end \h ">
              <w:r>
                <w:rPr>
                  <w:noProof/>
                </w:rPr>
                <w:t>28</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29</w:t>
              </w:r>
            </w:fldSimple>
            <w:r>
              <w:rPr>
                <w:b/>
                <w:sz w:val="28"/>
                <w:szCs w:val="28"/>
              </w:rPr>
              <w:t xml:space="preserve">-</w:t>
            </w:r>
            <w:fldSimple w:instr=" PAGEREF ch3_end \h ">
              <w:r>
                <w:rPr>
                  <w:noProof/>
                </w:rPr>
                <w:t>34</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35</w:t>
              </w:r>
            </w:fldSimple>
            <w:r>
              <w:rPr>
                <w:b/>
                <w:sz w:val="28"/>
                <w:szCs w:val="28"/>
              </w:rPr>
              <w:t xml:space="preserve">-</w:t>
            </w:r>
            <w:fldSimple w:instr=" PAGEREF ch4_end \h ">
              <w:r>
                <w:rPr>
                  <w:noProof/>
                </w:rPr>
                <w:t>40</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41</w:t>
              </w:r>
            </w:fldSimple>
            <w:r>
              <w:rPr>
                <w:b/>
                <w:sz w:val="28"/>
                <w:szCs w:val="28"/>
              </w:rPr>
              <w:t xml:space="preserve">-</w:t>
            </w:r>
            <w:fldSimple w:instr=" PAGEREF ch5_end \h ">
              <w:r>
                <w:rPr>
                  <w:noProof/>
                </w:rPr>
                <w:t>47</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48</w:t>
              </w:r>
            </w:fldSimple>
            <w:r>
              <w:rPr>
                <w:b/>
                <w:sz w:val="28"/>
                <w:szCs w:val="28"/>
              </w:rPr>
              <w:t xml:space="preserve">-</w:t>
            </w:r>
            <w:fldSimple w:instr=" PAGEREF ch6_end \h ">
              <w:r>
                <w:rPr>
                  <w:noProof/>
                </w:rPr>
                <w:t>50</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8"/>
          <w:szCs w:val="28"/>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8"/>
          <w:szCs w:val="28"/>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w:t>
      </w:r>
      <w:r>
        <w:rPr>
          <w:b/>
        </w:rPr>
        <w:t xml:space="preserve">CA S. Ravi</w:t>
      </w:r>
      <w:r>
        <w:t xml:space="preserve">,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w:t>
      </w:r>
      <w:r>
        <w:rPr>
          <w:b/>
        </w:rPr>
        <w:t xml:space="preserve">CA S. Ravi</w:t>
      </w:r>
      <w:r>
        <w:t xml:space="preserve">,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vAlign w:val="center"/>
          </w:tcPr>
          <w:p>
            <w:pPr>
              <w:spacing w:before="20" w:after="20" w:line="240" w:lineRule="auto"/>
              <w:jc w:val="center"/>
            </w:pPr>
            <w:r>
              <w:rPr>
                <w:b/>
                <w:sz w:val="24"/>
                <w:szCs w:val="24"/>
              </w:rPr>
              <w:t xml:space="preserve">Service Line</w:t>
            </w:r>
          </w:p>
        </w:tc>
        <w:tc>
          <w:tcPr>
            <w:tcW w:w="3851" w:type="dxa"/>
            <w:vAlign w:val="center"/>
          </w:tcPr>
          <w:p>
            <w:pPr>
              <w:spacing w:before="20" w:after="20" w:line="240" w:lineRule="auto"/>
              <w:jc w:val="center"/>
            </w:pPr>
            <w:r>
              <w:rPr>
                <w:b/>
                <w:sz w:val="24"/>
                <w:szCs w:val="24"/>
              </w:rPr>
              <w:t xml:space="preserve">Nature of Work</w:t>
            </w:r>
          </w:p>
        </w:tc>
        <w:tc>
          <w:tcPr>
            <w:tcW w:w="2888" w:type="dxa"/>
            <w:vAlign w:val="center"/>
          </w:tcPr>
          <w:p>
            <w:pPr>
              <w:spacing w:before="20" w:after="20" w:line="240" w:lineRule="auto"/>
              <w:jc w:val="center"/>
            </w:pPr>
            <w:r>
              <w:rPr>
                <w:b/>
                <w:sz w:val="24"/>
                <w:szCs w:val="24"/>
              </w:rPr>
              <w:t xml:space="preserve">Typical Deliverable</w:t>
            </w:r>
          </w:p>
        </w:tc>
      </w:tr>
      <w:tr>
        <w:trPr>
          <w:cantSplit/>
        </w:trPr>
        <w:tc>
          <w:tcPr>
            <w:tcW w:w="1925" w:type="dxa"/>
            <w:vAlign w:val="center"/>
          </w:tcPr>
          <w:p>
            <w:pPr>
              <w:spacing w:before="20" w:after="20" w:line="240" w:lineRule="auto"/>
              <w:jc w:val="left"/>
            </w:pPr>
            <w:r>
              <w:rPr>
                <w:sz w:val="24"/>
                <w:szCs w:val="24"/>
              </w:rPr>
              <w:t xml:space="preserve">Audit and Assurance</w:t>
            </w:r>
          </w:p>
        </w:tc>
        <w:tc>
          <w:tcPr>
            <w:tcW w:w="3851" w:type="dxa"/>
            <w:vAlign w:val="center"/>
          </w:tcPr>
          <w:p>
            <w:pPr>
              <w:spacing w:before="20" w:after="20" w:line="240" w:lineRule="auto"/>
              <w:jc w:val="left"/>
            </w:pPr>
            <w:r>
              <w:rPr>
                <w:sz w:val="24"/>
                <w:szCs w:val="24"/>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4"/>
                <w:szCs w:val="24"/>
              </w:rPr>
              <w:t xml:space="preserve">Audit working papers, audit report, Form 3CA/3CB-3CD</w:t>
            </w:r>
          </w:p>
        </w:tc>
      </w:tr>
      <w:tr>
        <w:trPr>
          <w:cantSplit/>
        </w:trPr>
        <w:tc>
          <w:tcPr>
            <w:tcW w:w="1925" w:type="dxa"/>
            <w:vAlign w:val="center"/>
          </w:tcPr>
          <w:p>
            <w:pPr>
              <w:spacing w:before="20" w:after="20" w:line="240" w:lineRule="auto"/>
              <w:jc w:val="left"/>
            </w:pPr>
            <w:r>
              <w:rPr>
                <w:sz w:val="24"/>
                <w:szCs w:val="24"/>
              </w:rPr>
              <w:t xml:space="preserve">Direct Taxation</w:t>
            </w:r>
          </w:p>
        </w:tc>
        <w:tc>
          <w:tcPr>
            <w:tcW w:w="3851" w:type="dxa"/>
            <w:vAlign w:val="center"/>
          </w:tcPr>
          <w:p>
            <w:pPr>
              <w:spacing w:before="20" w:after="20" w:line="240" w:lineRule="auto"/>
              <w:jc w:val="left"/>
            </w:pPr>
            <w:r>
              <w:rPr>
                <w:sz w:val="24"/>
                <w:szCs w:val="24"/>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4"/>
                <w:szCs w:val="24"/>
              </w:rPr>
              <w:t xml:space="preserve">Statement of Total Income, ITR acknowledgement, TDS returns</w:t>
            </w:r>
          </w:p>
        </w:tc>
      </w:tr>
      <w:tr>
        <w:trPr>
          <w:cantSplit/>
        </w:trPr>
        <w:tc>
          <w:tcPr>
            <w:tcW w:w="1925" w:type="dxa"/>
            <w:vAlign w:val="center"/>
          </w:tcPr>
          <w:p>
            <w:pPr>
              <w:spacing w:before="20" w:after="20" w:line="240" w:lineRule="auto"/>
              <w:jc w:val="left"/>
            </w:pPr>
            <w:r>
              <w:rPr>
                <w:sz w:val="24"/>
                <w:szCs w:val="24"/>
              </w:rPr>
              <w:t xml:space="preserve">Indirect Taxation (GST)</w:t>
            </w:r>
          </w:p>
        </w:tc>
        <w:tc>
          <w:tcPr>
            <w:tcW w:w="3851" w:type="dxa"/>
            <w:vAlign w:val="center"/>
          </w:tcPr>
          <w:p>
            <w:pPr>
              <w:spacing w:before="20" w:after="20" w:line="240" w:lineRule="auto"/>
              <w:jc w:val="left"/>
            </w:pPr>
            <w:r>
              <w:rPr>
                <w:sz w:val="24"/>
                <w:szCs w:val="24"/>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4"/>
                <w:szCs w:val="24"/>
              </w:rPr>
              <w:t xml:space="preserve">GSTR-1, GSTR-3B, reconciliation statements</w:t>
            </w:r>
          </w:p>
        </w:tc>
      </w:tr>
      <w:tr>
        <w:trPr>
          <w:cantSplit/>
        </w:trPr>
        <w:tc>
          <w:tcPr>
            <w:tcW w:w="1925" w:type="dxa"/>
            <w:vAlign w:val="center"/>
          </w:tcPr>
          <w:p>
            <w:pPr>
              <w:spacing w:before="20" w:after="20" w:line="240" w:lineRule="auto"/>
              <w:jc w:val="left"/>
            </w:pPr>
            <w:r>
              <w:rPr>
                <w:sz w:val="24"/>
                <w:szCs w:val="24"/>
              </w:rPr>
              <w:t xml:space="preserve">Advisory and Litigation Support</w:t>
            </w:r>
          </w:p>
        </w:tc>
        <w:tc>
          <w:tcPr>
            <w:tcW w:w="3851" w:type="dxa"/>
            <w:vAlign w:val="center"/>
          </w:tcPr>
          <w:p>
            <w:pPr>
              <w:spacing w:before="20" w:after="20" w:line="240" w:lineRule="auto"/>
              <w:jc w:val="left"/>
            </w:pPr>
            <w:r>
              <w:rPr>
                <w:sz w:val="24"/>
                <w:szCs w:val="24"/>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4"/>
                <w:szCs w:val="24"/>
              </w:rPr>
              <w:t xml:space="preserve">Replies, submissions and advisory notes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w:t>
      </w:r>
      <w:r>
        <w:rPr>
          <w:b/>
        </w:rPr>
        <w:t xml:space="preserve">Ms. A. Lakshmi</w:t>
      </w:r>
      <w:r>
        <w:t xml:space="preserve">, Manager, who allocated work, reviewed output and escalated matters to the proprietor, </w:t>
      </w:r>
      <w:r>
        <w:rPr>
          <w:b/>
        </w:rPr>
        <w:t xml:space="preserve">CA S. Ravi</w:t>
      </w:r>
      <w:r>
        <w:t xml:space="preserve">. This flat structure meant that an intern’s work reached a reviewer within hours rather than weeks, and that feedback was immediate and specific. Peer support was equally important: </w:t>
      </w:r>
      <w:r>
        <w:rPr>
          <w:b/>
        </w:rPr>
        <w:t xml:space="preserve">Ms. Aruna</w:t>
      </w:r>
      <w:r>
        <w:t xml:space="preserve">,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Firm / Network</w:t>
            </w:r>
          </w:p>
        </w:tc>
        <w:tc>
          <w:tcPr>
            <w:tcW w:w="3151" w:type="dxa"/>
            <w:vAlign w:val="center"/>
          </w:tcPr>
          <w:p>
            <w:pPr>
              <w:spacing w:before="20" w:after="20" w:line="240" w:lineRule="auto"/>
              <w:jc w:val="center"/>
            </w:pPr>
            <w:r>
              <w:rPr>
                <w:b/>
                <w:sz w:val="24"/>
                <w:szCs w:val="24"/>
              </w:rPr>
              <w:t xml:space="preserve">Principal Services</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Deloitte, PwC, EY and KPMG affiliates</w:t>
            </w:r>
          </w:p>
        </w:tc>
        <w:tc>
          <w:tcPr>
            <w:tcW w:w="3151" w:type="dxa"/>
            <w:vAlign w:val="center"/>
          </w:tcPr>
          <w:p>
            <w:pPr>
              <w:spacing w:before="20" w:after="20" w:line="240" w:lineRule="auto"/>
              <w:jc w:val="left"/>
            </w:pPr>
            <w:r>
              <w:rPr>
                <w:sz w:val="24"/>
                <w:szCs w:val="24"/>
              </w:rPr>
              <w:t xml:space="preserve">Statutory audit, assurance, tax and consulting</w:t>
            </w:r>
          </w:p>
        </w:tc>
        <w:tc>
          <w:tcPr>
            <w:tcW w:w="3151" w:type="dxa"/>
            <w:vAlign w:val="center"/>
          </w:tcPr>
          <w:p>
            <w:pPr>
              <w:spacing w:before="20" w:after="20" w:line="240" w:lineRule="auto"/>
              <w:jc w:val="left"/>
            </w:pPr>
            <w:r>
              <w:rPr>
                <w:sz w:val="24"/>
                <w:szCs w:val="24"/>
              </w:rPr>
              <w:t xml:space="preserve">Large corporates, listed entities and multinationals</w:t>
            </w:r>
          </w:p>
        </w:tc>
      </w:tr>
      <w:tr>
        <w:trPr>
          <w:cantSplit/>
        </w:trPr>
        <w:tc>
          <w:tcPr>
            <w:tcW w:w="2363" w:type="dxa"/>
            <w:vAlign w:val="center"/>
          </w:tcPr>
          <w:p>
            <w:pPr>
              <w:spacing w:before="20" w:after="20" w:line="240" w:lineRule="auto"/>
              <w:jc w:val="left"/>
            </w:pPr>
            <w:r>
              <w:rPr>
                <w:sz w:val="24"/>
                <w:szCs w:val="24"/>
              </w:rPr>
              <w:t xml:space="preserve">BDO India, Grant Thornton Bharat</w:t>
            </w:r>
          </w:p>
        </w:tc>
        <w:tc>
          <w:tcPr>
            <w:tcW w:w="3151" w:type="dxa"/>
            <w:vAlign w:val="center"/>
          </w:tcPr>
          <w:p>
            <w:pPr>
              <w:spacing w:before="20" w:after="20" w:line="240" w:lineRule="auto"/>
              <w:jc w:val="left"/>
            </w:pPr>
            <w:r>
              <w:rPr>
                <w:sz w:val="24"/>
                <w:szCs w:val="24"/>
              </w:rPr>
              <w:t xml:space="preserve">Audit, tax, risk advisory and transaction services</w:t>
            </w:r>
          </w:p>
        </w:tc>
        <w:tc>
          <w:tcPr>
            <w:tcW w:w="3151" w:type="dxa"/>
            <w:vAlign w:val="center"/>
          </w:tcPr>
          <w:p>
            <w:pPr>
              <w:spacing w:before="20" w:after="20" w:line="240" w:lineRule="auto"/>
              <w:jc w:val="left"/>
            </w:pPr>
            <w:r>
              <w:rPr>
                <w:sz w:val="24"/>
                <w:szCs w:val="24"/>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Firm</w:t>
            </w:r>
          </w:p>
        </w:tc>
        <w:tc>
          <w:tcPr>
            <w:tcW w:w="3151" w:type="dxa"/>
            <w:vAlign w:val="center"/>
          </w:tcPr>
          <w:p>
            <w:pPr>
              <w:spacing w:before="20" w:after="20" w:line="240" w:lineRule="auto"/>
              <w:jc w:val="center"/>
            </w:pPr>
            <w:r>
              <w:rPr>
                <w:b/>
                <w:sz w:val="24"/>
                <w:szCs w:val="24"/>
              </w:rPr>
              <w:t xml:space="preserve">Principal Services</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Brahmayya &amp; Co.</w:t>
            </w:r>
          </w:p>
        </w:tc>
        <w:tc>
          <w:tcPr>
            <w:tcW w:w="3151" w:type="dxa"/>
            <w:vAlign w:val="center"/>
          </w:tcPr>
          <w:p>
            <w:pPr>
              <w:spacing w:before="20" w:after="20" w:line="240" w:lineRule="auto"/>
              <w:jc w:val="left"/>
            </w:pPr>
            <w:r>
              <w:rPr>
                <w:sz w:val="24"/>
                <w:szCs w:val="24"/>
              </w:rPr>
              <w:t xml:space="preserve">Audit, taxation and management consultancy</w:t>
            </w:r>
          </w:p>
        </w:tc>
        <w:tc>
          <w:tcPr>
            <w:tcW w:w="3151" w:type="dxa"/>
            <w:vAlign w:val="center"/>
          </w:tcPr>
          <w:p>
            <w:pPr>
              <w:spacing w:before="20" w:after="20" w:line="240" w:lineRule="auto"/>
              <w:jc w:val="left"/>
            </w:pPr>
            <w:r>
              <w:rPr>
                <w:sz w:val="24"/>
                <w:szCs w:val="24"/>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4"/>
                <w:szCs w:val="24"/>
              </w:rPr>
              <w:t xml:space="preserve">PKF Sridhar &amp; Santhanam LLP</w:t>
            </w:r>
          </w:p>
        </w:tc>
        <w:tc>
          <w:tcPr>
            <w:tcW w:w="3151" w:type="dxa"/>
            <w:vAlign w:val="center"/>
          </w:tcPr>
          <w:p>
            <w:pPr>
              <w:spacing w:before="20" w:after="20" w:line="240" w:lineRule="auto"/>
              <w:jc w:val="left"/>
            </w:pPr>
            <w:r>
              <w:rPr>
                <w:sz w:val="24"/>
                <w:szCs w:val="24"/>
              </w:rPr>
              <w:t xml:space="preserve">Audit and assurance, tax and advisory</w:t>
            </w:r>
          </w:p>
        </w:tc>
        <w:tc>
          <w:tcPr>
            <w:tcW w:w="3151" w:type="dxa"/>
            <w:vAlign w:val="center"/>
          </w:tcPr>
          <w:p>
            <w:pPr>
              <w:spacing w:before="20" w:after="20" w:line="240" w:lineRule="auto"/>
              <w:jc w:val="left"/>
            </w:pPr>
            <w:r>
              <w:rPr>
                <w:sz w:val="24"/>
                <w:szCs w:val="24"/>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4"/>
                <w:szCs w:val="24"/>
              </w:rPr>
              <w:t xml:space="preserve">Suri &amp; Co., R. Subramanian &amp; Co. and similar practices</w:t>
            </w:r>
          </w:p>
        </w:tc>
        <w:tc>
          <w:tcPr>
            <w:tcW w:w="3151" w:type="dxa"/>
            <w:vAlign w:val="center"/>
          </w:tcPr>
          <w:p>
            <w:pPr>
              <w:spacing w:before="20" w:after="20" w:line="240" w:lineRule="auto"/>
              <w:jc w:val="left"/>
            </w:pPr>
            <w:r>
              <w:rPr>
                <w:sz w:val="24"/>
                <w:szCs w:val="24"/>
              </w:rPr>
              <w:t xml:space="preserve">Statutory and tax audit, direct and indirect taxation</w:t>
            </w:r>
          </w:p>
        </w:tc>
        <w:tc>
          <w:tcPr>
            <w:tcW w:w="3151" w:type="dxa"/>
            <w:vAlign w:val="center"/>
          </w:tcPr>
          <w:p>
            <w:pPr>
              <w:spacing w:before="20" w:after="20" w:line="240" w:lineRule="auto"/>
              <w:jc w:val="left"/>
            </w:pPr>
            <w:r>
              <w:rPr>
                <w:sz w:val="24"/>
                <w:szCs w:val="24"/>
              </w:rPr>
              <w:t xml:space="preserve">Regional corporate and mid-market clients</w:t>
            </w:r>
          </w:p>
        </w:tc>
      </w:tr>
      <w:tr>
        <w:trPr>
          <w:cantSplit/>
        </w:trPr>
        <w:tc>
          <w:tcPr>
            <w:tcW w:w="2363" w:type="dxa"/>
            <w:vAlign w:val="center"/>
          </w:tcPr>
          <w:p>
            <w:pPr>
              <w:spacing w:before="20" w:after="20" w:line="240" w:lineRule="auto"/>
              <w:jc w:val="left"/>
            </w:pPr>
            <w:r>
              <w:rPr>
                <w:sz w:val="24"/>
                <w:szCs w:val="24"/>
              </w:rPr>
              <w:t xml:space="preserve">Local proprietary and small partnership firms</w:t>
            </w:r>
          </w:p>
        </w:tc>
        <w:tc>
          <w:tcPr>
            <w:tcW w:w="3151" w:type="dxa"/>
            <w:vAlign w:val="center"/>
          </w:tcPr>
          <w:p>
            <w:pPr>
              <w:spacing w:before="20" w:after="20" w:line="240" w:lineRule="auto"/>
              <w:jc w:val="left"/>
            </w:pPr>
            <w:r>
              <w:rPr>
                <w:sz w:val="24"/>
                <w:szCs w:val="24"/>
              </w:rPr>
              <w:t xml:space="preserve">Accounting, GST, TDS and income tax compliance</w:t>
            </w:r>
          </w:p>
        </w:tc>
        <w:tc>
          <w:tcPr>
            <w:tcW w:w="3151" w:type="dxa"/>
            <w:vAlign w:val="center"/>
          </w:tcPr>
          <w:p>
            <w:pPr>
              <w:spacing w:before="20" w:after="20" w:line="240" w:lineRule="auto"/>
              <w:jc w:val="left"/>
            </w:pPr>
            <w:r>
              <w:rPr>
                <w:sz w:val="24"/>
                <w:szCs w:val="24"/>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Platform</w:t>
            </w:r>
          </w:p>
        </w:tc>
        <w:tc>
          <w:tcPr>
            <w:tcW w:w="3151" w:type="dxa"/>
            <w:vAlign w:val="center"/>
          </w:tcPr>
          <w:p>
            <w:pPr>
              <w:spacing w:before="20" w:after="20" w:line="240" w:lineRule="auto"/>
              <w:jc w:val="center"/>
            </w:pPr>
            <w:r>
              <w:rPr>
                <w:b/>
                <w:sz w:val="24"/>
                <w:szCs w:val="24"/>
              </w:rPr>
              <w:t xml:space="preserve">Offering</w:t>
            </w:r>
          </w:p>
        </w:tc>
        <w:tc>
          <w:tcPr>
            <w:tcW w:w="3151" w:type="dxa"/>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Online tax filing portals</w:t>
            </w:r>
          </w:p>
        </w:tc>
        <w:tc>
          <w:tcPr>
            <w:tcW w:w="3151" w:type="dxa"/>
            <w:vAlign w:val="center"/>
          </w:tcPr>
          <w:p>
            <w:pPr>
              <w:spacing w:before="20" w:after="20" w:line="240" w:lineRule="auto"/>
              <w:jc w:val="left"/>
            </w:pPr>
            <w:r>
              <w:rPr>
                <w:sz w:val="24"/>
                <w:szCs w:val="24"/>
              </w:rPr>
              <w:t xml:space="preserve">Assisted and self-service income tax return filing</w:t>
            </w:r>
          </w:p>
        </w:tc>
        <w:tc>
          <w:tcPr>
            <w:tcW w:w="3151" w:type="dxa"/>
            <w:vAlign w:val="center"/>
          </w:tcPr>
          <w:p>
            <w:pPr>
              <w:spacing w:before="20" w:after="20" w:line="240" w:lineRule="auto"/>
              <w:jc w:val="left"/>
            </w:pPr>
            <w:r>
              <w:rPr>
                <w:sz w:val="24"/>
                <w:szCs w:val="24"/>
              </w:rPr>
              <w:t xml:space="preserve">Absorbs simple salaried filings at low fee points</w:t>
            </w:r>
          </w:p>
        </w:tc>
      </w:tr>
      <w:tr>
        <w:trPr>
          <w:cantSplit/>
        </w:trPr>
        <w:tc>
          <w:tcPr>
            <w:tcW w:w="2363" w:type="dxa"/>
            <w:vAlign w:val="center"/>
          </w:tcPr>
          <w:p>
            <w:pPr>
              <w:spacing w:before="20" w:after="20" w:line="240" w:lineRule="auto"/>
              <w:jc w:val="left"/>
            </w:pPr>
            <w:r>
              <w:rPr>
                <w:sz w:val="24"/>
                <w:szCs w:val="24"/>
              </w:rPr>
              <w:t xml:space="preserve">Cloud accounting and compliance suites</w:t>
            </w:r>
          </w:p>
        </w:tc>
        <w:tc>
          <w:tcPr>
            <w:tcW w:w="3151" w:type="dxa"/>
            <w:vAlign w:val="center"/>
          </w:tcPr>
          <w:p>
            <w:pPr>
              <w:spacing w:before="20" w:after="20" w:line="240" w:lineRule="auto"/>
              <w:jc w:val="left"/>
            </w:pPr>
            <w:r>
              <w:rPr>
                <w:sz w:val="24"/>
                <w:szCs w:val="24"/>
              </w:rPr>
              <w:t xml:space="preserve">Bookkeeping, GST return preparation and reconciliation tools</w:t>
            </w:r>
          </w:p>
        </w:tc>
        <w:tc>
          <w:tcPr>
            <w:tcW w:w="3151" w:type="dxa"/>
            <w:vAlign w:val="center"/>
          </w:tcPr>
          <w:p>
            <w:pPr>
              <w:spacing w:before="20" w:after="20" w:line="240" w:lineRule="auto"/>
              <w:jc w:val="left"/>
            </w:pPr>
            <w:r>
              <w:rPr>
                <w:sz w:val="24"/>
                <w:szCs w:val="24"/>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4"/>
                <w:szCs w:val="24"/>
              </w:rPr>
              <w:t xml:space="preserve">Accounting outsourcing providers</w:t>
            </w:r>
          </w:p>
        </w:tc>
        <w:tc>
          <w:tcPr>
            <w:tcW w:w="3151" w:type="dxa"/>
            <w:vAlign w:val="center"/>
          </w:tcPr>
          <w:p>
            <w:pPr>
              <w:spacing w:before="20" w:after="20" w:line="240" w:lineRule="auto"/>
              <w:jc w:val="left"/>
            </w:pPr>
            <w:r>
              <w:rPr>
                <w:sz w:val="24"/>
                <w:szCs w:val="24"/>
              </w:rPr>
              <w:t xml:space="preserve">Volume bookkeeping and back-office accounting</w:t>
            </w:r>
          </w:p>
        </w:tc>
        <w:tc>
          <w:tcPr>
            <w:tcW w:w="3151" w:type="dxa"/>
            <w:vAlign w:val="center"/>
          </w:tcPr>
          <w:p>
            <w:pPr>
              <w:spacing w:before="20" w:after="20" w:line="240" w:lineRule="auto"/>
              <w:jc w:val="left"/>
            </w:pPr>
            <w:r>
              <w:rPr>
                <w:sz w:val="24"/>
                <w:szCs w:val="24"/>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keepNext/>
        <w:keepLines/>
        <w:spacing w:before="240" w:after="120" w:line="360" w:lineRule="auto"/>
        <w:jc w:val="left"/>
      </w:pPr>
      <w:r>
        <w:rPr>
          <w:b/>
          <w:sz w:val="28"/>
          <w:szCs w:val="28"/>
        </w:rPr>
        <w:t xml:space="preserve">1.9  THE COMPLIANCE CALENDAR AND SEASONALITY OF PRACTICE</w:t>
      </w:r>
    </w:p>
    <w:p>
      <w:pPr>
        <w:spacing w:before="0" w:after="140" w:line="360" w:lineRule="auto"/>
        <w:jc w:val="both"/>
      </w:pPr>
      <w:r>
        <w:t xml:space="preserve">One feature of this industry deserves separate treatment, because it shapes how a practice is staffed, how work is planned and what an intern is likely to be given. The workload of an Indian accounting practice is not distributed evenly through the year. It is driven by a statutory calendar that is fixed in law, applies to every practice simultaneously and cannot be renegotiated with the authority that set it.</w:t>
      </w:r>
    </w:p>
    <w:p>
      <w:pPr>
        <w:spacing w:before="0" w:after="140" w:line="360" w:lineRule="auto"/>
        <w:jc w:val="both"/>
      </w:pPr>
      <w:r>
        <w:t xml:space="preserve">The monthly rhythm is set by indirect tax. Outward supply statements are ordinarily due in the first third of the following month and the summary return with payment around the twentieth, which means every month contains a block of days in which returns for a large number of clients have to be prepared and filed together. Overlaid on this is the quarterly cycle of Tax Deducted at Source statements, ordinarily due at the end of the month following each quarter, and the quarterly instalments of advance tax in June, September, December and March.</w:t>
      </w:r>
    </w:p>
    <w:p>
      <w:pPr>
        <w:spacing w:before="0" w:after="140" w:line="360" w:lineRule="auto"/>
        <w:jc w:val="both"/>
      </w:pPr>
      <w:r>
        <w:t xml:space="preserve">The annual peak is heavier still. Returns of income for assessees not subject to tax audit are ordinarily due at the end of July, which is the window in which this internship fell, while audit cases run into the autumn with the tax audit report preceding the return. The result is a practice that is busiest in the first and second quarters of the financial year and again around the audit deadlines, and comparatively quieter in between.</w:t>
      </w:r>
    </w:p>
    <w:p>
      <w:pPr>
        <w:spacing w:before="0" w:after="140" w:line="360" w:lineRule="auto"/>
        <w:jc w:val="both"/>
      </w:pPr>
      <w:r>
        <w:t xml:space="preserve">Three consequences follow, all of which were visible during my ten weeks. The first is that deadlines are external and absolute: a missed filing produces interest, a late fee and sometimes a notice, and the cost falls on the client rather than on the person who missed it. The second is that the seasonal peak is the reason practices take interns and articled trainees at all, since the volume of routine preparation in a filing season exceeds what permanent staff can absorb. The third is that review capacity, not preparation capacity, is the real constraint, because every file a trainee prepares still has to be checked by somebody qualified before it leaves the firm.</w:t>
      </w:r>
    </w:p>
    <w:p>
      <w:pPr>
        <w:spacing w:before="0" w:after="140" w:line="360" w:lineRule="auto"/>
        <w:jc w:val="both"/>
      </w:pPr>
      <w:r>
        <w:t xml:space="preserve">Sitting above this calendar is the professional framework of the Institute of Chartered Accountants of India, which prescribes the standards to which audit and attestation work is performed, the documentation expected to support an opinion and the ethical requirements that govern independence and client confidentiality (Institute of Chartered Accountants of India, n.d.). For a trainee the practical effect is that the firm’s insistence on working papers and on recording the basis of a treatment is not a local habit but a professional obligation.</w:t>
      </w:r>
    </w:p>
    <w:p>
      <w:pPr>
        <w:spacing w:before="0" w:after="140" w:line="360" w:lineRule="auto"/>
        <w:jc w:val="both"/>
      </w:pPr>
      <w:r>
        <w:t xml:space="preserve">For a student, the value of understanding this calendar is that it explains the shape of the profession rather than merely its timetable. A practice recruits, trains and reviews in the rhythm the statute imposes on it, which is why an internship offered in May and June is offered on live filing work and not on a constructed exercise. It also explains why the firm measures a trainee less by speed than by whether the file needs to be reworked, since a return that has to be revisited costs the practice time it does not have in a filing season.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w:t>
      </w:r>
      <w:r>
        <w:rPr>
          <w:b/>
        </w:rPr>
        <w:t xml:space="preserve">Ms. A. Lakshmi</w:t>
      </w:r>
      <w:r>
        <w:t xml:space="preserve">, Manager, and day-to-day process guidance was provided by </w:t>
      </w:r>
      <w:r>
        <w:rPr>
          <w:b/>
        </w:rPr>
        <w:t xml:space="preserve">Ms. Aruna</w:t>
      </w:r>
      <w:r>
        <w:t xml:space="preserve">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spacing w:before="0" w:after="140" w:line="360" w:lineRule="auto"/>
        <w:jc w:val="both"/>
      </w:pPr>
      <w:r>
        <w:t xml:space="preserve">Analysed the bank statements of individual clients line by line and split every entry into income, expenditure, drawings, transfers and non-taxable receipts within the bank ledger account. Identified the sources of income of the assessee, distinguishing business receipts from interest, dividends and reimbursements, and separated personal drawings from business expenditure. Sorted a large volume of miscellaneous entries that carried no clear narration, listing them for clarification rather than assuming a treatment. Learned that classification, not entry, is the real work: the same credit can be income, a loan or a transfer, and only the client’s explanation and supporting documents settle the question.</w:t>
      </w:r>
    </w:p>
    <w:p>
      <w:pPr>
        <w:keepNext/>
        <w:keepLines/>
        <w:spacing w:before="180" w:after="100" w:line="360" w:lineRule="auto"/>
        <w:jc w:val="left"/>
      </w:pPr>
      <w:r>
        <w:rPr>
          <w:b/>
          <w:sz w:val="24"/>
          <w:szCs w:val="24"/>
        </w:rPr>
        <w:t xml:space="preserve">2.3.2  Analysis of Corporate Bank Statements and Ledger Segregation</w:t>
      </w:r>
    </w:p>
    <w:p>
      <w:pPr>
        <w:spacing w:before="0" w:after="140" w:line="360" w:lineRule="auto"/>
        <w:jc w:val="both"/>
      </w:pPr>
      <w:r>
        <w:t xml:space="preserve">Extended the same analysis to corporate clients, segregating income and expenses in the bank ledger account of the company. Grouped recurring payments such as salaries, statutory dues, rent, utilities and vendor settlements, and traced receipts against customer collections. Observed how a company’s cost structure and cash discipline can be read from its bank account, including how and where it controls expenditure. Gained a clearer understanding of the difference between the accounting treatment of an item and its tax treatment, which becomes important later in the computation stage.</w:t>
      </w:r>
    </w:p>
    <w:p>
      <w:pPr>
        <w:keepNext/>
        <w:keepLines/>
        <w:spacing w:before="180" w:after="100" w:line="360" w:lineRule="auto"/>
        <w:jc w:val="left"/>
      </w:pPr>
      <w:r>
        <w:rPr>
          <w:b/>
          <w:sz w:val="24"/>
          <w:szCs w:val="24"/>
        </w:rPr>
        <w:t xml:space="preserve">2.3.3  Winman CA-ERP and Retrieval of Form 26AS, AIS and TIS</w:t>
      </w:r>
    </w:p>
    <w:p>
      <w:pPr>
        <w:spacing w:before="0" w:after="140" w:line="360" w:lineRule="auto"/>
        <w:jc w:val="both"/>
      </w:pPr>
      <w:r>
        <w:t xml:space="preserve">Was trained on Winman CA-ERP, the firm’s income tax and compliance software, and learned how client masters, computations and returns are organised within it. Used the software to access the income tax e-filing portal and download the forms required for return preparation, principally Form 26AS, the Annual Information Statement (AIS) and the Taxpayer Information Summary (TIS). Learned what each statement contains: Form 26AS for tax deducted and collected at source and taxes paid, AIS for reported financial transactions such as interest, dividends and securities transactions, and TIS for the summarised position derived from AIS. Understood why these downloads are the starting point of every income tax assignment: they show what the department already knows before the return is filed.</w:t>
      </w:r>
    </w:p>
    <w:p>
      <w:pPr>
        <w:keepNext/>
        <w:keepLines/>
        <w:spacing w:before="180" w:after="100" w:line="360" w:lineRule="auto"/>
        <w:jc w:val="left"/>
      </w:pPr>
      <w:r>
        <w:rPr>
          <w:b/>
          <w:sz w:val="24"/>
          <w:szCs w:val="24"/>
        </w:rPr>
        <w:t xml:space="preserve">2.3.4  Real-Time Accounting in Tally</w:t>
      </w:r>
    </w:p>
    <w:p>
      <w:pPr>
        <w:spacing w:before="0" w:after="140" w:line="360" w:lineRule="auto"/>
        <w:jc w:val="both"/>
      </w:pPr>
      <w:r>
        <w:t xml:space="preserve">Recorded the transactions of client companies in the respective Tally company files maintained by the firm, covering receipts, payments, purchases, sales and journal entries. Selected the appropriate ledger and voucher type for each entry and wrote narrations clear enough for a reviewer or auditor to follow without asking questions. Observed how ledger grouping determines the final presentation in the profit and loss account and balance sheet, and how a single misclassification distorts both. Built up a much better sense of how the client’s business actually operates, because the ledger reveals the pattern of its dealings far more honestly than any summary.</w:t>
      </w:r>
    </w:p>
    <w:p>
      <w:pPr>
        <w:keepNext/>
        <w:keepLines/>
        <w:spacing w:before="180" w:after="100" w:line="360" w:lineRule="auto"/>
        <w:jc w:val="left"/>
      </w:pPr>
      <w:r>
        <w:rPr>
          <w:b/>
          <w:sz w:val="24"/>
          <w:szCs w:val="24"/>
        </w:rPr>
        <w:t xml:space="preserve">2.3.5  Goods and Services Tax Filing Support</w:t>
      </w:r>
    </w:p>
    <w:p>
      <w:pPr>
        <w:spacing w:before="0" w:after="140" w:line="360" w:lineRule="auto"/>
        <w:jc w:val="both"/>
      </w:pPr>
      <w:r>
        <w:t xml:space="preserve">Downloaded and analysed acknowledgement forms and filed returns from the GST portal for client-wise records, including GSTR-1 for outward supplies, GSTR-2B for available input tax credit and GSTR-3B as the summary return. Assisted in requesting and unlocking files on the portal and observed both modes of authentication used in practice, online verification and signing through a Digital Signature Certificate. Assisted in the reconciliation of the books of account maintained in Tally with the GST returns filed, so that turnover and input tax credit as per the books agreed with the returns. Read the relevant provisions of the GST law while doing the work, which made the sections and their practical effect much easier to connect than reading them in isolation.</w:t>
      </w:r>
    </w:p>
    <w:p>
      <w:pPr>
        <w:keepNext/>
        <w:keepLines/>
        <w:spacing w:before="180" w:after="100" w:line="360" w:lineRule="auto"/>
        <w:jc w:val="left"/>
      </w:pPr>
      <w:r>
        <w:rPr>
          <w:b/>
          <w:sz w:val="24"/>
          <w:szCs w:val="24"/>
        </w:rPr>
        <w:t xml:space="preserve">2.3.6  TDS Compliance: Conso Files and the Return Preparation Utility</w:t>
      </w:r>
    </w:p>
    <w:p>
      <w:pPr>
        <w:spacing w:before="0" w:after="140" w:line="360" w:lineRule="auto"/>
        <w:jc w:val="both"/>
      </w:pPr>
      <w:r>
        <w:t xml:space="preserve">Requested and downloaded consolidated (conso) files for client deductors through Winman TDS from the TRACES portal, following the request-and-download sequence required by the system. Extracted the data from the conso file using the TDS Return Preparation Utility (RPU version 4.6) and entered the details quarter-wise in the format required for filing. Analysed and interpreted the transactions and deductions contained in the conso files, identifying which payments attracted deduction, at what rate, and which were not chargeable. Read the conso file against Form 26AS to see how a deduction reported by the deductor appears as a credit in the deductee’s account, and why an error in a TDS statement becomes the deductee’s problem at the time of filing.</w:t>
      </w:r>
    </w:p>
    <w:p>
      <w:pPr>
        <w:keepNext/>
        <w:keepLines/>
        <w:spacing w:before="180" w:after="100" w:line="360" w:lineRule="auto"/>
        <w:jc w:val="left"/>
      </w:pPr>
      <w:r>
        <w:rPr>
          <w:b/>
          <w:sz w:val="24"/>
          <w:szCs w:val="24"/>
        </w:rPr>
        <w:t xml:space="preserve">2.3.7  Securities Transaction Tax, Bank Account Abstract and Statement of Total Income</w:t>
      </w:r>
    </w:p>
    <w:p>
      <w:pPr>
        <w:spacing w:before="0" w:after="14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 Prepared bank account abstracts summarising the classified bank data into a working paper that could be used directly for computation. Entered the data in Winman and prepared the Statement of Total Income for individual and corporate clients, head of income by head of income. Reconciled tax credits appearing in Form 26AS with the taxes recorded in the books and the bank statement, so that advance tax, self-assessment tax and TDS were all correctly claimed. Assisted in the preparation of balance sheets and in computing the balance of tax payable or refundable after giving credit for taxes already paid.</w:t>
      </w:r>
    </w:p>
    <w:p>
      <w:pPr>
        <w:keepNext/>
        <w:keepLines/>
        <w:spacing w:before="180" w:after="100" w:line="360" w:lineRule="auto"/>
        <w:jc w:val="left"/>
      </w:pPr>
      <w:r>
        <w:rPr>
          <w:b/>
          <w:sz w:val="24"/>
          <w:szCs w:val="24"/>
        </w:rPr>
        <w:t xml:space="preserve">2.3.8  Return Filing and Statutory Audit Documentation</w:t>
      </w:r>
    </w:p>
    <w:p>
      <w:pPr>
        <w:spacing w:before="0" w:after="140" w:line="360" w:lineRule="auto"/>
        <w:jc w:val="both"/>
      </w:pPr>
      <w:r>
        <w:t xml:space="preserve">Prepared income tax returns for upload once the Statement of Total Income was approved, allowing Winman to process the classified income and expenditure and generate the computation and the return. Independently completed the filing of three returns end to end during the closing weeks, from data entry to upload, after review by the Manager. Assisted in documentation work relating to statutory audit assignments of companies, including assembling ledgers, reconciliations and portal statements into audit working papers. Reconciled Form 26AS, AIS and TIS with the books of account as part of statutory audit and income tax verification procedures, and listed the differences requiring the client’s confirmation.</w:t>
      </w: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spacing w:before="0" w:after="140" w:line="360" w:lineRule="auto"/>
        <w:jc w:val="both"/>
      </w:pPr>
      <w:r>
        <w:t xml:space="preserve">Applied the fundamentals of double entry, ledger classification and grouping while recording transactions in Tally. Used the accounting equation and the distinction between capital and revenue items to decide the treatment of entries appearing in bank statements. Applied reconciliation technique in matching the bank account with the books, and in matching taxes recorded in the books against credits appearing in Form 26AS.</w:t>
      </w:r>
    </w:p>
    <w:p>
      <w:pPr>
        <w:keepNext/>
        <w:keepLines/>
        <w:spacing w:before="180" w:after="100" w:line="360" w:lineRule="auto"/>
        <w:jc w:val="left"/>
      </w:pPr>
      <w:r>
        <w:rPr>
          <w:b/>
          <w:sz w:val="24"/>
          <w:szCs w:val="24"/>
        </w:rPr>
        <w:t xml:space="preserve">2.6.2  Direct Taxation</w:t>
      </w:r>
    </w:p>
    <w:p>
      <w:pPr>
        <w:spacing w:before="0" w:after="140" w:line="360" w:lineRule="auto"/>
        <w:jc w:val="both"/>
      </w:pPr>
      <w:r>
        <w:t xml:space="preserve">Applied the five heads of income and the structure of the Statement of Total Income while computing income for individuals and companies. Used the provisions relating to Tax Deducted at Source in practice, including deduction rates, chargeability and the quarterly statement cycle. Applied the concepts of advance tax, self-assessment tax and credit for taxes paid while arriving at the net tax payable or refundable. Applied the taxation of securities transactions, including Securities Transaction Tax, while working on client data drawn from the Annual Information Statement and broker statements.</w:t>
      </w:r>
    </w:p>
    <w:p>
      <w:pPr>
        <w:keepNext/>
        <w:keepLines/>
        <w:spacing w:before="180" w:after="100" w:line="360" w:lineRule="auto"/>
        <w:jc w:val="left"/>
      </w:pPr>
      <w:r>
        <w:rPr>
          <w:b/>
          <w:sz w:val="24"/>
          <w:szCs w:val="24"/>
        </w:rPr>
        <w:t xml:space="preserve">2.6.3  Indirect Taxation and GST</w:t>
      </w:r>
    </w:p>
    <w:p>
      <w:pPr>
        <w:spacing w:before="0" w:after="140" w:line="360" w:lineRule="auto"/>
        <w:jc w:val="both"/>
      </w:pPr>
      <w:r>
        <w:t xml:space="preserve">Applied the return structure of GST, with outward supplies in GSTR-1, credit availability in GSTR-2B and the summary in GSTR-3B. Used the concept of input tax credit and its matching requirement while reconciling the books maintained in Tally with the returns filed. Read the relevant sections of the GST Act alongside the filings, which gave the statutory language a practical meaning.</w:t>
      </w:r>
    </w:p>
    <w:p>
      <w:pPr>
        <w:keepNext/>
        <w:keepLines/>
        <w:spacing w:before="180" w:after="100" w:line="360" w:lineRule="auto"/>
        <w:jc w:val="left"/>
      </w:pPr>
      <w:r>
        <w:rPr>
          <w:b/>
          <w:sz w:val="24"/>
          <w:szCs w:val="24"/>
        </w:rPr>
        <w:t xml:space="preserve">2.6.4  Accounting Systems and ERP Usage</w:t>
      </w:r>
    </w:p>
    <w:p>
      <w:pPr>
        <w:spacing w:before="0" w:after="140" w:line="360" w:lineRule="auto"/>
        <w:jc w:val="both"/>
      </w:pPr>
      <w:r>
        <w:t xml:space="preserve">Extended classroom exposure to accounting systems by working in Tally and Winman on live client data. Understood how integrated software links books, computation, statutory forms and filing, and where human judgement still has to intervene. Learned the importance of master data, ledger structure and correct client set-up, since every downstream report depends on them.</w:t>
      </w:r>
    </w:p>
    <w:p>
      <w:pPr>
        <w:keepNext/>
        <w:keepLines/>
        <w:spacing w:before="180" w:after="100" w:line="360" w:lineRule="auto"/>
        <w:jc w:val="left"/>
      </w:pPr>
      <w:r>
        <w:rPr>
          <w:b/>
          <w:sz w:val="24"/>
          <w:szCs w:val="24"/>
        </w:rPr>
        <w:t xml:space="preserve">2.6.5  Financial Reporting and Analysis</w:t>
      </w:r>
    </w:p>
    <w:p>
      <w:pPr>
        <w:spacing w:before="0" w:after="140" w:line="360" w:lineRule="auto"/>
        <w:jc w:val="both"/>
      </w:pPr>
      <w:r>
        <w:t xml:space="preserve">Applied financial statement knowledge while assisting in the preparation of balance sheets and while reviewing profit and loss presentation in Tally. Used analytical techniques from financial reporting coursework to interpret a client’s income and expenditure pattern from its bank account. Applied reporting discipline in preparing working papers and client reports for my Manager’s verification and approval.</w:t>
      </w: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w:t>
      </w:r>
      <w:r>
        <w:rPr>
          <w:b/>
        </w:rPr>
        <w:t xml:space="preserve">Ms. A. Lakshmi</w:t>
      </w:r>
      <w:r>
        <w:t xml:space="preserve"> and alongside </w:t>
      </w:r>
      <w:r>
        <w:rPr>
          <w:b/>
        </w:rPr>
        <w:t xml:space="preserve">Ms. Aruna</w:t>
      </w:r>
      <w:r>
        <w:t xml:space="preserve">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vAlign w:val="center"/>
          </w:tcPr>
          <w:p>
            <w:pPr>
              <w:spacing w:before="20" w:after="20" w:line="240" w:lineRule="auto"/>
              <w:jc w:val="center"/>
            </w:pPr>
            <w:r>
              <w:rPr>
                <w:b/>
                <w:sz w:val="24"/>
                <w:szCs w:val="24"/>
              </w:rPr>
              <w:t xml:space="preserve">S. No.</w:t>
            </w:r>
          </w:p>
        </w:tc>
        <w:tc>
          <w:tcPr>
            <w:tcW w:w="2599" w:type="dxa"/>
            <w:vAlign w:val="center"/>
          </w:tcPr>
          <w:p>
            <w:pPr>
              <w:spacing w:before="20" w:after="20" w:line="240" w:lineRule="auto"/>
              <w:jc w:val="center"/>
            </w:pPr>
            <w:r>
              <w:rPr>
                <w:b/>
                <w:sz w:val="24"/>
                <w:szCs w:val="24"/>
              </w:rPr>
              <w:t xml:space="preserve">Area of Work</w:t>
            </w:r>
          </w:p>
        </w:tc>
        <w:tc>
          <w:tcPr>
            <w:tcW w:w="5199" w:type="dxa"/>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Bank Statement Analysis</w:t>
            </w:r>
          </w:p>
        </w:tc>
        <w:tc>
          <w:tcPr>
            <w:tcW w:w="5199" w:type="dxa"/>
            <w:vAlign w:val="center"/>
          </w:tcPr>
          <w:p>
            <w:pPr>
              <w:spacing w:before="20" w:after="20" w:line="240" w:lineRule="auto"/>
              <w:jc w:val="left"/>
            </w:pPr>
            <w:r>
              <w:rPr>
                <w:sz w:val="24"/>
                <w:szCs w:val="24"/>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Real-Time Accounting</w:t>
            </w:r>
          </w:p>
        </w:tc>
        <w:tc>
          <w:tcPr>
            <w:tcW w:w="5199" w:type="dxa"/>
            <w:vAlign w:val="center"/>
          </w:tcPr>
          <w:p>
            <w:pPr>
              <w:spacing w:before="20" w:after="20" w:line="240" w:lineRule="auto"/>
              <w:jc w:val="left"/>
            </w:pPr>
            <w:r>
              <w:rPr>
                <w:sz w:val="24"/>
                <w:szCs w:val="24"/>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Portal Downloads</w:t>
            </w:r>
          </w:p>
        </w:tc>
        <w:tc>
          <w:tcPr>
            <w:tcW w:w="5199" w:type="dxa"/>
            <w:vAlign w:val="center"/>
          </w:tcPr>
          <w:p>
            <w:pPr>
              <w:spacing w:before="20" w:after="20" w:line="240" w:lineRule="auto"/>
              <w:jc w:val="left"/>
            </w:pPr>
            <w:r>
              <w:rPr>
                <w:sz w:val="24"/>
                <w:szCs w:val="24"/>
              </w:rPr>
              <w:t xml:space="preserve">Retrieval of Form 26AS, AIS and TIS through Winman CA-ERP</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GST Compliance</w:t>
            </w:r>
          </w:p>
        </w:tc>
        <w:tc>
          <w:tcPr>
            <w:tcW w:w="5199" w:type="dxa"/>
            <w:vAlign w:val="center"/>
          </w:tcPr>
          <w:p>
            <w:pPr>
              <w:spacing w:before="20" w:after="20" w:line="240" w:lineRule="auto"/>
              <w:jc w:val="left"/>
            </w:pPr>
            <w:r>
              <w:rPr>
                <w:sz w:val="24"/>
                <w:szCs w:val="24"/>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GST Reconciliation</w:t>
            </w:r>
          </w:p>
        </w:tc>
        <w:tc>
          <w:tcPr>
            <w:tcW w:w="5199" w:type="dxa"/>
            <w:vAlign w:val="center"/>
          </w:tcPr>
          <w:p>
            <w:pPr>
              <w:spacing w:before="20" w:after="20" w:line="240" w:lineRule="auto"/>
              <w:jc w:val="left"/>
            </w:pPr>
            <w:r>
              <w:rPr>
                <w:sz w:val="24"/>
                <w:szCs w:val="24"/>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TDS Compliance</w:t>
            </w:r>
          </w:p>
        </w:tc>
        <w:tc>
          <w:tcPr>
            <w:tcW w:w="5199" w:type="dxa"/>
            <w:vAlign w:val="center"/>
          </w:tcPr>
          <w:p>
            <w:pPr>
              <w:spacing w:before="20" w:after="20" w:line="240" w:lineRule="auto"/>
              <w:jc w:val="left"/>
            </w:pPr>
            <w:r>
              <w:rPr>
                <w:sz w:val="24"/>
                <w:szCs w:val="24"/>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Securities Transaction Tax</w:t>
            </w:r>
          </w:p>
        </w:tc>
        <w:tc>
          <w:tcPr>
            <w:tcW w:w="5199" w:type="dxa"/>
            <w:vAlign w:val="center"/>
          </w:tcPr>
          <w:p>
            <w:pPr>
              <w:spacing w:before="20" w:after="20" w:line="240" w:lineRule="auto"/>
              <w:jc w:val="left"/>
            </w:pPr>
            <w:r>
              <w:rPr>
                <w:sz w:val="24"/>
                <w:szCs w:val="24"/>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Bank Account Abstract</w:t>
            </w:r>
          </w:p>
        </w:tc>
        <w:tc>
          <w:tcPr>
            <w:tcW w:w="5199" w:type="dxa"/>
            <w:vAlign w:val="center"/>
          </w:tcPr>
          <w:p>
            <w:pPr>
              <w:spacing w:before="20" w:after="20" w:line="240" w:lineRule="auto"/>
              <w:jc w:val="left"/>
            </w:pPr>
            <w:r>
              <w:rPr>
                <w:sz w:val="24"/>
                <w:szCs w:val="24"/>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Statement of Total Income</w:t>
            </w:r>
          </w:p>
        </w:tc>
        <w:tc>
          <w:tcPr>
            <w:tcW w:w="5199" w:type="dxa"/>
            <w:vAlign w:val="center"/>
          </w:tcPr>
          <w:p>
            <w:pPr>
              <w:spacing w:before="20" w:after="20" w:line="240" w:lineRule="auto"/>
              <w:jc w:val="left"/>
            </w:pPr>
            <w:r>
              <w:rPr>
                <w:sz w:val="24"/>
                <w:szCs w:val="24"/>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Return Filing</w:t>
            </w:r>
          </w:p>
        </w:tc>
        <w:tc>
          <w:tcPr>
            <w:tcW w:w="5199" w:type="dxa"/>
            <w:vAlign w:val="center"/>
          </w:tcPr>
          <w:p>
            <w:pPr>
              <w:spacing w:before="20" w:after="20" w:line="240" w:lineRule="auto"/>
              <w:jc w:val="left"/>
            </w:pPr>
            <w:r>
              <w:rPr>
                <w:sz w:val="24"/>
                <w:szCs w:val="24"/>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Audit Documentation</w:t>
            </w:r>
          </w:p>
        </w:tc>
        <w:tc>
          <w:tcPr>
            <w:tcW w:w="5199" w:type="dxa"/>
            <w:vAlign w:val="center"/>
          </w:tcPr>
          <w:p>
            <w:pPr>
              <w:spacing w:before="20" w:after="20" w:line="240" w:lineRule="auto"/>
              <w:jc w:val="left"/>
            </w:pPr>
            <w:r>
              <w:rPr>
                <w:sz w:val="24"/>
                <w:szCs w:val="24"/>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Reporting</w:t>
            </w:r>
          </w:p>
        </w:tc>
        <w:tc>
          <w:tcPr>
            <w:tcW w:w="5199" w:type="dxa"/>
            <w:vAlign w:val="center"/>
          </w:tcPr>
          <w:p>
            <w:pPr>
              <w:spacing w:before="20" w:after="20" w:line="240" w:lineRule="auto"/>
              <w:jc w:val="left"/>
            </w:pPr>
            <w:r>
              <w:rPr>
                <w:sz w:val="24"/>
                <w:szCs w:val="24"/>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8"/>
          <w:szCs w:val="28"/>
        </w:rPr>
        <w:t xml:space="preserve">2.12  WORKING PAPERS AND FILE DISCIPLINE</w:t>
      </w:r>
    </w:p>
    <w:p>
      <w:pPr>
        <w:spacing w:before="0" w:after="140" w:line="360" w:lineRule="auto"/>
        <w:jc w:val="both"/>
      </w:pPr>
      <w:r>
        <w:t xml:space="preserve">A theme that ran through every assignment, and which I did not anticipate before the internship, was the standard of record-keeping expected behind each output. A computation is not finished when the figure is arrived at; it is finished when a reader can see where each component came from. That principle governed how I was asked to work.</w:t>
      </w:r>
    </w:p>
    <w:p>
      <w:pPr>
        <w:spacing w:before="0" w:after="140" w:line="360" w:lineRule="auto"/>
        <w:jc w:val="both"/>
      </w:pPr>
      <w:r>
        <w:t xml:space="preserve">In practice it meant several specific habits. Each client file carried a bank account abstract showing how every entry had been classified, so that a figure in the computation could be traced back to the statement line that produced it. Items I could not classify were listed as queries against the file rather than resolved silently. Where an unusual treatment was adopted, the reason was noted against the entry, on the reasoning that the file has to stand on its own months later when nobody remembers the conversation.</w:t>
      </w:r>
    </w:p>
    <w:p>
      <w:pPr>
        <w:keepNext/>
        <w:keepLines/>
        <w:spacing w:before="240" w:after="120" w:line="360" w:lineRule="auto"/>
        <w:jc w:val="left"/>
      </w:pPr>
      <w:r>
        <w:rPr>
          <w:b/>
          <w:sz w:val="28"/>
          <w:szCs w:val="28"/>
        </w:rPr>
        <w:t xml:space="preserve">2.13  CONFIDENTIALITY AND PROFESSIONAL CONDUCT</w:t>
      </w:r>
    </w:p>
    <w:p>
      <w:pPr>
        <w:spacing w:before="0" w:after="140" w:line="360" w:lineRule="auto"/>
        <w:jc w:val="both"/>
      </w:pPr>
      <w:r>
        <w:t xml:space="preserve">Working on live client files brought obligations that no academic exercise had imposed on me. Everything I handled was confidential: bank statements showing a family’s personal spending, the turnover and margins of closely held businesses, and the tax positions of individuals who would be identifiable from a single figure. The firm’s expectations on this were stated at the outset and were not treated as a formality.</w:t>
      </w:r>
    </w:p>
    <w:p>
      <w:pPr>
        <w:keepNext/>
        <w:keepLines/>
        <w:spacing w:before="240" w:after="120" w:line="360" w:lineRule="auto"/>
        <w:jc w:val="left"/>
      </w:pPr>
      <w:r>
        <w:rPr>
          <w:b/>
          <w:sz w:val="28"/>
          <w:szCs w:val="28"/>
        </w:rPr>
        <w:t xml:space="preserve">2.14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140" w:line="360" w:lineRule="auto"/>
        <w:jc w:val="both"/>
      </w:pPr>
      <w:r>
        <w:t xml:space="preserve">Taken together, the ten weeks moved from classifying somebody else’s bank statement to filing somebody’s return, and the distance between those two tasks is the distance between observing a profession and practising it.</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Because the reporting line in the firm was short, communication was frequent and direct. I reported to </w:t>
      </w:r>
      <w:r>
        <w:rPr>
          <w:b/>
        </w:rPr>
        <w:t xml:space="preserve">Ms. A. Lakshmi</w:t>
      </w:r>
      <w:r>
        <w:t xml:space="preserve">, Manager, who reviewed my work and to whom the whole team reported, and I worked day to day alongside </w:t>
      </w:r>
      <w:r>
        <w:rPr>
          <w:b/>
        </w:rPr>
        <w:t xml:space="preserve">Ms. Aruna</w:t>
      </w:r>
      <w:r>
        <w:t xml:space="preserve">,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keepNext/>
        <w:keepLines/>
        <w:spacing w:before="240" w:after="120" w:line="360" w:lineRule="auto"/>
        <w:jc w:val="left"/>
      </w:pPr>
      <w:r>
        <w:rPr>
          <w:b/>
          <w:sz w:val="28"/>
          <w:szCs w:val="28"/>
        </w:rPr>
        <w:t xml:space="preserve">3.8  REVIEW AND FEEDBACK RECEIVED</w:t>
      </w:r>
    </w:p>
    <w:p>
      <w:pPr>
        <w:spacing w:before="0" w:after="140" w:line="360" w:lineRule="auto"/>
        <w:jc w:val="both"/>
      </w:pPr>
      <w:r>
        <w:t xml:space="preserve">Because every output I produced was reviewed before it left the firm, feedback was continuous rather than periodic, and it is worth recording what it consisted of. In the first fortnight the corrections were almost entirely about classification: entries I had treated as business receipts that were transfers between the client’s own accounts, drawings recorded as expenditure, and reimbursements shown as income. None of these were arithmetic errors, which was itself instructive.</w:t>
      </w:r>
    </w:p>
    <w:p>
      <w:pPr>
        <w:spacing w:before="0" w:after="140" w:line="360" w:lineRule="auto"/>
        <w:jc w:val="both"/>
      </w:pPr>
      <w:r>
        <w:t xml:space="preserve">From the third week the feedback shifted from what I had classified to how I had recorded it. </w:t>
      </w:r>
      <w:r>
        <w:rPr>
          <w:b/>
        </w:rPr>
        <w:t xml:space="preserve">Ms. A. Lakshmi</w:t>
      </w:r>
      <w:r>
        <w:t xml:space="preserve"> asked for the basis of an unusual treatment to be noted against the entry rather than explained verbally, on the reasoning that a file has to stand on its own months later when nobody remembers the conversation. That single instruction changed my working method more than any other.</w:t>
      </w:r>
    </w:p>
    <w:p>
      <w:pPr>
        <w:spacing w:before="0" w:after="140" w:line="360" w:lineRule="auto"/>
        <w:jc w:val="both"/>
      </w:pPr>
      <w:r>
        <w:t xml:space="preserve">The feedback I received in the final fortnight was of a different kind. Having been allowed to complete three returns end to end, the comments were about judgement rather than method: whether a position was defensible, whether the supporting documents were sufficient, and whether I had satisfied myself before presenting the file. I took that shift as the clearest indication that my work had reached a standard where it could be discussed rather than merely corrected.</w:t>
      </w:r>
    </w:p>
    <w:p>
      <w:pPr>
        <w:keepNext/>
        <w:keepLines/>
        <w:spacing w:before="240" w:after="120" w:line="360" w:lineRule="auto"/>
        <w:jc w:val="left"/>
      </w:pPr>
      <w:r>
        <w:rPr>
          <w:b/>
          <w:sz w:val="28"/>
          <w:szCs w:val="28"/>
        </w:rPr>
        <w:t xml:space="preserve">3.9  BENCHMARKING AGAINST PROFESSIONAL EXPECTATIONS</w:t>
      </w:r>
    </w:p>
    <w:p>
      <w:pPr>
        <w:spacing w:before="0" w:after="140" w:line="360" w:lineRule="auto"/>
        <w:jc w:val="both"/>
      </w:pPr>
      <w:r>
        <w:t xml:space="preserve">It is useful to measure the work I did against what a first-year article assistant in an Indian practice would ordinarily be expected to handle, since that is the nearest professional comparison. On the compliance side the comparison is reasonably close: bank statement analysis, ledger classification, portal downloads, Tally recording, GST and TDS return preparation and the computation of total income are all tasks an assistant performs in a first year, and by the end of ten weeks I was performing them to a standard that passed review.</w:t>
      </w:r>
    </w:p>
    <w:p>
      <w:pPr>
        <w:spacing w:before="0" w:after="140" w:line="360" w:lineRule="auto"/>
        <w:jc w:val="both"/>
      </w:pPr>
      <w:r>
        <w:t xml:space="preserve">On three counts my exposure fell short of that benchmark. An article assistant would see a statutory audit through a full cycle, would attend at client premises for verification work, and would be involved in assessment and scrutiny proceedings. My involvement in audit was documentary, and I saw none of the litigation support work. An assistant would also be expected to deal directly with clients on routine queries, whereas my client contact was mediated through the firm.</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8"/>
          <w:szCs w:val="28"/>
        </w:rPr>
        <w:t xml:space="preserve">4.2  PRACTICAL EXPOSURE TO COMPLIANCE PROCESSES</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w:t>
      </w:r>
      <w:r>
        <w:rPr>
          <w:b/>
        </w:rPr>
        <w:t xml:space="preserve">Ms. Aruna</w:t>
      </w:r>
      <w:r>
        <w:t xml:space="preserve">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blHeader/>
        </w:trPr>
        <w:tc>
          <w:tcPr>
            <w:tcW w:w="2888" w:type="dxa"/>
            <w:vAlign w:val="center"/>
          </w:tcPr>
          <w:p>
            <w:pPr>
              <w:spacing w:before="20" w:after="20" w:line="240" w:lineRule="auto"/>
              <w:jc w:val="center"/>
            </w:pPr>
            <w:r>
              <w:rPr>
                <w:b/>
                <w:sz w:val="24"/>
                <w:szCs w:val="24"/>
              </w:rPr>
              <w:t xml:space="preserve">Academic Subject</w:t>
            </w:r>
          </w:p>
        </w:tc>
        <w:tc>
          <w:tcPr>
            <w:tcW w:w="5777" w:type="dxa"/>
            <w:vAlign w:val="center"/>
          </w:tcPr>
          <w:p>
            <w:pPr>
              <w:spacing w:before="20" w:after="20" w:line="240" w:lineRule="auto"/>
              <w:jc w:val="center"/>
            </w:pPr>
            <w:r>
              <w:rPr>
                <w:b/>
                <w:sz w:val="24"/>
                <w:szCs w:val="24"/>
              </w:rPr>
              <w:t xml:space="preserve">Internship Application</w:t>
            </w:r>
          </w:p>
        </w:tc>
      </w:tr>
      <w:tr>
        <w:trPr>
          <w:cantSpli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Ledger classification, voucher entry and recording of client transactions in Tally</w:t>
            </w:r>
          </w:p>
        </w:tc>
      </w:tr>
      <w:tr>
        <w:trPr>
          <w:cantSplit/>
        </w:trPr>
        <w:tc>
          <w:tcPr>
            <w:tcW w:w="2888" w:type="dxa"/>
            <w:vAlign w:val="center"/>
          </w:tcPr>
          <w:p>
            <w:pPr>
              <w:spacing w:before="20" w:after="20" w:line="240" w:lineRule="auto"/>
              <w:jc w:val="center"/>
            </w:pPr>
            <w:r>
              <w:rPr>
                <w:b/>
                <w:sz w:val="24"/>
                <w:szCs w:val="24"/>
              </w:rPr>
              <w:t xml:space="preserve">Direct Taxation</w:t>
            </w:r>
          </w:p>
        </w:tc>
        <w:tc>
          <w:tcPr>
            <w:tcW w:w="5777" w:type="dxa"/>
            <w:vAlign w:val="center"/>
          </w:tcPr>
          <w:p>
            <w:pPr>
              <w:spacing w:before="20" w:after="20" w:line="240" w:lineRule="auto"/>
              <w:jc w:val="left"/>
            </w:pPr>
            <w:r>
              <w:rPr>
                <w:sz w:val="24"/>
                <w:szCs w:val="24"/>
              </w:rPr>
              <w:t xml:space="preserve">Heads of income, Statement of Total Income, TDS provisions, Securities Transaction Tax and return filing</w:t>
            </w:r>
          </w:p>
        </w:tc>
      </w:tr>
      <w:tr>
        <w:trPr>
          <w:cantSplit/>
        </w:trPr>
        <w:tc>
          <w:tcPr>
            <w:tcW w:w="2888" w:type="dxa"/>
            <w:vAlign w:val="center"/>
          </w:tcPr>
          <w:p>
            <w:pPr>
              <w:spacing w:before="20" w:after="20" w:line="240" w:lineRule="auto"/>
              <w:jc w:val="center"/>
            </w:pPr>
            <w:r>
              <w:rPr>
                <w:b/>
                <w:sz w:val="24"/>
                <w:szCs w:val="24"/>
              </w:rPr>
              <w:t xml:space="preserve">Indirect Taxation (GST)</w:t>
            </w:r>
          </w:p>
        </w:tc>
        <w:tc>
          <w:tcPr>
            <w:tcW w:w="5777" w:type="dxa"/>
            <w:vAlign w:val="center"/>
          </w:tcPr>
          <w:p>
            <w:pPr>
              <w:spacing w:before="20" w:after="20" w:line="240" w:lineRule="auto"/>
              <w:jc w:val="left"/>
            </w:pPr>
            <w:r>
              <w:rPr>
                <w:sz w:val="24"/>
                <w:szCs w:val="24"/>
              </w:rPr>
              <w:t xml:space="preserve">GSTR-1, GSTR-2B and GSTR-3B filings and reconciliation of books with returns</w:t>
            </w:r>
          </w:p>
        </w:tc>
      </w:tr>
      <w:tr>
        <w:trPr>
          <w:cantSpli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Documentation for statutory audit assignments and verification of 26AS, AIS and TIS against the books</w:t>
            </w:r>
          </w:p>
        </w:tc>
      </w:tr>
      <w:tr>
        <w:trPr>
          <w:cantSplit/>
        </w:trPr>
        <w:tc>
          <w:tcPr>
            <w:tcW w:w="2888" w:type="dxa"/>
            <w:vAlign w:val="center"/>
          </w:tcPr>
          <w:p>
            <w:pPr>
              <w:spacing w:before="20" w:after="20" w:line="240" w:lineRule="auto"/>
              <w:jc w:val="center"/>
            </w:pPr>
            <w:r>
              <w:rPr>
                <w:b/>
                <w:sz w:val="24"/>
                <w:szCs w:val="24"/>
              </w:rPr>
              <w:t xml:space="preserve">Financial Reporting and Analysis</w:t>
            </w:r>
          </w:p>
        </w:tc>
        <w:tc>
          <w:tcPr>
            <w:tcW w:w="5777" w:type="dxa"/>
            <w:vAlign w:val="center"/>
          </w:tcPr>
          <w:p>
            <w:pPr>
              <w:spacing w:before="20" w:after="20" w:line="240" w:lineRule="auto"/>
              <w:jc w:val="left"/>
            </w:pPr>
            <w:r>
              <w:rPr>
                <w:sz w:val="24"/>
                <w:szCs w:val="24"/>
              </w:rPr>
              <w:t xml:space="preserve">Assistance in balance sheet preparation and interpretation of income and expenditure patterns</w:t>
            </w:r>
          </w:p>
        </w:tc>
      </w:tr>
      <w:tr>
        <w:trPr>
          <w:cantSplit/>
        </w:trPr>
        <w:tc>
          <w:tcPr>
            <w:tcW w:w="2888" w:type="dxa"/>
            <w:vAlign w:val="center"/>
          </w:tcPr>
          <w:p>
            <w:pPr>
              <w:spacing w:before="20" w:after="20" w:line="240" w:lineRule="auto"/>
              <w:jc w:val="center"/>
            </w:pPr>
            <w:r>
              <w:rPr>
                <w:b/>
                <w:sz w:val="24"/>
                <w:szCs w:val="24"/>
              </w:rPr>
              <w:t xml:space="preserve">Accounting Systems and ERP</w:t>
            </w:r>
          </w:p>
        </w:tc>
        <w:tc>
          <w:tcPr>
            <w:tcW w:w="5777" w:type="dxa"/>
            <w:vAlign w:val="center"/>
          </w:tcPr>
          <w:p>
            <w:pPr>
              <w:spacing w:before="20" w:after="20" w:line="240" w:lineRule="auto"/>
              <w:jc w:val="left"/>
            </w:pPr>
            <w:r>
              <w:rPr>
                <w:sz w:val="24"/>
                <w:szCs w:val="24"/>
              </w:rPr>
              <w:t xml:space="preserve">Practical work in Tally and Winman CA-ERP, including master data and ledger structure</w:t>
            </w:r>
          </w:p>
        </w:tc>
      </w:tr>
      <w:tr>
        <w:trPr>
          <w:cantSpli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8"/>
          <w:szCs w:val="28"/>
        </w:rPr>
        <w:t xml:space="preserve">4.6  OVERALL REALISATIONS</w:t>
      </w:r>
    </w:p>
    <w:p>
      <w:pPr>
        <w:spacing w:before="0" w:after="140" w:line="360" w:lineRule="auto"/>
        <w:jc w:val="both"/>
      </w:pPr>
      <w:r>
        <w:t xml:space="preserve">Compliance work is judgement work. The software performs the arithmetic; the professional decides the treatment, and that decision is what the client is paying for. Documentation is not administrative overhead. A working paper that shows where each figure came from is the only practical defence when a filing is questioned months later. Deadlines in this profession are external and non-negotiable, which imposes a discipline of planning that is quite different from academic deadlines. Accuracy is a form of respect for the client, because the consequences of an error, a notice, interest, penalty or a lost refund, fall on them and not on the person who made it. Repetitive work is where competence is actually built. The tenth bank statement teaches more than the first, because by then the exceptions start to become visible. A small professional firm can be an outstanding place to learn, because exposure is broad, review is immediate and responsibility arrives early.</w:t>
      </w: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w:t>
      </w:r>
      <w:r>
        <w:rPr>
          <w:b/>
        </w:rPr>
        <w:t xml:space="preserve">Ms. Aruna</w:t>
      </w:r>
      <w:r>
        <w:t xml:space="preserve">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keepNext/>
        <w:keepLines/>
        <w:spacing w:before="240" w:after="120" w:line="360" w:lineRule="auto"/>
        <w:jc w:val="left"/>
      </w:pPr>
      <w:r>
        <w:rPr>
          <w:b/>
          <w:sz w:val="28"/>
          <w:szCs w:val="28"/>
        </w:rPr>
        <w:t xml:space="preserve">4.8  RELEVANCE TO FUTURE CAREER AND QUALIFICATION</w:t>
      </w:r>
    </w:p>
    <w:p>
      <w:pPr>
        <w:spacing w:before="0" w:after="140" w:line="360" w:lineRule="auto"/>
        <w:jc w:val="both"/>
      </w:pPr>
      <w:r>
        <w:t xml:space="preserve">The internship has a direct bearing on the professional path I intend to follow. The work I performed is the work of the early years of a career in accounting and taxation, and having done it under review I now know both that I can perform it and that I want to. That is a more useful outcome than a general affirmation of interest in finance, which is what I had before.</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w:t>
      </w:r>
      <w:r>
        <w:rPr>
          <w:b/>
        </w:rPr>
        <w:t xml:space="preserve">Ms. A. Lakshmi</w:t>
      </w:r>
      <w:r>
        <w:t xml:space="preserve">,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Technical Competence in Accounting and Taxation</w:t>
      </w:r>
    </w:p>
    <w:p>
      <w:pPr>
        <w:spacing w:before="0" w:after="140" w:line="360" w:lineRule="auto"/>
        <w:jc w:val="both"/>
      </w:pPr>
      <w:r>
        <w:t xml:space="preserve">Acquired the ability to record accounting transactions in Tally and to prepare a bank account abstract and Statement of Total Income from primary records. Learned to work in Winman CA-ERP across computation, portal downloads, return preparation and filing. Gained working knowledge of TDS statement preparation through conso files and the Return Preparation Utility, and of GST return filing and reconciliation.</w:t>
      </w:r>
    </w:p>
    <w:p>
      <w:pPr>
        <w:keepNext/>
        <w:keepLines/>
        <w:spacing w:before="180" w:after="100" w:line="360" w:lineRule="auto"/>
        <w:jc w:val="left"/>
      </w:pPr>
      <w:r>
        <w:rPr>
          <w:b/>
          <w:sz w:val="24"/>
          <w:szCs w:val="24"/>
        </w:rPr>
        <w:t xml:space="preserve">5.2.2  Reconciliation as a Core Discipline</w:t>
      </w:r>
    </w:p>
    <w:p>
      <w:pPr>
        <w:spacing w:before="0" w:after="140" w:line="360" w:lineRule="auto"/>
        <w:jc w:val="both"/>
      </w:pPr>
      <w:r>
        <w:t xml:space="preserve">Understood that reconciliation, not data entry, is the central skill in modern compliance work. Learned to reconcile books maintained in Tally with GST returns filed, and Form 26AS, AIS and TIS with the books of account. Learned to treat a difference as a question to be answered rather than a figure to be adjusted.</w:t>
      </w:r>
    </w:p>
    <w:p>
      <w:pPr>
        <w:keepNext/>
        <w:keepLines/>
        <w:spacing w:before="180" w:after="100" w:line="360" w:lineRule="auto"/>
        <w:jc w:val="left"/>
      </w:pPr>
      <w:r>
        <w:rPr>
          <w:b/>
          <w:sz w:val="24"/>
          <w:szCs w:val="24"/>
        </w:rPr>
        <w:t xml:space="preserve">5.2.3  Understanding of Statutory Compliance and Deadlines</w:t>
      </w:r>
    </w:p>
    <w:p>
      <w:pPr>
        <w:spacing w:before="0" w:after="140" w:line="360" w:lineRule="auto"/>
        <w:jc w:val="both"/>
      </w:pPr>
      <w:r>
        <w:t xml:space="preserve">Learned the monthly, quarterly and annual compliance cycles of an Indian practice and how they overlap during the filing season. Understood the consequences of delay and error, including notices, interest and loss of credit, and therefore why verification precedes submission. Saw how a professional firm plans its work backwards from an external due date.</w:t>
      </w:r>
    </w:p>
    <w:p>
      <w:pPr>
        <w:keepNext/>
        <w:keepLines/>
        <w:spacing w:before="180" w:after="100" w:line="360" w:lineRule="auto"/>
        <w:jc w:val="left"/>
      </w:pPr>
      <w:r>
        <w:rPr>
          <w:b/>
          <w:sz w:val="24"/>
          <w:szCs w:val="24"/>
        </w:rPr>
        <w:t xml:space="preserve">5.2.4  Adaptability in a Digital Compliance Environment</w:t>
      </w:r>
    </w:p>
    <w:p>
      <w:pPr>
        <w:spacing w:before="0" w:after="140" w:line="360" w:lineRule="auto"/>
        <w:jc w:val="both"/>
      </w:pPr>
      <w:r>
        <w:t xml:space="preserve">Worked across Tally, Winman CA-ERP, Winman TDS, the TDS Return Preparation Utility, the income tax e-filing portal, the GST portal, Excel and Word within a single internship. Learned how far Indian tax administration has moved towards pre-populated, data-driven assessment, and what that means for the accountant’s role. Became comfortable learning a new system quickly by observing, noting the steps and then executing under review.</w:t>
      </w:r>
    </w:p>
    <w:p>
      <w:pPr>
        <w:keepNext/>
        <w:keepLines/>
        <w:spacing w:before="180" w:after="100" w:line="360" w:lineRule="auto"/>
        <w:jc w:val="left"/>
      </w:pPr>
      <w:r>
        <w:rPr>
          <w:b/>
          <w:sz w:val="24"/>
          <w:szCs w:val="24"/>
        </w:rPr>
        <w:t xml:space="preserve">5.2.5  Professional Discipline and Resilience</w:t>
      </w:r>
    </w:p>
    <w:p>
      <w:pPr>
        <w:spacing w:before="0" w:after="140" w:line="360" w:lineRule="auto"/>
        <w:jc w:val="both"/>
      </w:pPr>
      <w:r>
        <w:t xml:space="preserve">Sustained a demanding on-site routine, including a two-hour daily commute, for the full duration of the internship. Learned to manage screen fatigue and the monotony of repetitive processing without allowing accuracy to slip. Understood that consistency over ten weeks is valued more highly in a professional office than occasional brilliance.</w:t>
      </w:r>
    </w:p>
    <w:p>
      <w:pPr>
        <w:keepNext/>
        <w:keepLines/>
        <w:spacing w:before="180" w:after="100" w:line="360" w:lineRule="auto"/>
        <w:jc w:val="left"/>
      </w:pPr>
      <w:r>
        <w:rPr>
          <w:b/>
          <w:sz w:val="24"/>
          <w:szCs w:val="24"/>
        </w:rPr>
        <w:t xml:space="preserve">5.2.6  Teamwork and Learning from Colleagues</w:t>
      </w:r>
    </w:p>
    <w:p>
      <w:pPr>
        <w:spacing w:before="0" w:after="140" w:line="360" w:lineRule="auto"/>
        <w:jc w:val="both"/>
      </w:pPr>
      <w:r>
        <w:t xml:space="preserve">Learned most processes through demonstration and correction by colleagues, particularly </w:t>
      </w:r>
      <w:r>
        <w:rPr>
          <w:b/>
        </w:rPr>
        <w:t xml:space="preserve">Ms. Aruna</w:t>
      </w:r>
      <w:r>
        <w:t xml:space="preserve">, whose guidance and support made independent working possible. Learned to work within a review structure, submitting work for verification and accepting correction as part of the process. Developed the confidence to ask questions early, report status honestly and hand over a file in a state another person can continue.</w:t>
      </w:r>
    </w:p>
    <w:p>
      <w:pPr>
        <w:keepNext/>
        <w:keepLines/>
        <w:spacing w:before="180" w:after="100" w:line="360" w:lineRule="auto"/>
        <w:jc w:val="left"/>
      </w:pPr>
      <w:r>
        <w:rPr>
          <w:b/>
          <w:sz w:val="24"/>
          <w:szCs w:val="24"/>
        </w:rPr>
        <w:t xml:space="preserve">5.2.7  Working to External Deadlines</w:t>
      </w:r>
    </w:p>
    <w:p>
      <w:pPr>
        <w:spacing w:before="0" w:after="140" w:line="360" w:lineRule="auto"/>
        <w:jc w:val="both"/>
      </w:pPr>
      <w:r>
        <w:t xml:space="preserve">Learned that a statutory due date is not a target but a fixed constraint, and that the whole rhythm of a practice is built backwards from it. Understood that planning in compliance work means sequencing clients so that the files needing clarification are opened first, because those are the ones that will wait on somebody else. Experienced the difference between an academic deadline, which can be negotiated or absorbed, and a filing date, which carries interest and penalty for the client if it is missed.</w:t>
      </w:r>
    </w:p>
    <w:p>
      <w:pPr>
        <w:keepNext/>
        <w:keepLines/>
        <w:spacing w:before="180" w:after="100" w:line="360" w:lineRule="auto"/>
        <w:jc w:val="left"/>
      </w:pPr>
      <w:r>
        <w:rPr>
          <w:b/>
          <w:sz w:val="24"/>
          <w:szCs w:val="24"/>
        </w:rPr>
        <w:t xml:space="preserve">5.2.8  The Value of Review</w:t>
      </w:r>
    </w:p>
    <w:p>
      <w:pPr>
        <w:spacing w:before="0" w:after="140" w:line="360" w:lineRule="auto"/>
        <w:jc w:val="both"/>
      </w:pPr>
      <w:r>
        <w:t xml:space="preserve">Understood that review is the mechanism by which a professional firm transfers judgement, and that almost everything I learned about classification came from corrections rather than from instruction. Learned to read a returned working paper properly, looking for the principle behind a correction rather than just the changed figure. Came to treat my own work as a draft for somebody else to rely on, which changed how carefully I checked it before submission.</w:t>
      </w:r>
    </w:p>
    <w:p>
      <w:pPr>
        <w:keepNext/>
        <w:keepLines/>
        <w:spacing w:before="180" w:after="100" w:line="360" w:lineRule="auto"/>
        <w:jc w:val="left"/>
      </w:pPr>
      <w:r>
        <w:rPr>
          <w:b/>
          <w:sz w:val="24"/>
          <w:szCs w:val="24"/>
        </w:rPr>
        <w:t xml:space="preserve">5.2.9  Professional Conduct and Confidentiality</w:t>
      </w:r>
    </w:p>
    <w:p>
      <w:pPr>
        <w:spacing w:before="0" w:after="140" w:line="360" w:lineRule="auto"/>
        <w:jc w:val="both"/>
      </w:pPr>
      <w:r>
        <w:t xml:space="preserve">Learned that access to a client’s statutory records carries obligations that no academic exercise imposes, and that confidentiality is a condition of the work rather than a policy attached to it. Understood that a trainee does not give a client an opinion, because any answer from inside the firm is taken as the firm’s answer. Came to see that the value of a practice rests on trust, and that any member of it can damage that trust.</w:t>
      </w:r>
    </w:p>
    <w:p>
      <w:pPr>
        <w:keepNext/>
        <w:keepLines/>
        <w:spacing w:before="240" w:after="120" w:line="360" w:lineRule="auto"/>
        <w:jc w:val="left"/>
      </w:pPr>
      <w:r>
        <w:rPr>
          <w:b/>
          <w:sz w:val="28"/>
          <w:szCs w:val="28"/>
        </w:rPr>
        <w:t xml:space="preserve">5.3  LIMITATIONS OF THE INTERNSHIP EXPERIENCE</w:t>
      </w:r>
    </w:p>
    <w:p>
      <w:pPr>
        <w:spacing w:before="0" w:after="140" w:line="360" w:lineRule="auto"/>
        <w:jc w:val="both"/>
      </w:pPr>
      <w:r>
        <w:t xml:space="preserve">An honest summary has to record what the internship did not cover. Ten weeks in a single practice gives depth in the work of one compliance season rather than a complete view of the profession, and several parts of a chartered accountant’s year fell outside the period entirely.</w:t>
      </w:r>
    </w:p>
    <w:p>
      <w:pPr>
        <w:spacing w:before="0" w:after="140" w:line="360" w:lineRule="auto"/>
        <w:jc w:val="both"/>
      </w:pPr>
      <w:r>
        <w:t xml:space="preserve">The internship coincided with the return filing season, so the work I saw was weighted heavily towards compliance. I did not see a statutory audit carried out from planning through to opinion, and my involvement in audit was confined to documentation and to reconciling books with returns. Assessment proceedings, scrutiny notices, appeals and representation before the authorities are a substantial part of the firm’s litigation support practice, and although I heard these matters discussed I did not work on them.</w:t>
      </w:r>
    </w:p>
    <w:p>
      <w:pPr>
        <w:spacing w:before="0" w:after="140" w:line="360" w:lineRule="auto"/>
        <w:jc w:val="both"/>
      </w:pPr>
      <w:r>
        <w:t xml:space="preserve">Finally, client confidentiality properly restricted what I could see. Certain files were not opened to an intern, some figures were shown to me only in aggregate, and I did not sit in on the meetings at which sensitive client positions were settled. These limits are appropriate rather than regrettable, but they do mean that this report describes the work of a trainee on supervised tasks and not the full professional judgement exercised above me.</w:t>
      </w:r>
    </w:p>
    <w:p>
      <w:pPr>
        <w:keepNext/>
        <w:keepLines/>
        <w:spacing w:before="240" w:after="120" w:line="360" w:lineRule="auto"/>
        <w:jc w:val="left"/>
      </w:pPr>
      <w:r>
        <w:rPr>
          <w:b/>
          <w:sz w:val="28"/>
          <w:szCs w:val="28"/>
        </w:rPr>
        <w:t xml:space="preserve">5.4  RECOMMENDATIONS</w:t>
      </w:r>
    </w:p>
    <w:p>
      <w:pPr>
        <w:keepNext/>
        <w:keepLines/>
        <w:spacing w:before="180" w:after="100" w:line="360" w:lineRule="auto"/>
        <w:jc w:val="left"/>
      </w:pPr>
      <w:r>
        <w:rPr>
          <w:b/>
          <w:sz w:val="24"/>
          <w:szCs w:val="24"/>
        </w:rPr>
        <w:t xml:space="preserve">5.4.1  Suggestions to the Organisation</w:t>
      </w:r>
    </w:p>
    <w:p>
      <w:pPr>
        <w:spacing w:before="0" w:after="140" w:line="360" w:lineRule="auto"/>
        <w:jc w:val="both"/>
      </w:pPr>
      <w:r>
        <w:t xml:space="preserve">The following are offered respectfully and as observations from a trainee’s position. They are not criticisms of a practice that trained me well, and any of them would need to fit the firm’s existing way of working.</w:t>
      </w:r>
    </w:p>
    <w:p>
      <w:pPr>
        <w:numPr>
          <w:ilvl w:val="0"/>
          <w:numId w:val="1"/>
        </w:numPr>
        <w:spacing w:before="0" w:after="80" w:line="360" w:lineRule="auto"/>
        <w:jc w:val="both"/>
      </w:pPr>
      <w:r>
        <w:t xml:space="preserve">A short written note on the firm’s conventions in Winman CA-ERP and Tally, covering ledger naming, grouping and the treatment of recurring items, would let a new trainee reach useful output faster than learning those conventions by correction.</w:t>
      </w:r>
    </w:p>
    <w:p>
      <w:pPr>
        <w:numPr>
          <w:ilvl w:val="0"/>
          <w:numId w:val="1"/>
        </w:numPr>
        <w:spacing w:before="0" w:after="80" w:line="360" w:lineRule="auto"/>
        <w:jc w:val="both"/>
      </w:pPr>
      <w:r>
        <w:t xml:space="preserve">A one-page classification checklist for bank statement analysis, listing the narration patterns that recur across clients and the treatment each ordinarily attracts, would reduce avoidable queries and make a trainee’s first attempt closer to final.</w:t>
      </w:r>
    </w:p>
    <w:p>
      <w:pPr>
        <w:numPr>
          <w:ilvl w:val="0"/>
          <w:numId w:val="1"/>
        </w:numPr>
        <w:spacing w:before="0" w:after="80" w:line="360" w:lineRule="auto"/>
        <w:jc w:val="both"/>
      </w:pPr>
      <w:r>
        <w:t xml:space="preserve">Recording the reason for an unusual classification directly against the working paper, rather than settling it verbally, would make the file easier to defend if the position is questioned months later.</w:t>
      </w:r>
    </w:p>
    <w:p>
      <w:pPr>
        <w:numPr>
          <w:ilvl w:val="0"/>
          <w:numId w:val="1"/>
        </w:numPr>
        <w:spacing w:before="0" w:after="80" w:line="360" w:lineRule="auto"/>
        <w:jc w:val="both"/>
      </w:pPr>
      <w:r>
        <w:t xml:space="preserve">A brief mid-internship review, in addition to the review of each piece of work, would let a trainee correct habits earlier than the final weeks.</w:t>
      </w:r>
    </w:p>
    <w:p>
      <w:pPr>
        <w:spacing w:before="0" w:after="60" w:line="120" w:lineRule="auto"/>
      </w:pPr>
    </w:p>
    <w:p>
      <w:pPr>
        <w:keepNext/>
        <w:keepLines/>
        <w:spacing w:before="180" w:after="100" w:line="360" w:lineRule="auto"/>
        <w:jc w:val="left"/>
      </w:pPr>
      <w:r>
        <w:rPr>
          <w:b/>
          <w:sz w:val="24"/>
          <w:szCs w:val="24"/>
        </w:rPr>
        <w:t xml:space="preserve">5.4.2  Suggestions for Future Interns</w:t>
      </w:r>
    </w:p>
    <w:p>
      <w:pPr>
        <w:spacing w:before="0" w:after="140" w:line="360" w:lineRule="auto"/>
        <w:jc w:val="both"/>
      </w:pPr>
      <w:r>
        <w:t xml:space="preserve">For a student about to undertake a similar internship, four things would have helped me had I known them at the start.</w:t>
      </w:r>
    </w:p>
    <w:p>
      <w:pPr>
        <w:numPr>
          <w:ilvl w:val="0"/>
          <w:numId w:val="1"/>
        </w:numPr>
        <w:spacing w:before="0" w:after="80" w:line="360" w:lineRule="auto"/>
        <w:jc w:val="both"/>
      </w:pPr>
      <w:r>
        <w:t xml:space="preserve">Learn the basics of Tally before arriving. Time spent on navigation in the first week is time not spent on understanding why an entry is classified as it is.</w:t>
      </w:r>
    </w:p>
    <w:p>
      <w:pPr>
        <w:numPr>
          <w:ilvl w:val="0"/>
          <w:numId w:val="1"/>
        </w:numPr>
        <w:spacing w:before="0" w:after="80" w:line="360" w:lineRule="auto"/>
        <w:jc w:val="both"/>
      </w:pPr>
      <w:r>
        <w:t xml:space="preserve">Keep a daily log of what was done, what was corrected and what remained unclear. Mine became the basis of this report, and it also made the weekly review conversations far more useful.</w:t>
      </w:r>
    </w:p>
    <w:p>
      <w:pPr>
        <w:numPr>
          <w:ilvl w:val="0"/>
          <w:numId w:val="1"/>
        </w:numPr>
        <w:spacing w:before="0" w:after="80" w:line="360" w:lineRule="auto"/>
        <w:jc w:val="both"/>
      </w:pPr>
      <w:r>
        <w:t xml:space="preserve">Never resolve an uncertain entry by assumption. Listing an item for clarification is treated as diligence; guessing at it and being wrong is not.</w:t>
      </w:r>
    </w:p>
    <w:p>
      <w:pPr>
        <w:numPr>
          <w:ilvl w:val="0"/>
          <w:numId w:val="1"/>
        </w:numPr>
        <w:spacing w:before="0" w:after="80" w:line="360" w:lineRule="auto"/>
        <w:jc w:val="both"/>
      </w:pPr>
      <w:r>
        <w:t xml:space="preserve">Read the review comments on returned work properly. Almost everything I learned about classification came from corrections rather than from instruction.</w:t>
      </w:r>
    </w:p>
    <w:p>
      <w:pPr>
        <w:spacing w:before="0" w:after="60" w:line="120" w:lineRule="auto"/>
      </w:pPr>
    </w:p>
    <w:p>
      <w:pPr>
        <w:keepNext/>
        <w:keepLines/>
        <w:spacing w:before="240" w:after="120" w:line="360" w:lineRule="auto"/>
        <w:jc w:val="left"/>
      </w:pPr>
      <w:r>
        <w:rPr>
          <w:b/>
          <w:sz w:val="28"/>
          <w:szCs w:val="28"/>
        </w:rPr>
        <w:t xml:space="preserve">5.5  PERSONAL REFLECTION</w:t>
      </w:r>
    </w:p>
    <w:p>
      <w:pPr>
        <w:spacing w:before="0" w:after="140" w:line="360" w:lineRule="auto"/>
        <w:jc w:val="both"/>
      </w:pPr>
      <w:r>
        <w:t xml:space="preserve">On a personal level the internship asked more of me than any academic term has. A daily commute of about two hours each way, followed by long hours at a screen on work where a transposition error has consequences, required a kind of stamina that coursework does not test. There were days in the first fortnight when I finished a set of statements and knew that my classifications would come back marked, and the only useful response was to read the corrections carefully and apply them the next morning.</w:t>
      </w:r>
    </w:p>
    <w:p>
      <w:pPr>
        <w:spacing w:before="0" w:after="140" w:line="360" w:lineRule="auto"/>
        <w:jc w:val="both"/>
      </w:pPr>
      <w:r>
        <w:t xml:space="preserve">What changed over the ten weeks was less my knowledge than my relationship to the work. I arrived treating each task as an exercise to be completed and left treating it as a file that someone else would have to rely on. That shift, from finishing work to being answerable for it, is the difference between a student and a trainee, and I can date it to about the fourth week, when I began checking my own figures before submitting rather than after being asked.</w:t>
      </w:r>
    </w:p>
    <w:p>
      <w:pPr>
        <w:keepNext/>
        <w:keepLines/>
        <w:spacing w:before="240" w:after="120" w:line="360" w:lineRule="auto"/>
        <w:jc w:val="left"/>
      </w:pPr>
      <w:r>
        <w:rPr>
          <w:b/>
          <w:sz w:val="28"/>
          <w:szCs w:val="28"/>
        </w:rPr>
        <w:t xml:space="preserve">5.6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w:t>
      </w:r>
      <w:r>
        <w:rPr>
          <w:b/>
        </w:rPr>
        <w:t xml:space="preserve">CA S. Ravi</w:t>
      </w:r>
      <w:r>
        <w:t xml:space="preserve"> for the opportunity, to </w:t>
      </w:r>
      <w:r>
        <w:rPr>
          <w:b/>
        </w:rPr>
        <w:t xml:space="preserve">Ms. A. Lakshmi</w:t>
      </w:r>
      <w:r>
        <w:t xml:space="preserve"> for her supervision and review, and to </w:t>
      </w:r>
      <w:r>
        <w:rPr>
          <w:b/>
        </w:rPr>
        <w:t xml:space="preserve">Ms. Aruna</w:t>
      </w:r>
      <w:r>
        <w:t xml:space="preserve">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numPr>
          <w:ilvl w:val="0"/>
          <w:numId w:val="1"/>
        </w:numPr>
        <w:spacing w:before="0" w:after="80" w:line="360" w:lineRule="auto"/>
        <w:jc w:val="left"/>
      </w:pPr>
      <w:r>
        <w:t xml:space="preserve">Institute of Chartered Accountants of India. (n.d.). Standards on Auditing and guidance for members in practice. Retrieved September 2026, from https://www.icai.org/</w:t>
      </w:r>
    </w:p>
    <w:p>
      <w:pPr>
        <w:numPr>
          <w:ilvl w:val="0"/>
          <w:numId w:val="1"/>
        </w:numPr>
        <w:spacing w:before="0" w:after="80" w:line="360" w:lineRule="auto"/>
        <w:jc w:val="left"/>
      </w:pPr>
      <w:r>
        <w:t xml:space="preserve">Income Tax Department, Government of India. (n.d.-c). Form 26AS, Annual Information Statement and Taxpayer Information Summary: taxpayer guidance. Retrieved September 2026, from https://www.incometax.gov.in/</w:t>
      </w:r>
    </w:p>
    <w:p>
      <w:pPr>
        <w:numPr>
          <w:ilvl w:val="0"/>
          <w:numId w:val="1"/>
        </w:numPr>
        <w:spacing w:before="0" w:after="80" w:line="360" w:lineRule="auto"/>
        <w:jc w:val="left"/>
      </w:pPr>
      <w:r>
        <w:t xml:space="preserve">Central Board of Direct Taxes. (n.d.). TRACES: consolidated file download and TDS statement correction guidance. Retrieved September 2026, from https://www.tdscpc.gov.in/</w:t>
      </w:r>
    </w:p>
    <w:p>
      <w:pPr>
        <w:numPr>
          <w:ilvl w:val="0"/>
          <w:numId w:val="1"/>
        </w:numPr>
        <w:spacing w:before="0" w:after="80" w:line="360" w:lineRule="auto"/>
        <w:jc w:val="left"/>
      </w:pPr>
      <w:r>
        <w:t xml:space="preserve">Goods and Services Tax Network. (n.d.-b). GSTR-2B: auto-drafted input tax credit statement, advisory and frequently asked questions. Retrieved September 2026, from https://www.gst.gov.in/</w:t>
      </w:r>
    </w:p>
    <w:p>
      <w:pPr>
        <w:numPr>
          <w:ilvl w:val="0"/>
          <w:numId w:val="1"/>
        </w:numPr>
        <w:spacing w:before="0" w:after="80" w:line="360" w:lineRule="auto"/>
        <w:jc w:val="left"/>
      </w:pPr>
      <w:r>
        <w:t xml:space="preserve">Winman Software India LLP. (n.d.-b). Winman TDS: return preparation, conso file import and correction statements. Retrieved September 2026, from https://www.winmansoftware.com/</w:t>
      </w:r>
    </w:p>
    <w:p>
      <w:pPr>
        <w:numPr>
          <w:ilvl w:val="0"/>
          <w:numId w:val="1"/>
        </w:numPr>
        <w:spacing w:before="0" w:after="80" w:line="360" w:lineRule="auto"/>
        <w:jc w:val="left"/>
      </w:pPr>
      <w:r>
        <w:t xml:space="preserve">S. Ravi &amp; Associates, Chartered Accountants. (2026, July 17). Internship completion certificate issued to the author.</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