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rPr>
          <w:b/>
        </w:rPr>
        <w:t xml:space="preserve">SUBMITTED BY</w:t>
      </w:r>
    </w:p>
    <w:p>
      <w:pPr>
        <w:spacing w:before="0" w:after="0" w:line="360" w:lineRule="auto"/>
      </w:pPr>
    </w:p>
    <w:p>
      <w:pPr>
        <w:spacing w:before="0" w:after="40" w:line="360" w:lineRule="auto"/>
        <w:jc w:val="center"/>
      </w:pPr>
      <w:r>
        <w:rPr>
          <w:b/>
        </w:rPr>
        <w:t xml:space="preserve">LINGESH K</w:t>
      </w:r>
    </w:p>
    <w:p>
      <w:pPr>
        <w:spacing w:before="0" w:after="40" w:line="360" w:lineRule="auto"/>
        <w:jc w:val="center"/>
      </w:pPr>
      <w:r>
        <w:rPr>
          <w:b/>
        </w:rP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86248"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INTERNSHIP CERTIFICATE</w:t>
      </w:r>
    </w:p>
    <w:p>
      <w:pPr>
        <w:spacing w:before="0" w:after="0" w:line="360" w:lineRule="auto"/>
      </w:pPr>
    </w:p>
    <w:p>
      <w:pPr>
        <w:spacing w:before="0" w:after="0" w:line="240" w:lineRule="auto"/>
        <w:jc w:val="center"/>
      </w:pPr>
      <w:r>
        <w:drawing>
          <wp:inline distT="0" distB="0" distL="0" distR="0">
            <wp:extent cx="5502910" cy="7337213"/>
            <wp:effectExtent l="0" t="0" r="0" b="0"/>
            <wp:docPr id="58821" name="Internship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ship Completion Certificate"/>
                    <pic:cNvPicPr/>
                  </pic:nvPicPr>
                  <pic:blipFill>
                    <a:blip r:embed="rIdImg2"/>
                    <a:stretch>
                      <a:fillRect/>
                    </a:stretch>
                  </pic:blipFill>
                  <pic:spPr>
                    <a:xfrm>
                      <a:off x="0" y="0"/>
                      <a:ext cx="5502910" cy="7337213"/>
                    </a:xfrm>
                    <a:prstGeom prst="rect">
                      <a:avLst/>
                    </a:prstGeom>
                  </pic:spPr>
                </pic:pic>
              </a:graphicData>
            </a:graphic>
          </wp:inline>
        </w:drawing>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Mr. KATHIR 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083"/>
        <w:gridCol w:w="5416"/>
        <w:gridCol w:w="2166"/>
      </w:tblGrid>
      <w:tr>
        <w:trPr>
          <w:cantSplit/>
          <w:tblHeader/>
        </w:trPr>
        <w:tc>
          <w:tcPr>
            <w:tcW w:w="1083" w:type="dxa"/>
            <w:shd w:val="clear" w:color="auto" w:fill="D9D9D9"/>
            <w:vAlign w:val="center"/>
          </w:tcPr>
          <w:p>
            <w:pPr>
              <w:spacing w:before="20" w:after="20" w:line="240" w:lineRule="auto"/>
              <w:jc w:val="center"/>
            </w:pPr>
            <w:r>
              <w:rPr>
                <w:b/>
                <w:sz w:val="22"/>
                <w:szCs w:val="22"/>
              </w:rPr>
              <w:t xml:space="preserve">SL.NO</w:t>
            </w:r>
          </w:p>
        </w:tc>
        <w:tc>
          <w:tcPr>
            <w:tcW w:w="5416" w:type="dxa"/>
            <w:shd w:val="clear" w:color="auto" w:fill="D9D9D9"/>
            <w:vAlign w:val="center"/>
          </w:tcPr>
          <w:p>
            <w:pPr>
              <w:spacing w:before="20" w:after="20" w:line="240" w:lineRule="auto"/>
              <w:jc w:val="center"/>
            </w:pPr>
            <w:r>
              <w:rPr>
                <w:b/>
                <w:sz w:val="22"/>
                <w:szCs w:val="22"/>
              </w:rPr>
              <w:t xml:space="preserve">CHAPTER</w:t>
            </w:r>
          </w:p>
        </w:tc>
        <w:tc>
          <w:tcPr>
            <w:tcW w:w="2166" w:type="dxa"/>
            <w:shd w:val="clear" w:color="auto" w:fill="D9D9D9"/>
            <w:vAlign w:val="center"/>
          </w:tcPr>
          <w:p>
            <w:pPr>
              <w:spacing w:before="20" w:after="20" w:line="240" w:lineRule="auto"/>
              <w:jc w:val="center"/>
            </w:pPr>
            <w:r>
              <w:rPr>
                <w:b/>
                <w:sz w:val="22"/>
                <w:szCs w:val="22"/>
              </w:rPr>
              <w:t xml:space="preserve">PAGE NO.</w:t>
            </w:r>
          </w:p>
        </w:tc>
      </w:tr>
      <w:tr>
        <w:trPr>
          <w:cantSplit/>
        </w:trPr>
        <w:tc>
          <w:tcPr>
            <w:tcW w:w="1083" w:type="dxa"/>
            <w:vAlign w:val="center"/>
          </w:tcPr>
          <w:p>
            <w:pPr>
              <w:spacing w:before="20" w:after="20" w:line="240" w:lineRule="auto"/>
              <w:jc w:val="left"/>
            </w:pPr>
            <w:r>
              <w:rPr>
                <w:sz w:val="22"/>
                <w:szCs w:val="22"/>
              </w:rPr>
              <w:t xml:space="preserve">1</w:t>
            </w:r>
          </w:p>
        </w:tc>
        <w:tc>
          <w:tcPr>
            <w:tcW w:w="5416" w:type="dxa"/>
            <w:vAlign w:val="center"/>
          </w:tcPr>
          <w:p>
            <w:pPr>
              <w:spacing w:before="20" w:after="20" w:line="240" w:lineRule="auto"/>
              <w:jc w:val="left"/>
            </w:pPr>
            <w:r>
              <w:rPr>
                <w:sz w:val="22"/>
                <w:szCs w:val="22"/>
              </w:rPr>
              <w:t xml:space="preserve">INDUSTRY AND COMPANY OVERVIEW</w:t>
            </w:r>
          </w:p>
        </w:tc>
        <w:tc>
          <w:tcPr>
            <w:tcW w:w="2166" w:type="dxa"/>
            <w:vAlign w:val="center"/>
          </w:tcPr>
          <w:p>
            <w:pPr>
              <w:spacing w:before="20" w:after="20" w:line="240" w:lineRule="auto"/>
              <w:jc w:val="left"/>
            </w:pPr>
            <w:fldSimple w:instr=" PAGEREF ch1_start \h ">
              <w:r>
                <w:rPr>
                  <w:noProof/>
                </w:rPr>
                <w:t>1</w:t>
              </w:r>
            </w:fldSimple>
            <w:r>
              <w:rPr>
                <w:sz w:val="22"/>
                <w:szCs w:val="22"/>
              </w:rPr>
              <w:t xml:space="preserve"> - </w:t>
            </w:r>
            <w:fldSimple w:instr=" PAGEREF ch1_end \h ">
              <w:r>
                <w:rPr>
                  <w:noProof/>
                </w:rPr>
                <w:t>10</w:t>
              </w:r>
            </w:fldSimple>
          </w:p>
        </w:tc>
      </w:tr>
      <w:tr>
        <w:trPr>
          <w:cantSplit/>
        </w:trPr>
        <w:tc>
          <w:tcPr>
            <w:tcW w:w="1083" w:type="dxa"/>
            <w:vAlign w:val="center"/>
          </w:tcPr>
          <w:p>
            <w:pPr>
              <w:spacing w:before="20" w:after="20" w:line="240" w:lineRule="auto"/>
              <w:jc w:val="left"/>
            </w:pPr>
            <w:r>
              <w:rPr>
                <w:sz w:val="22"/>
                <w:szCs w:val="22"/>
              </w:rPr>
              <w:t xml:space="preserve">2</w:t>
            </w:r>
          </w:p>
        </w:tc>
        <w:tc>
          <w:tcPr>
            <w:tcW w:w="5416" w:type="dxa"/>
            <w:vAlign w:val="center"/>
          </w:tcPr>
          <w:p>
            <w:pPr>
              <w:spacing w:before="20" w:after="20" w:line="240" w:lineRule="auto"/>
              <w:jc w:val="left"/>
            </w:pPr>
            <w:r>
              <w:rPr>
                <w:sz w:val="22"/>
                <w:szCs w:val="22"/>
              </w:rPr>
              <w:t xml:space="preserve">JOB / TASK DESCRIPTION</w:t>
            </w:r>
          </w:p>
        </w:tc>
        <w:tc>
          <w:tcPr>
            <w:tcW w:w="2166" w:type="dxa"/>
            <w:vAlign w:val="center"/>
          </w:tcPr>
          <w:p>
            <w:pPr>
              <w:spacing w:before="20" w:after="20" w:line="240" w:lineRule="auto"/>
              <w:jc w:val="left"/>
            </w:pPr>
            <w:fldSimple w:instr=" PAGEREF ch2_start \h ">
              <w:r>
                <w:rPr>
                  <w:noProof/>
                </w:rPr>
                <w:t>11</w:t>
              </w:r>
            </w:fldSimple>
            <w:r>
              <w:rPr>
                <w:sz w:val="22"/>
                <w:szCs w:val="22"/>
              </w:rPr>
              <w:t xml:space="preserve"> - </w:t>
            </w:r>
            <w:fldSimple w:instr=" PAGEREF ch2_end \h ">
              <w:r>
                <w:rPr>
                  <w:noProof/>
                </w:rPr>
                <w:t>23</w:t>
              </w:r>
            </w:fldSimple>
          </w:p>
        </w:tc>
      </w:tr>
      <w:tr>
        <w:trPr>
          <w:cantSplit/>
        </w:trPr>
        <w:tc>
          <w:tcPr>
            <w:tcW w:w="1083" w:type="dxa"/>
            <w:vAlign w:val="center"/>
          </w:tcPr>
          <w:p>
            <w:pPr>
              <w:spacing w:before="20" w:after="20" w:line="240" w:lineRule="auto"/>
              <w:jc w:val="left"/>
            </w:pPr>
            <w:r>
              <w:rPr>
                <w:sz w:val="22"/>
                <w:szCs w:val="22"/>
              </w:rPr>
              <w:t xml:space="preserve">3</w:t>
            </w:r>
          </w:p>
        </w:tc>
        <w:tc>
          <w:tcPr>
            <w:tcW w:w="5416" w:type="dxa"/>
            <w:vAlign w:val="center"/>
          </w:tcPr>
          <w:p>
            <w:pPr>
              <w:spacing w:before="20" w:after="20" w:line="240" w:lineRule="auto"/>
              <w:jc w:val="left"/>
            </w:pPr>
            <w:r>
              <w:rPr>
                <w:sz w:val="22"/>
                <w:szCs w:val="22"/>
              </w:rPr>
              <w:t xml:space="preserve">ANALYSIS OF JOB PERFORMANCE</w:t>
            </w:r>
          </w:p>
        </w:tc>
        <w:tc>
          <w:tcPr>
            <w:tcW w:w="2166" w:type="dxa"/>
            <w:vAlign w:val="center"/>
          </w:tcPr>
          <w:p>
            <w:pPr>
              <w:spacing w:before="20" w:after="20" w:line="240" w:lineRule="auto"/>
              <w:jc w:val="left"/>
            </w:pPr>
            <w:fldSimple w:instr=" PAGEREF ch3_start \h ">
              <w:r>
                <w:rPr>
                  <w:noProof/>
                </w:rPr>
                <w:t>24</w:t>
              </w:r>
            </w:fldSimple>
            <w:r>
              <w:rPr>
                <w:sz w:val="22"/>
                <w:szCs w:val="22"/>
              </w:rPr>
              <w:t xml:space="preserve"> - </w:t>
            </w:r>
            <w:fldSimple w:instr=" PAGEREF ch3_end \h ">
              <w:r>
                <w:rPr>
                  <w:noProof/>
                </w:rPr>
                <w:t>28</w:t>
              </w:r>
            </w:fldSimple>
          </w:p>
        </w:tc>
      </w:tr>
      <w:tr>
        <w:trPr>
          <w:cantSplit/>
        </w:trPr>
        <w:tc>
          <w:tcPr>
            <w:tcW w:w="1083" w:type="dxa"/>
            <w:vAlign w:val="center"/>
          </w:tcPr>
          <w:p>
            <w:pPr>
              <w:spacing w:before="20" w:after="20" w:line="240" w:lineRule="auto"/>
              <w:jc w:val="left"/>
            </w:pPr>
            <w:r>
              <w:rPr>
                <w:sz w:val="22"/>
                <w:szCs w:val="22"/>
              </w:rPr>
              <w:t xml:space="preserve">4</w:t>
            </w:r>
          </w:p>
        </w:tc>
        <w:tc>
          <w:tcPr>
            <w:tcW w:w="5416" w:type="dxa"/>
            <w:vAlign w:val="center"/>
          </w:tcPr>
          <w:p>
            <w:pPr>
              <w:spacing w:before="20" w:after="20" w:line="240" w:lineRule="auto"/>
              <w:jc w:val="left"/>
            </w:pPr>
            <w:r>
              <w:rPr>
                <w:sz w:val="22"/>
                <w:szCs w:val="22"/>
              </w:rPr>
              <w:t xml:space="preserve">LEARNING OUTCOMES</w:t>
            </w:r>
          </w:p>
        </w:tc>
        <w:tc>
          <w:tcPr>
            <w:tcW w:w="2166" w:type="dxa"/>
            <w:vAlign w:val="center"/>
          </w:tcPr>
          <w:p>
            <w:pPr>
              <w:spacing w:before="20" w:after="20" w:line="240" w:lineRule="auto"/>
              <w:jc w:val="left"/>
            </w:pPr>
            <w:fldSimple w:instr=" PAGEREF ch4_start \h ">
              <w:r>
                <w:rPr>
                  <w:noProof/>
                </w:rPr>
                <w:t>29</w:t>
              </w:r>
            </w:fldSimple>
            <w:r>
              <w:rPr>
                <w:sz w:val="22"/>
                <w:szCs w:val="22"/>
              </w:rPr>
              <w:t xml:space="preserve"> - </w:t>
            </w:r>
            <w:fldSimple w:instr=" PAGEREF ch4_end \h ">
              <w:r>
                <w:rPr>
                  <w:noProof/>
                </w:rPr>
                <w:t>33</w:t>
              </w:r>
            </w:fldSimple>
          </w:p>
        </w:tc>
      </w:tr>
      <w:tr>
        <w:trPr>
          <w:cantSplit/>
        </w:trPr>
        <w:tc>
          <w:tcPr>
            <w:tcW w:w="1083" w:type="dxa"/>
            <w:vAlign w:val="center"/>
          </w:tcPr>
          <w:p>
            <w:pPr>
              <w:spacing w:before="20" w:after="20" w:line="240" w:lineRule="auto"/>
              <w:jc w:val="left"/>
            </w:pPr>
            <w:r>
              <w:rPr>
                <w:sz w:val="22"/>
                <w:szCs w:val="22"/>
              </w:rPr>
              <w:t xml:space="preserve">5</w:t>
            </w:r>
          </w:p>
        </w:tc>
        <w:tc>
          <w:tcPr>
            <w:tcW w:w="5416" w:type="dxa"/>
            <w:vAlign w:val="center"/>
          </w:tcPr>
          <w:p>
            <w:pPr>
              <w:spacing w:before="20" w:after="20" w:line="240" w:lineRule="auto"/>
              <w:jc w:val="left"/>
            </w:pPr>
            <w:r>
              <w:rPr>
                <w:sz w:val="22"/>
                <w:szCs w:val="22"/>
              </w:rPr>
              <w:t xml:space="preserve">SUMMARY AND CONCLUSION</w:t>
            </w:r>
          </w:p>
        </w:tc>
        <w:tc>
          <w:tcPr>
            <w:tcW w:w="2166" w:type="dxa"/>
            <w:vAlign w:val="center"/>
          </w:tcPr>
          <w:p>
            <w:pPr>
              <w:spacing w:before="20" w:after="20" w:line="240" w:lineRule="auto"/>
              <w:jc w:val="left"/>
            </w:pPr>
            <w:fldSimple w:instr=" PAGEREF ch5_start \h ">
              <w:r>
                <w:rPr>
                  <w:noProof/>
                </w:rPr>
                <w:t>34</w:t>
              </w:r>
            </w:fldSimple>
            <w:r>
              <w:rPr>
                <w:sz w:val="22"/>
                <w:szCs w:val="22"/>
              </w:rPr>
              <w:t xml:space="preserve"> - </w:t>
            </w:r>
            <w:fldSimple w:instr=" PAGEREF ch5_end \h ">
              <w:r>
                <w:rPr>
                  <w:noProof/>
                </w:rPr>
                <w:t>38</w:t>
              </w:r>
            </w:fldSimple>
          </w:p>
        </w:tc>
      </w:tr>
      <w:tr>
        <w:trPr>
          <w:cantSplit/>
        </w:trPr>
        <w:tc>
          <w:tcPr>
            <w:tcW w:w="1083" w:type="dxa"/>
            <w:vAlign w:val="center"/>
          </w:tcPr>
          <w:p>
            <w:pPr>
              <w:spacing w:before="20" w:after="20" w:line="240" w:lineRule="auto"/>
              <w:jc w:val="left"/>
            </w:pPr>
            <w:r>
              <w:rPr>
                <w:sz w:val="22"/>
                <w:szCs w:val="22"/>
              </w:rPr>
              <w:t xml:space="preserve">6</w:t>
            </w:r>
          </w:p>
        </w:tc>
        <w:tc>
          <w:tcPr>
            <w:tcW w:w="5416" w:type="dxa"/>
            <w:vAlign w:val="center"/>
          </w:tcPr>
          <w:p>
            <w:pPr>
              <w:spacing w:before="20" w:after="20" w:line="240" w:lineRule="auto"/>
              <w:jc w:val="left"/>
            </w:pPr>
            <w:r>
              <w:rPr>
                <w:sz w:val="22"/>
                <w:szCs w:val="22"/>
              </w:rPr>
              <w:t xml:space="preserve">REFERENCES</w:t>
            </w:r>
          </w:p>
        </w:tc>
        <w:tc>
          <w:tcPr>
            <w:tcW w:w="2166" w:type="dxa"/>
            <w:vAlign w:val="center"/>
          </w:tcPr>
          <w:p>
            <w:pPr>
              <w:spacing w:before="20" w:after="20" w:line="240" w:lineRule="auto"/>
              <w:jc w:val="left"/>
            </w:pPr>
            <w:fldSimple w:instr=" PAGEREF ch6_start \h ">
              <w:r>
                <w:rPr>
                  <w:noProof/>
                </w:rPr>
                <w:t>39</w:t>
              </w:r>
            </w:fldSimple>
            <w:r>
              <w:rPr>
                <w:sz w:val="22"/>
                <w:szCs w:val="22"/>
              </w:rPr>
              <w:t xml:space="preserve"> - </w:t>
            </w:r>
            <w:fldSimple w:instr=" PAGEREF ch6_end \h ">
              <w:r>
                <w:rPr>
                  <w:noProof/>
                </w:rPr>
                <w:t>41</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LANDSCAPE</w:t>
      </w:r>
    </w:p>
    <w:p>
      <w:pPr>
        <w:spacing w:before="0" w:after="140" w:line="360" w:lineRule="auto"/>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6"/>
          <w:szCs w:val="26"/>
        </w:rPr>
        <w:t xml:space="preserve">1.2  THE INDIAN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6"/>
          <w:szCs w:val="26"/>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2"/>
                <w:szCs w:val="22"/>
              </w:rPr>
              <w:t xml:space="preserve">Service Line</w:t>
            </w:r>
          </w:p>
        </w:tc>
        <w:tc>
          <w:tcPr>
            <w:tcW w:w="3851" w:type="dxa"/>
            <w:shd w:val="clear" w:color="auto" w:fill="D9D9D9"/>
            <w:vAlign w:val="center"/>
          </w:tcPr>
          <w:p>
            <w:pPr>
              <w:spacing w:before="20" w:after="20" w:line="240" w:lineRule="auto"/>
              <w:jc w:val="center"/>
            </w:pPr>
            <w:r>
              <w:rPr>
                <w:b/>
                <w:sz w:val="22"/>
                <w:szCs w:val="22"/>
              </w:rPr>
              <w:t xml:space="preserve">Nature of Work</w:t>
            </w:r>
          </w:p>
        </w:tc>
        <w:tc>
          <w:tcPr>
            <w:tcW w:w="2888" w:type="dxa"/>
            <w:shd w:val="clear" w:color="auto" w:fill="D9D9D9"/>
            <w:vAlign w:val="center"/>
          </w:tcPr>
          <w:p>
            <w:pPr>
              <w:spacing w:before="20" w:after="20" w:line="240" w:lineRule="auto"/>
              <w:jc w:val="center"/>
            </w:pPr>
            <w:r>
              <w:rPr>
                <w:b/>
                <w:sz w:val="22"/>
                <w:szCs w:val="22"/>
              </w:rPr>
              <w:t xml:space="preserve">Typical Deliverable</w:t>
            </w:r>
          </w:p>
        </w:tc>
      </w:tr>
      <w:tr>
        <w:trPr>
          <w:cantSplit/>
        </w:trPr>
        <w:tc>
          <w:tcPr>
            <w:tcW w:w="1925" w:type="dxa"/>
            <w:vAlign w:val="center"/>
          </w:tcPr>
          <w:p>
            <w:pPr>
              <w:spacing w:before="20" w:after="20" w:line="240" w:lineRule="auto"/>
              <w:jc w:val="left"/>
            </w:pPr>
            <w:r>
              <w:rPr>
                <w:sz w:val="22"/>
                <w:szCs w:val="22"/>
              </w:rPr>
              <w:t xml:space="preserve">Audit and Assurance</w:t>
            </w:r>
          </w:p>
        </w:tc>
        <w:tc>
          <w:tcPr>
            <w:tcW w:w="3851" w:type="dxa"/>
            <w:vAlign w:val="center"/>
          </w:tcPr>
          <w:p>
            <w:pPr>
              <w:spacing w:before="20" w:after="20" w:line="240" w:lineRule="auto"/>
              <w:jc w:val="left"/>
            </w:pPr>
            <w:r>
              <w:rPr>
                <w:sz w:val="22"/>
                <w:szCs w:val="22"/>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2"/>
                <w:szCs w:val="22"/>
              </w:rPr>
              <w:t xml:space="preserve">Audit working papers, audit report, Form 3CA/3CB-3CD</w:t>
            </w:r>
          </w:p>
        </w:tc>
      </w:tr>
      <w:tr>
        <w:trPr>
          <w:cantSplit/>
        </w:trPr>
        <w:tc>
          <w:tcPr>
            <w:tcW w:w="1925" w:type="dxa"/>
            <w:vAlign w:val="center"/>
          </w:tcPr>
          <w:p>
            <w:pPr>
              <w:spacing w:before="20" w:after="20" w:line="240" w:lineRule="auto"/>
              <w:jc w:val="left"/>
            </w:pPr>
            <w:r>
              <w:rPr>
                <w:sz w:val="22"/>
                <w:szCs w:val="22"/>
              </w:rPr>
              <w:t xml:space="preserve">Direct Taxation</w:t>
            </w:r>
          </w:p>
        </w:tc>
        <w:tc>
          <w:tcPr>
            <w:tcW w:w="3851" w:type="dxa"/>
            <w:vAlign w:val="center"/>
          </w:tcPr>
          <w:p>
            <w:pPr>
              <w:spacing w:before="20" w:after="20" w:line="240" w:lineRule="auto"/>
              <w:jc w:val="left"/>
            </w:pPr>
            <w:r>
              <w:rPr>
                <w:sz w:val="22"/>
                <w:szCs w:val="22"/>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2"/>
                <w:szCs w:val="22"/>
              </w:rPr>
              <w:t xml:space="preserve">Statement of Total Income, ITR acknowledgement, TDS returns</w:t>
            </w:r>
          </w:p>
        </w:tc>
      </w:tr>
      <w:tr>
        <w:trPr>
          <w:cantSplit/>
        </w:trPr>
        <w:tc>
          <w:tcPr>
            <w:tcW w:w="1925" w:type="dxa"/>
            <w:vAlign w:val="center"/>
          </w:tcPr>
          <w:p>
            <w:pPr>
              <w:spacing w:before="20" w:after="20" w:line="240" w:lineRule="auto"/>
              <w:jc w:val="left"/>
            </w:pPr>
            <w:r>
              <w:rPr>
                <w:sz w:val="22"/>
                <w:szCs w:val="22"/>
              </w:rPr>
              <w:t xml:space="preserve">Indirect Taxation (GST)</w:t>
            </w:r>
          </w:p>
        </w:tc>
        <w:tc>
          <w:tcPr>
            <w:tcW w:w="3851" w:type="dxa"/>
            <w:vAlign w:val="center"/>
          </w:tcPr>
          <w:p>
            <w:pPr>
              <w:spacing w:before="20" w:after="20" w:line="240" w:lineRule="auto"/>
              <w:jc w:val="left"/>
            </w:pPr>
            <w:r>
              <w:rPr>
                <w:sz w:val="22"/>
                <w:szCs w:val="22"/>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2"/>
                <w:szCs w:val="22"/>
              </w:rPr>
              <w:t xml:space="preserve">GSTR-1, GSTR-3B, reconciliation statements</w:t>
            </w:r>
          </w:p>
        </w:tc>
      </w:tr>
      <w:tr>
        <w:trPr>
          <w:cantSplit/>
        </w:trPr>
        <w:tc>
          <w:tcPr>
            <w:tcW w:w="1925" w:type="dxa"/>
            <w:vAlign w:val="center"/>
          </w:tcPr>
          <w:p>
            <w:pPr>
              <w:spacing w:before="20" w:after="20" w:line="240" w:lineRule="auto"/>
              <w:jc w:val="left"/>
            </w:pPr>
            <w:r>
              <w:rPr>
                <w:sz w:val="22"/>
                <w:szCs w:val="22"/>
              </w:rPr>
              <w:t xml:space="preserve">Advisory and Litigation Support</w:t>
            </w:r>
          </w:p>
        </w:tc>
        <w:tc>
          <w:tcPr>
            <w:tcW w:w="3851" w:type="dxa"/>
            <w:vAlign w:val="center"/>
          </w:tcPr>
          <w:p>
            <w:pPr>
              <w:spacing w:before="20" w:after="20" w:line="240" w:lineRule="auto"/>
              <w:jc w:val="left"/>
            </w:pPr>
            <w:r>
              <w:rPr>
                <w:sz w:val="22"/>
                <w:szCs w:val="22"/>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2"/>
                <w:szCs w:val="22"/>
              </w:rPr>
              <w:t xml:space="preserve">Replies, submissions and advisory notes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 / Network</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Deloitte, PwC, EY and KPMG affiliates</w:t>
            </w:r>
          </w:p>
        </w:tc>
        <w:tc>
          <w:tcPr>
            <w:tcW w:w="3151" w:type="dxa"/>
            <w:vAlign w:val="center"/>
          </w:tcPr>
          <w:p>
            <w:pPr>
              <w:spacing w:before="20" w:after="20" w:line="240" w:lineRule="auto"/>
              <w:jc w:val="left"/>
            </w:pPr>
            <w:r>
              <w:rPr>
                <w:sz w:val="22"/>
                <w:szCs w:val="22"/>
              </w:rPr>
              <w:t xml:space="preserve">Statutory audit, assurance, tax and consulting</w:t>
            </w:r>
          </w:p>
        </w:tc>
        <w:tc>
          <w:tcPr>
            <w:tcW w:w="3151" w:type="dxa"/>
            <w:vAlign w:val="center"/>
          </w:tcPr>
          <w:p>
            <w:pPr>
              <w:spacing w:before="20" w:after="20" w:line="240" w:lineRule="auto"/>
              <w:jc w:val="left"/>
            </w:pPr>
            <w:r>
              <w:rPr>
                <w:sz w:val="22"/>
                <w:szCs w:val="22"/>
              </w:rPr>
              <w:t xml:space="preserve">Large corporates, listed entities and multinationals</w:t>
            </w:r>
          </w:p>
        </w:tc>
      </w:tr>
      <w:tr>
        <w:trPr>
          <w:cantSplit/>
        </w:trPr>
        <w:tc>
          <w:tcPr>
            <w:tcW w:w="2363" w:type="dxa"/>
            <w:vAlign w:val="center"/>
          </w:tcPr>
          <w:p>
            <w:pPr>
              <w:spacing w:before="20" w:after="20" w:line="240" w:lineRule="auto"/>
              <w:jc w:val="left"/>
            </w:pPr>
            <w:r>
              <w:rPr>
                <w:sz w:val="22"/>
                <w:szCs w:val="22"/>
              </w:rPr>
              <w:t xml:space="preserve">BDO India, Grant Thornton Bharat</w:t>
            </w:r>
          </w:p>
        </w:tc>
        <w:tc>
          <w:tcPr>
            <w:tcW w:w="3151" w:type="dxa"/>
            <w:vAlign w:val="center"/>
          </w:tcPr>
          <w:p>
            <w:pPr>
              <w:spacing w:before="20" w:after="20" w:line="240" w:lineRule="auto"/>
              <w:jc w:val="left"/>
            </w:pPr>
            <w:r>
              <w:rPr>
                <w:sz w:val="22"/>
                <w:szCs w:val="22"/>
              </w:rPr>
              <w:t xml:space="preserve">Audit, tax, risk advisory and transaction services</w:t>
            </w:r>
          </w:p>
        </w:tc>
        <w:tc>
          <w:tcPr>
            <w:tcW w:w="3151" w:type="dxa"/>
            <w:vAlign w:val="center"/>
          </w:tcPr>
          <w:p>
            <w:pPr>
              <w:spacing w:before="20" w:after="20" w:line="240" w:lineRule="auto"/>
              <w:jc w:val="left"/>
            </w:pPr>
            <w:r>
              <w:rPr>
                <w:sz w:val="22"/>
                <w:szCs w:val="22"/>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Brahmayya &amp; Co.</w:t>
            </w:r>
          </w:p>
        </w:tc>
        <w:tc>
          <w:tcPr>
            <w:tcW w:w="3151" w:type="dxa"/>
            <w:vAlign w:val="center"/>
          </w:tcPr>
          <w:p>
            <w:pPr>
              <w:spacing w:before="20" w:after="20" w:line="240" w:lineRule="auto"/>
              <w:jc w:val="left"/>
            </w:pPr>
            <w:r>
              <w:rPr>
                <w:sz w:val="22"/>
                <w:szCs w:val="22"/>
              </w:rPr>
              <w:t xml:space="preserve">Audit, taxation and management consultancy</w:t>
            </w:r>
          </w:p>
        </w:tc>
        <w:tc>
          <w:tcPr>
            <w:tcW w:w="3151" w:type="dxa"/>
            <w:vAlign w:val="center"/>
          </w:tcPr>
          <w:p>
            <w:pPr>
              <w:spacing w:before="20" w:after="20" w:line="240" w:lineRule="auto"/>
              <w:jc w:val="left"/>
            </w:pPr>
            <w:r>
              <w:rPr>
                <w:sz w:val="22"/>
                <w:szCs w:val="22"/>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2"/>
                <w:szCs w:val="22"/>
              </w:rPr>
              <w:t xml:space="preserve">PKF Sridhar &amp; Santhanam LLP</w:t>
            </w:r>
          </w:p>
        </w:tc>
        <w:tc>
          <w:tcPr>
            <w:tcW w:w="3151" w:type="dxa"/>
            <w:vAlign w:val="center"/>
          </w:tcPr>
          <w:p>
            <w:pPr>
              <w:spacing w:before="20" w:after="20" w:line="240" w:lineRule="auto"/>
              <w:jc w:val="left"/>
            </w:pPr>
            <w:r>
              <w:rPr>
                <w:sz w:val="22"/>
                <w:szCs w:val="22"/>
              </w:rPr>
              <w:t xml:space="preserve">Audit and assurance, tax and advisory</w:t>
            </w:r>
          </w:p>
        </w:tc>
        <w:tc>
          <w:tcPr>
            <w:tcW w:w="3151" w:type="dxa"/>
            <w:vAlign w:val="center"/>
          </w:tcPr>
          <w:p>
            <w:pPr>
              <w:spacing w:before="20" w:after="20" w:line="240" w:lineRule="auto"/>
              <w:jc w:val="left"/>
            </w:pPr>
            <w:r>
              <w:rPr>
                <w:sz w:val="22"/>
                <w:szCs w:val="22"/>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2"/>
                <w:szCs w:val="22"/>
              </w:rPr>
              <w:t xml:space="preserve">Suri &amp; Co., R. Subramanian &amp; Co. and similar practices</w:t>
            </w:r>
          </w:p>
        </w:tc>
        <w:tc>
          <w:tcPr>
            <w:tcW w:w="3151" w:type="dxa"/>
            <w:vAlign w:val="center"/>
          </w:tcPr>
          <w:p>
            <w:pPr>
              <w:spacing w:before="20" w:after="20" w:line="240" w:lineRule="auto"/>
              <w:jc w:val="left"/>
            </w:pPr>
            <w:r>
              <w:rPr>
                <w:sz w:val="22"/>
                <w:szCs w:val="22"/>
              </w:rPr>
              <w:t xml:space="preserve">Statutory and tax audit, direct and indirect taxation</w:t>
            </w:r>
          </w:p>
        </w:tc>
        <w:tc>
          <w:tcPr>
            <w:tcW w:w="3151" w:type="dxa"/>
            <w:vAlign w:val="center"/>
          </w:tcPr>
          <w:p>
            <w:pPr>
              <w:spacing w:before="20" w:after="20" w:line="240" w:lineRule="auto"/>
              <w:jc w:val="left"/>
            </w:pPr>
            <w:r>
              <w:rPr>
                <w:sz w:val="22"/>
                <w:szCs w:val="22"/>
              </w:rPr>
              <w:t xml:space="preserve">Regional corporate and mid-market clients</w:t>
            </w:r>
          </w:p>
        </w:tc>
      </w:tr>
      <w:tr>
        <w:trPr>
          <w:cantSplit/>
        </w:trPr>
        <w:tc>
          <w:tcPr>
            <w:tcW w:w="2363" w:type="dxa"/>
            <w:vAlign w:val="center"/>
          </w:tcPr>
          <w:p>
            <w:pPr>
              <w:spacing w:before="20" w:after="20" w:line="240" w:lineRule="auto"/>
              <w:jc w:val="left"/>
            </w:pPr>
            <w:r>
              <w:rPr>
                <w:sz w:val="22"/>
                <w:szCs w:val="22"/>
              </w:rPr>
              <w:t xml:space="preserve">Local proprietary and small partnership firms</w:t>
            </w:r>
          </w:p>
        </w:tc>
        <w:tc>
          <w:tcPr>
            <w:tcW w:w="3151" w:type="dxa"/>
            <w:vAlign w:val="center"/>
          </w:tcPr>
          <w:p>
            <w:pPr>
              <w:spacing w:before="20" w:after="20" w:line="240" w:lineRule="auto"/>
              <w:jc w:val="left"/>
            </w:pPr>
            <w:r>
              <w:rPr>
                <w:sz w:val="22"/>
                <w:szCs w:val="22"/>
              </w:rPr>
              <w:t xml:space="preserve">Accounting, GST, TDS and income tax compliance</w:t>
            </w:r>
          </w:p>
        </w:tc>
        <w:tc>
          <w:tcPr>
            <w:tcW w:w="3151" w:type="dxa"/>
            <w:vAlign w:val="center"/>
          </w:tcPr>
          <w:p>
            <w:pPr>
              <w:spacing w:before="20" w:after="20" w:line="240" w:lineRule="auto"/>
              <w:jc w:val="left"/>
            </w:pPr>
            <w:r>
              <w:rPr>
                <w:sz w:val="22"/>
                <w:szCs w:val="22"/>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Platform</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Online tax filing portals</w:t>
            </w:r>
          </w:p>
        </w:tc>
        <w:tc>
          <w:tcPr>
            <w:tcW w:w="3151" w:type="dxa"/>
            <w:vAlign w:val="center"/>
          </w:tcPr>
          <w:p>
            <w:pPr>
              <w:spacing w:before="20" w:after="20" w:line="240" w:lineRule="auto"/>
              <w:jc w:val="left"/>
            </w:pPr>
            <w:r>
              <w:rPr>
                <w:sz w:val="22"/>
                <w:szCs w:val="22"/>
              </w:rPr>
              <w:t xml:space="preserve">Assisted and self-service income tax return filing</w:t>
            </w:r>
          </w:p>
        </w:tc>
        <w:tc>
          <w:tcPr>
            <w:tcW w:w="3151" w:type="dxa"/>
            <w:vAlign w:val="center"/>
          </w:tcPr>
          <w:p>
            <w:pPr>
              <w:spacing w:before="20" w:after="20" w:line="240" w:lineRule="auto"/>
              <w:jc w:val="left"/>
            </w:pPr>
            <w:r>
              <w:rPr>
                <w:sz w:val="22"/>
                <w:szCs w:val="22"/>
              </w:rPr>
              <w:t xml:space="preserve">Absorbs simple salaried filings at low fee points</w:t>
            </w:r>
          </w:p>
        </w:tc>
      </w:tr>
      <w:tr>
        <w:trPr>
          <w:cantSplit/>
        </w:trPr>
        <w:tc>
          <w:tcPr>
            <w:tcW w:w="2363" w:type="dxa"/>
            <w:vAlign w:val="center"/>
          </w:tcPr>
          <w:p>
            <w:pPr>
              <w:spacing w:before="20" w:after="20" w:line="240" w:lineRule="auto"/>
              <w:jc w:val="left"/>
            </w:pPr>
            <w:r>
              <w:rPr>
                <w:sz w:val="22"/>
                <w:szCs w:val="22"/>
              </w:rPr>
              <w:t xml:space="preserve">Cloud accounting and compliance suites</w:t>
            </w:r>
          </w:p>
        </w:tc>
        <w:tc>
          <w:tcPr>
            <w:tcW w:w="3151" w:type="dxa"/>
            <w:vAlign w:val="center"/>
          </w:tcPr>
          <w:p>
            <w:pPr>
              <w:spacing w:before="20" w:after="20" w:line="240" w:lineRule="auto"/>
              <w:jc w:val="left"/>
            </w:pPr>
            <w:r>
              <w:rPr>
                <w:sz w:val="22"/>
                <w:szCs w:val="22"/>
              </w:rPr>
              <w:t xml:space="preserve">Bookkeeping, GST return preparation and reconciliation tools</w:t>
            </w:r>
          </w:p>
        </w:tc>
        <w:tc>
          <w:tcPr>
            <w:tcW w:w="3151" w:type="dxa"/>
            <w:vAlign w:val="center"/>
          </w:tcPr>
          <w:p>
            <w:pPr>
              <w:spacing w:before="20" w:after="20" w:line="240" w:lineRule="auto"/>
              <w:jc w:val="left"/>
            </w:pPr>
            <w:r>
              <w:rPr>
                <w:sz w:val="22"/>
                <w:szCs w:val="22"/>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2"/>
                <w:szCs w:val="22"/>
              </w:rPr>
              <w:t xml:space="preserve">Accounting outsourcing providers</w:t>
            </w:r>
          </w:p>
        </w:tc>
        <w:tc>
          <w:tcPr>
            <w:tcW w:w="3151" w:type="dxa"/>
            <w:vAlign w:val="center"/>
          </w:tcPr>
          <w:p>
            <w:pPr>
              <w:spacing w:before="20" w:after="20" w:line="240" w:lineRule="auto"/>
              <w:jc w:val="left"/>
            </w:pPr>
            <w:r>
              <w:rPr>
                <w:sz w:val="22"/>
                <w:szCs w:val="22"/>
              </w:rPr>
              <w:t xml:space="preserve">Volume bookkeeping and back-office accounting</w:t>
            </w:r>
          </w:p>
        </w:tc>
        <w:tc>
          <w:tcPr>
            <w:tcW w:w="3151" w:type="dxa"/>
            <w:vAlign w:val="center"/>
          </w:tcPr>
          <w:p>
            <w:pPr>
              <w:spacing w:before="20" w:after="20" w:line="240" w:lineRule="auto"/>
              <w:jc w:val="left"/>
            </w:pPr>
            <w:r>
              <w:rPr>
                <w:sz w:val="22"/>
                <w:szCs w:val="22"/>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6"/>
          <w:szCs w:val="26"/>
        </w:rPr>
        <w:t xml:space="preserve">1.8  GROWTH JOURNEY AND PRACTICE DEVELOPMENT</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spacing w:before="0" w:after="0" w:line="240" w:lineRule="auto"/>
      </w:pPr>
      <w:bookmarkStart w:id="103" w:name="ch2_end"/>
      <w:bookmarkEnd w:id="103"/>
    </w:p>
    <w:p>
      <w:pPr>
        <w:sectPr>
          <w:headerReference w:type="default" r:id="rIdHd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6"/>
          <w:szCs w:val="26"/>
        </w:rPr>
        <w:t xml:space="preserve">3.6  CHALLENGES FACED AND HOW THEY WERE MANAGED</w:t>
      </w:r>
    </w:p>
    <w:p>
      <w:pPr>
        <w:spacing w:before="0" w:after="140" w:line="360" w:lineRule="auto"/>
        <w:jc w:val="both"/>
      </w:pPr>
      <w:r>
        <w:t xml:space="preserve">The internship was demanding in ways that had nothing to do with accounting, and it would be dishonest to present it otherwise. Three challenges stand out.</w:t>
      </w:r>
    </w:p>
    <w:p>
      <w:pPr>
        <w:numPr>
          <w:ilvl w:val="0"/>
          <w:numId w:val="1"/>
        </w:numPr>
        <w:spacing w:before="0" w:after="80" w:line="360" w:lineRule="auto"/>
        <w:jc w:val="both"/>
      </w:pPr>
      <w:r>
        <w:rPr>
          <w:b/>
        </w:rPr>
        <w:t xml:space="preserve">Daily travel:</w:t>
      </w:r>
      <w:r>
        <w:t xml:space="preserve"> the internship was on-site at the firm’s Mylapore office, and I commuted by bus for about an hour each way, in crowded conditions, every working day for a little over two months. In the first fortnight this was genuinely difficult and left me tired before the working day began. I managed it by leaving early enough to avoid the worst of the rush, treating the journey as fixed personal time rather than lost time, and accepting that punctuality was part of the professional commitment I had made. By the second month the routine had become normal.</w:t>
      </w:r>
    </w:p>
    <w:p>
      <w:pPr>
        <w:numPr>
          <w:ilvl w:val="0"/>
          <w:numId w:val="1"/>
        </w:numPr>
        <w:spacing w:before="0" w:after="80" w:line="360" w:lineRule="auto"/>
        <w:jc w:val="both"/>
      </w:pPr>
      <w:r>
        <w:rPr>
          <w:b/>
        </w:rPr>
        <w:t xml:space="preserve">Screen fatigue:</w:t>
      </w:r>
      <w:r>
        <w:t xml:space="preserve"> the work is almost entirely computer-based, and after long stretches of classifying entries and reading statements my eyes burned by the end of the day. I learned to break up screen work by alternating between data entry and paper-based verification, to look away periodically, and to schedule the most detailed reconciliation work for the earlier part of the day when concentration was highest.</w:t>
      </w:r>
    </w:p>
    <w:p>
      <w:pPr>
        <w:numPr>
          <w:ilvl w:val="0"/>
          <w:numId w:val="1"/>
        </w:numPr>
        <w:spacing w:before="0" w:after="80" w:line="360" w:lineRule="auto"/>
        <w:jc w:val="both"/>
      </w:pPr>
      <w:r>
        <w:rPr>
          <w:b/>
        </w:rPr>
        <w:t xml:space="preserve">Monotony and fatigue with repetitive work:</w:t>
      </w:r>
      <w:r>
        <w:t xml:space="preserve"> a compliance practice involves doing the same process across many client files, and there were days when the repetition became tiring and my interest dipped. What helped was changing my frame of reference: instead of counting files, I began treating each client as a different set of facts, looking for what was unusual in that particular statement, and trying to reduce the time I took per file. Setting small internal targets and finishing a file completely before starting the next one made the routine considerably easier to sustain.</w:t>
      </w:r>
    </w:p>
    <w:p>
      <w:pPr>
        <w:spacing w:before="0" w:after="60" w:line="120" w:lineRule="auto"/>
      </w:pPr>
    </w:p>
    <w:p>
      <w:pPr>
        <w:spacing w:before="0" w:after="140" w:line="360" w:lineRule="auto"/>
        <w:jc w:val="both"/>
      </w:pPr>
      <w:r>
        <w:t xml:space="preserve">These difficulties turned out to be part of the learning. Professional compliance work is repetitive by nature and is done to deadlines regardless of how one feels on a particular day, and discovering that I could maintain accuracy through that routine was as valuable as any technical skill I acquired.</w:t>
      </w:r>
    </w:p>
    <w:p>
      <w:pPr>
        <w:keepNext/>
        <w:keepLines/>
        <w:spacing w:before="240" w:after="120" w:line="360" w:lineRule="auto"/>
        <w:jc w:val="left"/>
      </w:pPr>
      <w:r>
        <w:rPr>
          <w:b/>
          <w:sz w:val="26"/>
          <w:szCs w:val="26"/>
        </w:rPr>
        <w:t xml:space="preserve">3.7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spacing w:before="0" w:after="0" w:line="240" w:lineRule="auto"/>
      </w:pPr>
      <w:bookmarkStart w:id="105" w:name="ch3_end"/>
      <w:bookmarkEnd w:id="105"/>
    </w:p>
    <w:p>
      <w:pPr>
        <w:sectPr>
          <w:headerReference w:type="default" r:id="rIdHd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6"/>
          <w:szCs w:val="26"/>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THE INTERNSHIP</w:t>
      </w:r>
    </w:p>
    <w:p>
      <w:pPr>
        <w:spacing w:before="0" w:after="140" w:line="360" w:lineRule="auto"/>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pgSz w:w="11906" w:h="16838"/>
      <w:pgMar w:top="1440" w:right="1440" w:bottom="1440" w:left="1800" w:header="720" w:footer="720" w:gutter="0"/>
      <w:cols w:space="720"/>
      <w:docGrid w:linePitch="360"/>
    </w:sectPr>
  </w:body>
</w:document>
</file>

<file path=word/header2.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1</w:t>
    </w:r>
    <w:r>
      <w:tab/>
    </w:r>
    <w:r>
      <w:rPr>
        <w:b/>
        <w:sz w:val="20"/>
        <w:szCs w:val="20"/>
      </w:rPr>
      <w:t xml:space="preserve">SUMMER INTERNSHIP</w:t>
    </w:r>
  </w:p>
  <w:p>
    <w:pPr>
      <w:tabs>
        <w:tab w:val="right" w:pos="8666"/>
      </w:tabs>
      <w:spacing w:before="0" w:after="0" w:line="240" w:lineRule="auto"/>
      <w:jc w:val="left"/>
    </w:pPr>
    <w:r>
      <w:rPr>
        <w:b/>
        <w:sz w:val="20"/>
        <w:szCs w:val="20"/>
      </w:rPr>
      <w:t xml:space="preserve">INDUSTRY AND COMPANY OVERVIEW</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3.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2</w:t>
    </w:r>
    <w:r>
      <w:tab/>
    </w:r>
    <w:r>
      <w:rPr>
        <w:b/>
        <w:sz w:val="20"/>
        <w:szCs w:val="20"/>
      </w:rPr>
      <w:t xml:space="preserve">SUMMER INTERNSHIP</w:t>
    </w:r>
  </w:p>
  <w:p>
    <w:pPr>
      <w:tabs>
        <w:tab w:val="right" w:pos="8666"/>
      </w:tabs>
      <w:spacing w:before="0" w:after="0" w:line="240" w:lineRule="auto"/>
      <w:jc w:val="left"/>
    </w:pPr>
    <w:r>
      <w:rPr>
        <w:b/>
        <w:sz w:val="20"/>
        <w:szCs w:val="20"/>
      </w:rPr>
      <w:t xml:space="preserve">JOB / TASK DESCRIPTION</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4.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3</w:t>
    </w:r>
    <w:r>
      <w:tab/>
    </w:r>
    <w:r>
      <w:rPr>
        <w:b/>
        <w:sz w:val="20"/>
        <w:szCs w:val="20"/>
      </w:rPr>
      <w:t xml:space="preserve">SUMMER INTERNSHIP</w:t>
    </w:r>
  </w:p>
  <w:p>
    <w:pPr>
      <w:tabs>
        <w:tab w:val="right" w:pos="8666"/>
      </w:tabs>
      <w:spacing w:before="0" w:after="0" w:line="240" w:lineRule="auto"/>
      <w:jc w:val="left"/>
    </w:pPr>
    <w:r>
      <w:rPr>
        <w:b/>
        <w:sz w:val="20"/>
        <w:szCs w:val="20"/>
      </w:rPr>
      <w:t xml:space="preserve">ANALYSIS OF JOB PERFORMANCE</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5.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4</w:t>
    </w:r>
    <w:r>
      <w:tab/>
    </w:r>
    <w:r>
      <w:rPr>
        <w:b/>
        <w:sz w:val="20"/>
        <w:szCs w:val="20"/>
      </w:rPr>
      <w:t xml:space="preserve">SUMMER INTERNSHIP</w:t>
    </w:r>
  </w:p>
  <w:p>
    <w:pPr>
      <w:tabs>
        <w:tab w:val="right" w:pos="8666"/>
      </w:tabs>
      <w:spacing w:before="0" w:after="0" w:line="240" w:lineRule="auto"/>
      <w:jc w:val="left"/>
    </w:pPr>
    <w:r>
      <w:rPr>
        <w:b/>
        <w:sz w:val="20"/>
        <w:szCs w:val="20"/>
      </w:rPr>
      <w:t xml:space="preserve">LEARNING OUTCOMES</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6.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5</w:t>
    </w:r>
    <w:r>
      <w:tab/>
    </w:r>
    <w:r>
      <w:rPr>
        <w:b/>
        <w:sz w:val="20"/>
        <w:szCs w:val="20"/>
      </w:rPr>
      <w:t xml:space="preserve">SUMMER INTERNSHIP</w:t>
    </w:r>
  </w:p>
  <w:p>
    <w:pPr>
      <w:tabs>
        <w:tab w:val="right" w:pos="8666"/>
      </w:tabs>
      <w:spacing w:before="0" w:after="0" w:line="240" w:lineRule="auto"/>
      <w:jc w:val="left"/>
    </w:pPr>
    <w:r>
      <w:rPr>
        <w:b/>
        <w:sz w:val="20"/>
        <w:szCs w:val="20"/>
      </w:rPr>
      <w:t xml:space="preserve">SUMMARY AND CONCLUSION</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7.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REFERENCES</w:t>
    </w:r>
    <w:r>
      <w:tab/>
    </w:r>
    <w:r>
      <w:rPr>
        <w:b/>
        <w:sz w:val="20"/>
        <w:szCs w:val="20"/>
      </w:rPr>
      <w:t xml:space="preserve">SUMMER INTERNSHIP</w:t>
    </w:r>
  </w:p>
  <w:p>
    <w:pPr>
      <w:tabs>
        <w:tab w:val="right" w:pos="8666"/>
      </w:tabs>
      <w:spacing w:before="0" w:after="0" w:line="240" w:lineRule="auto"/>
      <w:jc w:val="left"/>
    </w:pPr>
    <w:r>
      <w:rPr>
        <w:b/>
        <w:sz w:val="20"/>
        <w:szCs w:val="20"/>
      </w:rPr>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Img1" Type="http://schemas.openxmlformats.org/officeDocument/2006/relationships/image" Target="media/image1.jpeg"/>
<Relationship Id="rIdImg2"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