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2394"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Ms. Prahadhesvaryaa K. S.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S. Saradha, Chartered Accountant, Internal Audit, Neuberg Diagnostics Private Limited, during the period from May 11th to July 30th,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Ms. Prahadhesvaryaa K. S., hereby declare that this SIP Project Report is based on my internship of approximately two and a half months done at Neuberg Diagnostics Private Limited, Chennai, as an Intern in the Internal Audit department, during the period from May 11th to July 30th, 2026, under the guidance of Ms. S. Saradha,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Dr.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S. SARADHA,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11 May 2026 to 30 July 2026, a period of approximately two and a half months covering twelve working weeks, under the guidance of Ms. S. Saradha,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spread across branches, collection centres, walk-in patients and corporate or business-to-business clients. Each of those transactions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The first was business-to-business KYC verification and documentation, where I collected KYC documents and signed memoranda of understanding from the sales personnel responsible for the B2B clients assigned to them, and maintained the records so that only eligible B2B customers received corporate benefits. Reading those files taught me how verifying a client’s business credentials is what separates a genuine corporate account from a walk-in patient being billed at corporate rates.</w:t>
      </w:r>
    </w:p>
    <w:p>
      <w:pPr>
        <w:spacing w:before="0" w:after="140" w:line="360" w:lineRule="auto"/>
        <w:jc w:val="both"/>
      </w:pPr>
      <w:r>
        <w:t xml:space="preserve">The second area was verification of Test Requisition Forms received from different branches, where I checked whether B2B bills carried the seal of the respective laboratory and noted the details of every form on which a seal was missing. The third and fourth areas concerned pricing: deep discount verification, in which I identified walk-in customers who had received discounts above thirty per cent, cross-checked them against the company’s discount policy and recorded the exceptions for the team’s further verification; and free of cost verification, in which I traced walk-in and B2B cases billed at a hundred per cent discount and listed them for review.</w:t>
      </w:r>
    </w:p>
    <w:p>
      <w:pPr>
        <w:spacing w:before="0" w:after="140" w:line="360" w:lineRule="auto"/>
        <w:jc w:val="both"/>
      </w:pPr>
      <w:r>
        <w:t xml:space="preserve">The fifth area was cash due monitoring, where I reviewed payment records and calculated the number of days between the payment date and the current date to establish the cash due position. The sixth was service deletion verification, where I examined deleted service records to find tests that had been booked by customers and later removed from the system, identified the laboratory identification numbers concerned, and checked who had made each deletion and the reason recorded for it. The seventh area was follow-up of Action Taken Reports for branch audits, where I contacted branch staff by telephone to collect the evidence needed to close observations raised during internal audits, and kept the pending and completed status updated.</w:t>
      </w:r>
    </w:p>
    <w:p>
      <w:pPr>
        <w:spacing w:before="0" w:after="140" w:line="360" w:lineRule="auto"/>
        <w:jc w:val="both"/>
      </w:pPr>
      <w:r>
        <w:t xml:space="preserve">The tools used were Suflam LIMS, the laboratory information management system in which bookings, laboratory identification numbers, billing entries and deletions are recorded, along with Microsoft Excel for verification sheets and exception listings and Microsoft Word for audit notes and reports.</w:t>
      </w:r>
    </w:p>
    <w:p>
      <w:pPr>
        <w:spacing w:before="0" w:after="140" w:line="360" w:lineRule="auto"/>
        <w:jc w:val="both"/>
      </w:pPr>
      <w:r>
        <w:t xml:space="preserve">Professionally, the internship gave me three things a classroom cannot. First, an understanding of internal control as something that is tested rather than described: a policy on discounts means very little until someone verifies the transactions against it. Second, an appreciation of documentation as evidence, since an observation carries weight only when the supporting record is attached to it. Third, the professional skill of following up with people who are busy with their own work, which is what closing an audit observation actually requires. In summary, the internship converted my MBA (Finance) coursework in auditing, internal control and financial reporting into work I can now perform, and it clarified my interest in a career in audit and assurance.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34</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8"/>
          <w:szCs w:val="28"/>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8"/>
          <w:szCs w:val="28"/>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Dr. G. S. K. Velu,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Service Line</w:t>
            </w:r>
          </w:p>
        </w:tc>
        <w:tc>
          <w:tcPr>
            <w:tcW w:w="3939" w:type="dxa"/>
            <w:shd w:val="clear" w:color="auto" w:fill="D9D9D9"/>
            <w:vAlign w:val="center"/>
          </w:tcPr>
          <w:p>
            <w:pPr>
              <w:spacing w:before="20" w:after="20" w:line="240" w:lineRule="auto"/>
              <w:jc w:val="center"/>
            </w:pPr>
            <w:r>
              <w:rPr>
                <w:b/>
                <w:sz w:val="24"/>
                <w:szCs w:val="24"/>
              </w:rPr>
              <w:t xml:space="preserve">Nature of Work</w:t>
            </w:r>
          </w:p>
        </w:tc>
        <w:tc>
          <w:tcPr>
            <w:tcW w:w="2363" w:type="dxa"/>
            <w:shd w:val="clear" w:color="auto" w:fill="D9D9D9"/>
            <w:vAlign w:val="center"/>
          </w:tcPr>
          <w:p>
            <w:pPr>
              <w:spacing w:before="20" w:after="20" w:line="240" w:lineRule="auto"/>
              <w:jc w:val="center"/>
            </w:pPr>
            <w:r>
              <w:rPr>
                <w:b/>
                <w:sz w:val="24"/>
                <w:szCs w:val="24"/>
              </w:rPr>
              <w:t xml:space="preserve">Customer</w:t>
            </w:r>
          </w:p>
        </w:tc>
      </w:tr>
      <w:tr>
        <w:trPr>
          <w:cantSplit/>
        </w:trPr>
        <w:tc>
          <w:tcPr>
            <w:tcW w:w="2363" w:type="dxa"/>
            <w:vAlign w:val="center"/>
          </w:tcPr>
          <w:p>
            <w:pPr>
              <w:spacing w:before="20" w:after="20" w:line="240" w:lineRule="auto"/>
              <w:jc w:val="left"/>
            </w:pPr>
            <w:r>
              <w:rPr>
                <w:sz w:val="24"/>
                <w:szCs w:val="24"/>
              </w:rPr>
              <w:t xml:space="preserve">Routine Pathology</w:t>
            </w:r>
          </w:p>
        </w:tc>
        <w:tc>
          <w:tcPr>
            <w:tcW w:w="3939" w:type="dxa"/>
            <w:vAlign w:val="center"/>
          </w:tcPr>
          <w:p>
            <w:pPr>
              <w:spacing w:before="20" w:after="20" w:line="240" w:lineRule="auto"/>
              <w:jc w:val="left"/>
            </w:pPr>
            <w:r>
              <w:rPr>
                <w:sz w:val="24"/>
                <w:szCs w:val="24"/>
              </w:rPr>
              <w:t xml:space="preserve">Biochemistry, haematology, clinical pathology and serology performed at regional laboratories</w:t>
            </w:r>
          </w:p>
        </w:tc>
        <w:tc>
          <w:tcPr>
            <w:tcW w:w="2363" w:type="dxa"/>
            <w:vAlign w:val="center"/>
          </w:tcPr>
          <w:p>
            <w:pPr>
              <w:spacing w:before="20" w:after="20" w:line="240" w:lineRule="auto"/>
              <w:jc w:val="left"/>
            </w:pPr>
            <w:r>
              <w:rPr>
                <w:sz w:val="24"/>
                <w:szCs w:val="24"/>
              </w:rPr>
              <w:t xml:space="preserve">Walk-in patients, clinics and hospitals</w:t>
            </w:r>
          </w:p>
        </w:tc>
      </w:tr>
      <w:tr>
        <w:trPr>
          <w:cantSplit/>
        </w:trPr>
        <w:tc>
          <w:tcPr>
            <w:tcW w:w="2363" w:type="dxa"/>
            <w:vAlign w:val="center"/>
          </w:tcPr>
          <w:p>
            <w:pPr>
              <w:spacing w:before="20" w:after="20" w:line="240" w:lineRule="auto"/>
              <w:jc w:val="left"/>
            </w:pPr>
            <w:r>
              <w:rPr>
                <w:sz w:val="24"/>
                <w:szCs w:val="24"/>
              </w:rPr>
              <w:t xml:space="preserve">Specialised and Reference Testing</w:t>
            </w:r>
          </w:p>
        </w:tc>
        <w:tc>
          <w:tcPr>
            <w:tcW w:w="3939" w:type="dxa"/>
            <w:vAlign w:val="center"/>
          </w:tcPr>
          <w:p>
            <w:pPr>
              <w:spacing w:before="20" w:after="20" w:line="240" w:lineRule="auto"/>
              <w:jc w:val="left"/>
            </w:pPr>
            <w:r>
              <w:rPr>
                <w:sz w:val="24"/>
                <w:szCs w:val="24"/>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4"/>
                <w:szCs w:val="24"/>
              </w:rPr>
              <w:t xml:space="preserve">Referring laboratories, hospitals and specialists</w:t>
            </w:r>
          </w:p>
        </w:tc>
      </w:tr>
      <w:tr>
        <w:trPr>
          <w:cantSplit/>
        </w:trPr>
        <w:tc>
          <w:tcPr>
            <w:tcW w:w="2363" w:type="dxa"/>
            <w:vAlign w:val="center"/>
          </w:tcPr>
          <w:p>
            <w:pPr>
              <w:spacing w:before="20" w:after="20" w:line="240" w:lineRule="auto"/>
              <w:jc w:val="left"/>
            </w:pPr>
            <w:r>
              <w:rPr>
                <w:sz w:val="24"/>
                <w:szCs w:val="24"/>
              </w:rPr>
              <w:t xml:space="preserve">Preventive Health Packages</w:t>
            </w:r>
          </w:p>
        </w:tc>
        <w:tc>
          <w:tcPr>
            <w:tcW w:w="3939" w:type="dxa"/>
            <w:vAlign w:val="center"/>
          </w:tcPr>
          <w:p>
            <w:pPr>
              <w:spacing w:before="20" w:after="20" w:line="240" w:lineRule="auto"/>
              <w:jc w:val="left"/>
            </w:pPr>
            <w:r>
              <w:rPr>
                <w:sz w:val="24"/>
                <w:szCs w:val="24"/>
              </w:rPr>
              <w:t xml:space="preserve">Bundled wellness and health check profiles sold at package prices</w:t>
            </w:r>
          </w:p>
        </w:tc>
        <w:tc>
          <w:tcPr>
            <w:tcW w:w="2363" w:type="dxa"/>
            <w:vAlign w:val="center"/>
          </w:tcPr>
          <w:p>
            <w:pPr>
              <w:spacing w:before="20" w:after="20" w:line="240" w:lineRule="auto"/>
              <w:jc w:val="left"/>
            </w:pPr>
            <w:r>
              <w:rPr>
                <w:sz w:val="24"/>
                <w:szCs w:val="24"/>
              </w:rPr>
              <w:t xml:space="preserve">Retail and corporate customers</w:t>
            </w:r>
          </w:p>
        </w:tc>
      </w:tr>
      <w:tr>
        <w:trPr>
          <w:cantSplit/>
        </w:trPr>
        <w:tc>
          <w:tcPr>
            <w:tcW w:w="2363" w:type="dxa"/>
            <w:vAlign w:val="center"/>
          </w:tcPr>
          <w:p>
            <w:pPr>
              <w:spacing w:before="20" w:after="20" w:line="240" w:lineRule="auto"/>
              <w:jc w:val="left"/>
            </w:pPr>
            <w:r>
              <w:rPr>
                <w:sz w:val="24"/>
                <w:szCs w:val="24"/>
              </w:rPr>
              <w:t xml:space="preserve">Business-to-Business Arrangements</w:t>
            </w:r>
          </w:p>
        </w:tc>
        <w:tc>
          <w:tcPr>
            <w:tcW w:w="3939" w:type="dxa"/>
            <w:vAlign w:val="center"/>
          </w:tcPr>
          <w:p>
            <w:pPr>
              <w:spacing w:before="20" w:after="20" w:line="240" w:lineRule="auto"/>
              <w:jc w:val="left"/>
            </w:pPr>
            <w:r>
              <w:rPr>
                <w:sz w:val="24"/>
                <w:szCs w:val="24"/>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4"/>
                <w:szCs w:val="24"/>
              </w:rPr>
              <w:t xml:space="preserve">Institutional and corporate clients</w:t>
            </w:r>
          </w:p>
        </w:tc>
      </w:tr>
      <w:tr>
        <w:trPr>
          <w:cantSplit/>
        </w:trPr>
        <w:tc>
          <w:tcPr>
            <w:tcW w:w="2363" w:type="dxa"/>
            <w:vAlign w:val="center"/>
          </w:tcPr>
          <w:p>
            <w:pPr>
              <w:spacing w:before="20" w:after="20" w:line="240" w:lineRule="auto"/>
              <w:jc w:val="left"/>
            </w:pPr>
            <w:r>
              <w:rPr>
                <w:sz w:val="24"/>
                <w:szCs w:val="24"/>
              </w:rPr>
              <w:t xml:space="preserve">Home Collection and Digital Reporting</w:t>
            </w:r>
          </w:p>
        </w:tc>
        <w:tc>
          <w:tcPr>
            <w:tcW w:w="3939" w:type="dxa"/>
            <w:vAlign w:val="center"/>
          </w:tcPr>
          <w:p>
            <w:pPr>
              <w:spacing w:before="20" w:after="20" w:line="240" w:lineRule="auto"/>
              <w:jc w:val="left"/>
            </w:pPr>
            <w:r>
              <w:rPr>
                <w:sz w:val="24"/>
                <w:szCs w:val="24"/>
              </w:rPr>
              <w:t xml:space="preserve">Sample collection at the customer’s premises and electronic delivery of reports</w:t>
            </w:r>
          </w:p>
        </w:tc>
        <w:tc>
          <w:tcPr>
            <w:tcW w:w="2363" w:type="dxa"/>
            <w:vAlign w:val="center"/>
          </w:tcPr>
          <w:p>
            <w:pPr>
              <w:spacing w:before="20" w:after="20" w:line="240" w:lineRule="auto"/>
              <w:jc w:val="left"/>
            </w:pPr>
            <w:r>
              <w:rPr>
                <w:sz w:val="24"/>
                <w:szCs w:val="24"/>
              </w:rPr>
              <w:t xml:space="preserve">Retail customers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Ms. S. Saradha,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Organisation</w:t>
            </w:r>
          </w:p>
        </w:tc>
        <w:tc>
          <w:tcPr>
            <w:tcW w:w="3151" w:type="dxa"/>
            <w:shd w:val="clear" w:color="auto" w:fill="D9D9D9"/>
            <w:vAlign w:val="center"/>
          </w:tcPr>
          <w:p>
            <w:pPr>
              <w:spacing w:before="20" w:after="20" w:line="240" w:lineRule="auto"/>
              <w:jc w:val="center"/>
            </w:pPr>
            <w:r>
              <w:rPr>
                <w:b/>
                <w:sz w:val="24"/>
                <w:szCs w:val="24"/>
              </w:rPr>
              <w:t xml:space="preserve">Principal 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Dr. Lal PathLabs</w:t>
            </w:r>
          </w:p>
        </w:tc>
        <w:tc>
          <w:tcPr>
            <w:tcW w:w="3151" w:type="dxa"/>
            <w:vAlign w:val="center"/>
          </w:tcPr>
          <w:p>
            <w:pPr>
              <w:spacing w:before="20" w:after="20" w:line="240" w:lineRule="auto"/>
              <w:jc w:val="left"/>
            </w:pPr>
            <w:r>
              <w:rPr>
                <w:sz w:val="24"/>
                <w:szCs w:val="24"/>
              </w:rPr>
              <w:t xml:space="preserve">Routine and specialised pathology through a national network</w:t>
            </w:r>
          </w:p>
        </w:tc>
        <w:tc>
          <w:tcPr>
            <w:tcW w:w="3151" w:type="dxa"/>
            <w:vAlign w:val="center"/>
          </w:tcPr>
          <w:p>
            <w:pPr>
              <w:spacing w:before="20" w:after="20" w:line="240" w:lineRule="auto"/>
              <w:jc w:val="left"/>
            </w:pPr>
            <w:r>
              <w:rPr>
                <w:sz w:val="24"/>
                <w:szCs w:val="24"/>
              </w:rPr>
              <w:t xml:space="preserve">Retail testing with a wide collection-centre footprint</w:t>
            </w:r>
          </w:p>
        </w:tc>
      </w:tr>
      <w:tr>
        <w:trPr>
          <w:cantSplit/>
        </w:trPr>
        <w:tc>
          <w:tcPr>
            <w:tcW w:w="2363" w:type="dxa"/>
            <w:vAlign w:val="center"/>
          </w:tcPr>
          <w:p>
            <w:pPr>
              <w:spacing w:before="20" w:after="20" w:line="240" w:lineRule="auto"/>
              <w:jc w:val="left"/>
            </w:pPr>
            <w:r>
              <w:rPr>
                <w:sz w:val="24"/>
                <w:szCs w:val="24"/>
              </w:rPr>
              <w:t xml:space="preserve">Metropolis Healthcare</w:t>
            </w:r>
          </w:p>
        </w:tc>
        <w:tc>
          <w:tcPr>
            <w:tcW w:w="3151" w:type="dxa"/>
            <w:vAlign w:val="center"/>
          </w:tcPr>
          <w:p>
            <w:pPr>
              <w:spacing w:before="20" w:after="20" w:line="240" w:lineRule="auto"/>
              <w:jc w:val="left"/>
            </w:pPr>
            <w:r>
              <w:rPr>
                <w:sz w:val="24"/>
                <w:szCs w:val="24"/>
              </w:rPr>
              <w:t xml:space="preserve">Clinical laboratory testing and wellness packages</w:t>
            </w:r>
          </w:p>
        </w:tc>
        <w:tc>
          <w:tcPr>
            <w:tcW w:w="3151" w:type="dxa"/>
            <w:vAlign w:val="center"/>
          </w:tcPr>
          <w:p>
            <w:pPr>
              <w:spacing w:before="20" w:after="20" w:line="240" w:lineRule="auto"/>
              <w:jc w:val="left"/>
            </w:pPr>
            <w:r>
              <w:rPr>
                <w:sz w:val="24"/>
                <w:szCs w:val="24"/>
              </w:rPr>
              <w:t xml:space="preserve">Retail and institutional testing across multiple states</w:t>
            </w:r>
          </w:p>
        </w:tc>
      </w:tr>
      <w:tr>
        <w:trPr>
          <w:cantSplit/>
        </w:trPr>
        <w:tc>
          <w:tcPr>
            <w:tcW w:w="2363" w:type="dxa"/>
            <w:vAlign w:val="center"/>
          </w:tcPr>
          <w:p>
            <w:pPr>
              <w:spacing w:before="20" w:after="20" w:line="240" w:lineRule="auto"/>
              <w:jc w:val="left"/>
            </w:pPr>
            <w:r>
              <w:rPr>
                <w:sz w:val="24"/>
                <w:szCs w:val="24"/>
              </w:rPr>
              <w:t xml:space="preserve">Agilus Diagnostics (formerly SRL)</w:t>
            </w:r>
          </w:p>
        </w:tc>
        <w:tc>
          <w:tcPr>
            <w:tcW w:w="3151" w:type="dxa"/>
            <w:vAlign w:val="center"/>
          </w:tcPr>
          <w:p>
            <w:pPr>
              <w:spacing w:before="20" w:after="20" w:line="240" w:lineRule="auto"/>
              <w:jc w:val="left"/>
            </w:pPr>
            <w:r>
              <w:rPr>
                <w:sz w:val="24"/>
                <w:szCs w:val="24"/>
              </w:rPr>
              <w:t xml:space="preserve">Reference and routine laboratory services</w:t>
            </w:r>
          </w:p>
        </w:tc>
        <w:tc>
          <w:tcPr>
            <w:tcW w:w="3151" w:type="dxa"/>
            <w:vAlign w:val="center"/>
          </w:tcPr>
          <w:p>
            <w:pPr>
              <w:spacing w:before="20" w:after="20" w:line="240" w:lineRule="auto"/>
              <w:jc w:val="left"/>
            </w:pPr>
            <w:r>
              <w:rPr>
                <w:sz w:val="24"/>
                <w:szCs w:val="24"/>
              </w:rPr>
              <w:t xml:space="preserve">Hospital-linked and reference testing</w:t>
            </w:r>
          </w:p>
        </w:tc>
      </w:tr>
      <w:tr>
        <w:trPr>
          <w:cantSplit/>
        </w:trPr>
        <w:tc>
          <w:tcPr>
            <w:tcW w:w="2363" w:type="dxa"/>
            <w:vAlign w:val="center"/>
          </w:tcPr>
          <w:p>
            <w:pPr>
              <w:spacing w:before="20" w:after="20" w:line="240" w:lineRule="auto"/>
              <w:jc w:val="left"/>
            </w:pPr>
            <w:r>
              <w:rPr>
                <w:sz w:val="24"/>
                <w:szCs w:val="24"/>
              </w:rPr>
              <w:t xml:space="preserve">Thyrocare Technologies</w:t>
            </w:r>
          </w:p>
        </w:tc>
        <w:tc>
          <w:tcPr>
            <w:tcW w:w="3151" w:type="dxa"/>
            <w:vAlign w:val="center"/>
          </w:tcPr>
          <w:p>
            <w:pPr>
              <w:spacing w:before="20" w:after="20" w:line="240" w:lineRule="auto"/>
              <w:jc w:val="left"/>
            </w:pPr>
            <w:r>
              <w:rPr>
                <w:sz w:val="24"/>
                <w:szCs w:val="24"/>
              </w:rPr>
              <w:t xml:space="preserve">High-volume preventive test panels at low price points</w:t>
            </w:r>
          </w:p>
        </w:tc>
        <w:tc>
          <w:tcPr>
            <w:tcW w:w="3151" w:type="dxa"/>
            <w:vAlign w:val="center"/>
          </w:tcPr>
          <w:p>
            <w:pPr>
              <w:spacing w:before="20" w:after="20" w:line="240" w:lineRule="auto"/>
              <w:jc w:val="left"/>
            </w:pPr>
            <w:r>
              <w:rPr>
                <w:sz w:val="24"/>
                <w:szCs w:val="24"/>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Organisation</w:t>
            </w:r>
          </w:p>
        </w:tc>
        <w:tc>
          <w:tcPr>
            <w:tcW w:w="3151" w:type="dxa"/>
            <w:shd w:val="clear" w:color="auto" w:fill="D9D9D9"/>
            <w:vAlign w:val="center"/>
          </w:tcPr>
          <w:p>
            <w:pPr>
              <w:spacing w:before="20" w:after="20" w:line="240" w:lineRule="auto"/>
              <w:jc w:val="center"/>
            </w:pPr>
            <w:r>
              <w:rPr>
                <w:b/>
                <w:sz w:val="24"/>
                <w:szCs w:val="24"/>
              </w:rPr>
              <w:t xml:space="preserve">Principal 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Vijaya Diagnostic Centre</w:t>
            </w:r>
          </w:p>
        </w:tc>
        <w:tc>
          <w:tcPr>
            <w:tcW w:w="3151" w:type="dxa"/>
            <w:vAlign w:val="center"/>
          </w:tcPr>
          <w:p>
            <w:pPr>
              <w:spacing w:before="20" w:after="20" w:line="240" w:lineRule="auto"/>
              <w:jc w:val="left"/>
            </w:pPr>
            <w:r>
              <w:rPr>
                <w:sz w:val="24"/>
                <w:szCs w:val="24"/>
              </w:rPr>
              <w:t xml:space="preserve">Integrated pathology and radiology services</w:t>
            </w:r>
          </w:p>
        </w:tc>
        <w:tc>
          <w:tcPr>
            <w:tcW w:w="3151" w:type="dxa"/>
            <w:vAlign w:val="center"/>
          </w:tcPr>
          <w:p>
            <w:pPr>
              <w:spacing w:before="20" w:after="20" w:line="240" w:lineRule="auto"/>
              <w:jc w:val="left"/>
            </w:pPr>
            <w:r>
              <w:rPr>
                <w:sz w:val="24"/>
                <w:szCs w:val="24"/>
              </w:rPr>
              <w:t xml:space="preserve">Strong regional presence in southern India</w:t>
            </w:r>
          </w:p>
        </w:tc>
      </w:tr>
      <w:tr>
        <w:trPr>
          <w:cantSplit/>
        </w:trPr>
        <w:tc>
          <w:tcPr>
            <w:tcW w:w="2363" w:type="dxa"/>
            <w:vAlign w:val="center"/>
          </w:tcPr>
          <w:p>
            <w:pPr>
              <w:spacing w:before="20" w:after="20" w:line="240" w:lineRule="auto"/>
              <w:jc w:val="left"/>
            </w:pPr>
            <w:r>
              <w:rPr>
                <w:sz w:val="24"/>
                <w:szCs w:val="24"/>
              </w:rPr>
              <w:t xml:space="preserve">Apollo Diagnostics</w:t>
            </w:r>
          </w:p>
        </w:tc>
        <w:tc>
          <w:tcPr>
            <w:tcW w:w="3151" w:type="dxa"/>
            <w:vAlign w:val="center"/>
          </w:tcPr>
          <w:p>
            <w:pPr>
              <w:spacing w:before="20" w:after="20" w:line="240" w:lineRule="auto"/>
              <w:jc w:val="left"/>
            </w:pPr>
            <w:r>
              <w:rPr>
                <w:sz w:val="24"/>
                <w:szCs w:val="24"/>
              </w:rPr>
              <w:t xml:space="preserve">Laboratory services supported by a hospital network</w:t>
            </w:r>
          </w:p>
        </w:tc>
        <w:tc>
          <w:tcPr>
            <w:tcW w:w="3151" w:type="dxa"/>
            <w:vAlign w:val="center"/>
          </w:tcPr>
          <w:p>
            <w:pPr>
              <w:spacing w:before="20" w:after="20" w:line="240" w:lineRule="auto"/>
              <w:jc w:val="left"/>
            </w:pPr>
            <w:r>
              <w:rPr>
                <w:sz w:val="24"/>
                <w:szCs w:val="24"/>
              </w:rPr>
              <w:t xml:space="preserve">Hospital-linked retail and corporate testing</w:t>
            </w:r>
          </w:p>
        </w:tc>
      </w:tr>
      <w:tr>
        <w:trPr>
          <w:cantSplit/>
        </w:trPr>
        <w:tc>
          <w:tcPr>
            <w:tcW w:w="2363" w:type="dxa"/>
            <w:vAlign w:val="center"/>
          </w:tcPr>
          <w:p>
            <w:pPr>
              <w:spacing w:before="20" w:after="20" w:line="240" w:lineRule="auto"/>
              <w:jc w:val="left"/>
            </w:pPr>
            <w:r>
              <w:rPr>
                <w:sz w:val="24"/>
                <w:szCs w:val="24"/>
              </w:rPr>
              <w:t xml:space="preserve">Hospital-attached laboratories</w:t>
            </w:r>
          </w:p>
        </w:tc>
        <w:tc>
          <w:tcPr>
            <w:tcW w:w="3151" w:type="dxa"/>
            <w:vAlign w:val="center"/>
          </w:tcPr>
          <w:p>
            <w:pPr>
              <w:spacing w:before="20" w:after="20" w:line="240" w:lineRule="auto"/>
              <w:jc w:val="left"/>
            </w:pPr>
            <w:r>
              <w:rPr>
                <w:sz w:val="24"/>
                <w:szCs w:val="24"/>
              </w:rPr>
              <w:t xml:space="preserve">Testing for the hospital’s own inpatients and outpatients</w:t>
            </w:r>
          </w:p>
        </w:tc>
        <w:tc>
          <w:tcPr>
            <w:tcW w:w="3151" w:type="dxa"/>
            <w:vAlign w:val="center"/>
          </w:tcPr>
          <w:p>
            <w:pPr>
              <w:spacing w:before="20" w:after="20" w:line="240" w:lineRule="auto"/>
              <w:jc w:val="left"/>
            </w:pPr>
            <w:r>
              <w:rPr>
                <w:sz w:val="24"/>
                <w:szCs w:val="24"/>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Local standalone laboratories</w:t>
            </w:r>
          </w:p>
        </w:tc>
        <w:tc>
          <w:tcPr>
            <w:tcW w:w="3151" w:type="dxa"/>
            <w:vAlign w:val="center"/>
          </w:tcPr>
          <w:p>
            <w:pPr>
              <w:spacing w:before="20" w:after="20" w:line="240" w:lineRule="auto"/>
              <w:jc w:val="left"/>
            </w:pPr>
            <w:r>
              <w:rPr>
                <w:sz w:val="24"/>
                <w:szCs w:val="24"/>
              </w:rPr>
              <w:t xml:space="preserve">Routine tests at low prices with local convenience</w:t>
            </w:r>
          </w:p>
        </w:tc>
        <w:tc>
          <w:tcPr>
            <w:tcW w:w="3151" w:type="dxa"/>
            <w:vAlign w:val="center"/>
          </w:tcPr>
          <w:p>
            <w:pPr>
              <w:spacing w:before="20" w:after="20" w:line="240" w:lineRule="auto"/>
              <w:jc w:val="left"/>
            </w:pPr>
            <w:r>
              <w:rPr>
                <w:sz w:val="24"/>
                <w:szCs w:val="24"/>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4"/>
                <w:szCs w:val="24"/>
              </w:rPr>
              <w:t xml:space="preserve">Online diagnostic aggregators</w:t>
            </w:r>
          </w:p>
        </w:tc>
        <w:tc>
          <w:tcPr>
            <w:tcW w:w="3151" w:type="dxa"/>
            <w:vAlign w:val="center"/>
          </w:tcPr>
          <w:p>
            <w:pPr>
              <w:spacing w:before="20" w:after="20" w:line="240" w:lineRule="auto"/>
              <w:jc w:val="left"/>
            </w:pPr>
            <w:r>
              <w:rPr>
                <w:sz w:val="24"/>
                <w:szCs w:val="24"/>
              </w:rPr>
              <w:t xml:space="preserve">Discounted packages booked through applications and websites</w:t>
            </w:r>
          </w:p>
        </w:tc>
        <w:tc>
          <w:tcPr>
            <w:tcW w:w="3151" w:type="dxa"/>
            <w:vAlign w:val="center"/>
          </w:tcPr>
          <w:p>
            <w:pPr>
              <w:spacing w:before="20" w:after="20" w:line="240" w:lineRule="auto"/>
              <w:jc w:val="left"/>
            </w:pPr>
            <w:r>
              <w:rPr>
                <w:sz w:val="24"/>
                <w:szCs w:val="24"/>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4"/>
                <w:szCs w:val="24"/>
              </w:rPr>
              <w:t xml:space="preserve">Collection-centre franchisees</w:t>
            </w:r>
          </w:p>
        </w:tc>
        <w:tc>
          <w:tcPr>
            <w:tcW w:w="3151" w:type="dxa"/>
            <w:vAlign w:val="center"/>
          </w:tcPr>
          <w:p>
            <w:pPr>
              <w:spacing w:before="20" w:after="20" w:line="240" w:lineRule="auto"/>
              <w:jc w:val="left"/>
            </w:pPr>
            <w:r>
              <w:rPr>
                <w:sz w:val="24"/>
                <w:szCs w:val="24"/>
              </w:rPr>
              <w:t xml:space="preserve">Sample collection under a brand, with testing outsourced</w:t>
            </w:r>
          </w:p>
        </w:tc>
        <w:tc>
          <w:tcPr>
            <w:tcW w:w="3151" w:type="dxa"/>
            <w:vAlign w:val="center"/>
          </w:tcPr>
          <w:p>
            <w:pPr>
              <w:spacing w:before="20" w:after="20" w:line="240" w:lineRule="auto"/>
              <w:jc w:val="left"/>
            </w:pPr>
            <w:r>
              <w:rPr>
                <w:sz w:val="24"/>
                <w:szCs w:val="24"/>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A fourth stage has been the consideration of public listing, with reports in 2022 that the group was evaluating an initial public offering (Economic Times, 2022). Whether or not such a step is taken, preparing for it raises the standard expected of internal control and disclosure, and that expectation is visible in the way commercial transactions are documented and reviewed.</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30 July 2026, in the Internal Audit department, under the guidance of Ms. S. Saradha,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Ms. S. Saradha,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numPr>
          <w:ilvl w:val="0"/>
          <w:numId w:val="1"/>
        </w:numPr>
        <w:spacing w:before="0" w:after="80" w:line="360" w:lineRule="auto"/>
        <w:jc w:val="both"/>
      </w:pPr>
      <w:r>
        <w:t xml:space="preserve">Collected KYC documents and signed memoranda of understanding from the sales personnel responsible for the business-to-business clients assigned to them.</w:t>
      </w:r>
    </w:p>
    <w:p>
      <w:pPr>
        <w:numPr>
          <w:ilvl w:val="0"/>
          <w:numId w:val="1"/>
        </w:numPr>
        <w:spacing w:before="0" w:after="80" w:line="360" w:lineRule="auto"/>
        <w:jc w:val="both"/>
      </w:pPr>
      <w:r>
        <w:t xml:space="preserve">Checked whether the documentation on record was complete for each client and followed up with the sales personnel where documents were missing.</w:t>
      </w:r>
    </w:p>
    <w:p>
      <w:pPr>
        <w:numPr>
          <w:ilvl w:val="0"/>
          <w:numId w:val="1"/>
        </w:numPr>
        <w:spacing w:before="0" w:after="80" w:line="360" w:lineRule="auto"/>
        <w:jc w:val="both"/>
      </w:pPr>
      <w:r>
        <w:t xml:space="preserve">Maintained the records properly so that only eligible B2B customers received the benefits attaching to a corporate arrangement.</w:t>
      </w:r>
    </w:p>
    <w:p>
      <w:pPr>
        <w:numPr>
          <w:ilvl w:val="0"/>
          <w:numId w:val="1"/>
        </w:numPr>
        <w:spacing w:before="0" w:after="80" w:line="360" w:lineRule="auto"/>
        <w:jc w:val="both"/>
      </w:pPr>
      <w:r>
        <w:t xml:space="preserve">Learned how verification of business credentials distinguishes a genuine B2B client from a B2C customer, and how that distinction prevents misuse of corporate discounts.</w:t>
      </w:r>
    </w:p>
    <w:p>
      <w:pPr>
        <w:numPr>
          <w:ilvl w:val="0"/>
          <w:numId w:val="1"/>
        </w:numPr>
        <w:spacing w:before="0" w:after="80" w:line="360" w:lineRule="auto"/>
        <w:jc w:val="both"/>
      </w:pPr>
      <w:r>
        <w:t xml:space="preserve">Improved my communication and follow-up skills, since obtaining documents from field personnel required repeated and courteous reminders.</w:t>
      </w:r>
    </w:p>
    <w:p>
      <w:pPr>
        <w:spacing w:before="0" w:after="60" w:line="120" w:lineRule="auto"/>
      </w:pPr>
    </w:p>
    <w:p>
      <w:pPr>
        <w:keepNext/>
        <w:keepLines/>
        <w:spacing w:before="180" w:after="100" w:line="360" w:lineRule="auto"/>
        <w:jc w:val="left"/>
      </w:pPr>
      <w:r>
        <w:rPr>
          <w:b/>
          <w:sz w:val="24"/>
          <w:szCs w:val="24"/>
        </w:rPr>
        <w:t xml:space="preserve">2.3.2  Test Requisition Form (TRF) Verification</w:t>
      </w:r>
    </w:p>
    <w:p>
      <w:pPr>
        <w:numPr>
          <w:ilvl w:val="0"/>
          <w:numId w:val="1"/>
        </w:numPr>
        <w:spacing w:before="0" w:after="80" w:line="360" w:lineRule="auto"/>
        <w:jc w:val="both"/>
      </w:pPr>
      <w:r>
        <w:t xml:space="preserve">Checked Test Requisition Forms received from different branches against the corresponding billing records.</w:t>
      </w:r>
    </w:p>
    <w:p>
      <w:pPr>
        <w:numPr>
          <w:ilvl w:val="0"/>
          <w:numId w:val="1"/>
        </w:numPr>
        <w:spacing w:before="0" w:after="80" w:line="360" w:lineRule="auto"/>
        <w:jc w:val="both"/>
      </w:pPr>
      <w:r>
        <w:t xml:space="preserve">Verified whether the B2B bills were sealed with the name of the respective laboratory, which is the evidence that the requisition was routed through an authorised laboratory.</w:t>
      </w:r>
    </w:p>
    <w:p>
      <w:pPr>
        <w:numPr>
          <w:ilvl w:val="0"/>
          <w:numId w:val="1"/>
        </w:numPr>
        <w:spacing w:before="0" w:after="80" w:line="360" w:lineRule="auto"/>
        <w:jc w:val="both"/>
      </w:pPr>
      <w:r>
        <w:t xml:space="preserve">Noted the details of every form on which the seal was missing, so that the branch concerned could be asked to regularise it.</w:t>
      </w:r>
    </w:p>
    <w:p>
      <w:pPr>
        <w:numPr>
          <w:ilvl w:val="0"/>
          <w:numId w:val="1"/>
        </w:numPr>
        <w:spacing w:before="0" w:after="80" w:line="360" w:lineRule="auto"/>
        <w:jc w:val="both"/>
      </w:pPr>
      <w:r>
        <w:t xml:space="preserve">Learned the importance of maintaining accurate records, and found that this work sharpened my observation, because the difference between an acceptable and an unacceptable form is often a single missing detail.</w:t>
      </w:r>
    </w:p>
    <w:p>
      <w:pPr>
        <w:spacing w:before="0" w:after="60" w:line="120" w:lineRule="auto"/>
      </w:pPr>
    </w:p>
    <w:p>
      <w:pPr>
        <w:keepNext/>
        <w:keepLines/>
        <w:spacing w:before="180" w:after="100" w:line="360" w:lineRule="auto"/>
        <w:jc w:val="left"/>
      </w:pPr>
      <w:r>
        <w:rPr>
          <w:b/>
          <w:sz w:val="24"/>
          <w:szCs w:val="24"/>
        </w:rPr>
        <w:t xml:space="preserve">2.3.3  Deep Discount Verification</w:t>
      </w:r>
    </w:p>
    <w:p>
      <w:pPr>
        <w:numPr>
          <w:ilvl w:val="0"/>
          <w:numId w:val="1"/>
        </w:numPr>
        <w:spacing w:before="0" w:after="80" w:line="360" w:lineRule="auto"/>
        <w:jc w:val="both"/>
      </w:pPr>
      <w:r>
        <w:t xml:space="preserve">Identified walk-in customers who had received discounts of more than thirty per cent on their billing.</w:t>
      </w:r>
    </w:p>
    <w:p>
      <w:pPr>
        <w:numPr>
          <w:ilvl w:val="0"/>
          <w:numId w:val="1"/>
        </w:numPr>
        <w:spacing w:before="0" w:after="80" w:line="360" w:lineRule="auto"/>
        <w:jc w:val="both"/>
      </w:pPr>
      <w:r>
        <w:t xml:space="preserve">Cross-checked each of those cases against the company’s discount policy to establish whether the concession was authorised and properly approved.</w:t>
      </w:r>
    </w:p>
    <w:p>
      <w:pPr>
        <w:numPr>
          <w:ilvl w:val="0"/>
          <w:numId w:val="1"/>
        </w:numPr>
        <w:spacing w:before="0" w:after="80" w:line="360" w:lineRule="auto"/>
        <w:jc w:val="both"/>
      </w:pPr>
      <w:r>
        <w:t xml:space="preserve">Recorded the exceptions, that is the cases which did not fit the policy, for further verification by the audit team.</w:t>
      </w:r>
    </w:p>
    <w:p>
      <w:pPr>
        <w:numPr>
          <w:ilvl w:val="0"/>
          <w:numId w:val="1"/>
        </w:numPr>
        <w:spacing w:before="0" w:after="80" w:line="360" w:lineRule="auto"/>
        <w:jc w:val="both"/>
      </w:pPr>
      <w:r>
        <w:t xml:space="preserve">Understood through this work the importance of following company policy while offering discounts, and the effect that unauthorised concessions have on realisation per test.</w:t>
      </w:r>
    </w:p>
    <w:p>
      <w:pPr>
        <w:spacing w:before="0" w:after="60" w:line="120" w:lineRule="auto"/>
      </w:pPr>
    </w:p>
    <w:p>
      <w:pPr>
        <w:keepNext/>
        <w:keepLines/>
        <w:spacing w:before="180" w:after="100" w:line="360" w:lineRule="auto"/>
        <w:jc w:val="left"/>
      </w:pPr>
      <w:r>
        <w:rPr>
          <w:b/>
          <w:sz w:val="24"/>
          <w:szCs w:val="24"/>
        </w:rPr>
        <w:t xml:space="preserve">2.3.4  Free of Cost (FOC) Verification</w:t>
      </w:r>
    </w:p>
    <w:p>
      <w:pPr>
        <w:numPr>
          <w:ilvl w:val="0"/>
          <w:numId w:val="1"/>
        </w:numPr>
        <w:spacing w:before="0" w:after="80" w:line="360" w:lineRule="auto"/>
        <w:jc w:val="both"/>
      </w:pPr>
      <w:r>
        <w:t xml:space="preserve">Checked records to identify walk-in and business-to-business customers who had been given a hundred per cent discount, that is services provided free of cost.</w:t>
      </w:r>
    </w:p>
    <w:p>
      <w:pPr>
        <w:numPr>
          <w:ilvl w:val="0"/>
          <w:numId w:val="1"/>
        </w:numPr>
        <w:spacing w:before="0" w:after="80" w:line="360" w:lineRule="auto"/>
        <w:jc w:val="both"/>
      </w:pPr>
      <w:r>
        <w:t xml:space="preserve">Verified the basis on which each free service had been granted and whether it carried the required authorisation.</w:t>
      </w:r>
    </w:p>
    <w:p>
      <w:pPr>
        <w:numPr>
          <w:ilvl w:val="0"/>
          <w:numId w:val="1"/>
        </w:numPr>
        <w:spacing w:before="0" w:after="80" w:line="360" w:lineRule="auto"/>
        <w:jc w:val="both"/>
      </w:pPr>
      <w:r>
        <w:t xml:space="preserve">Recorded those cases for further review by the team so that the pattern of free services could be examined.</w:t>
      </w:r>
    </w:p>
    <w:p>
      <w:pPr>
        <w:numPr>
          <w:ilvl w:val="0"/>
          <w:numId w:val="1"/>
        </w:numPr>
        <w:spacing w:before="0" w:after="80" w:line="360" w:lineRule="auto"/>
        <w:jc w:val="both"/>
      </w:pPr>
      <w:r>
        <w:t xml:space="preserve">Understood the importance of monitoring free services and of maintaining proper control over revenue-related transactions, since a free service is a complete waiver of revenue.</w:t>
      </w:r>
    </w:p>
    <w:p>
      <w:pPr>
        <w:spacing w:before="0" w:after="60" w:line="120" w:lineRule="auto"/>
      </w:pPr>
    </w:p>
    <w:p>
      <w:pPr>
        <w:keepNext/>
        <w:keepLines/>
        <w:spacing w:before="180" w:after="100" w:line="360" w:lineRule="auto"/>
        <w:jc w:val="left"/>
      </w:pPr>
      <w:r>
        <w:rPr>
          <w:b/>
          <w:sz w:val="24"/>
          <w:szCs w:val="24"/>
        </w:rPr>
        <w:t xml:space="preserve">2.3.5  Cash Due Monitoring</w:t>
      </w:r>
    </w:p>
    <w:p>
      <w:pPr>
        <w:numPr>
          <w:ilvl w:val="0"/>
          <w:numId w:val="1"/>
        </w:numPr>
        <w:spacing w:before="0" w:after="80" w:line="360" w:lineRule="auto"/>
        <w:jc w:val="both"/>
      </w:pPr>
      <w:r>
        <w:t xml:space="preserve">Reviewed payment records to establish which billed amounts remained unpaid.</w:t>
      </w:r>
    </w:p>
    <w:p>
      <w:pPr>
        <w:numPr>
          <w:ilvl w:val="0"/>
          <w:numId w:val="1"/>
        </w:numPr>
        <w:spacing w:before="0" w:after="80" w:line="360" w:lineRule="auto"/>
        <w:jc w:val="both"/>
      </w:pPr>
      <w:r>
        <w:t xml:space="preserve">Calculated the number of days between the payment date and the current date in order to identify the cash due status of each case.</w:t>
      </w:r>
    </w:p>
    <w:p>
      <w:pPr>
        <w:numPr>
          <w:ilvl w:val="0"/>
          <w:numId w:val="1"/>
        </w:numPr>
        <w:spacing w:before="0" w:after="80" w:line="360" w:lineRule="auto"/>
        <w:jc w:val="both"/>
      </w:pPr>
      <w:r>
        <w:t xml:space="preserve">Prepared the resulting position so that the ageing of dues was visible and the older items could be pursued first.</w:t>
      </w:r>
    </w:p>
    <w:p>
      <w:pPr>
        <w:numPr>
          <w:ilvl w:val="0"/>
          <w:numId w:val="1"/>
        </w:numPr>
        <w:spacing w:before="0" w:after="80" w:line="360" w:lineRule="auto"/>
        <w:jc w:val="both"/>
      </w:pPr>
      <w:r>
        <w:t xml:space="preserve">Gained an understanding of how pending payments are monitored and learned the importance of maintaining accurate financial records, since ageing can only be calculated correctly if the underlying dates are correct.</w:t>
      </w:r>
    </w:p>
    <w:p>
      <w:pPr>
        <w:spacing w:before="0" w:after="60" w:line="120" w:lineRule="auto"/>
      </w:pPr>
    </w:p>
    <w:p>
      <w:pPr>
        <w:keepNext/>
        <w:keepLines/>
        <w:spacing w:before="180" w:after="100" w:line="360" w:lineRule="auto"/>
        <w:jc w:val="left"/>
      </w:pPr>
      <w:r>
        <w:rPr>
          <w:b/>
          <w:sz w:val="24"/>
          <w:szCs w:val="24"/>
        </w:rPr>
        <w:t xml:space="preserve">2.3.6  Service Deletion Verification</w:t>
      </w:r>
    </w:p>
    <w:p>
      <w:pPr>
        <w:numPr>
          <w:ilvl w:val="0"/>
          <w:numId w:val="1"/>
        </w:numPr>
        <w:spacing w:before="0" w:after="80" w:line="360" w:lineRule="auto"/>
        <w:jc w:val="both"/>
      </w:pPr>
      <w:r>
        <w:t xml:space="preserve">Reviewed deleted service records to identify cases where tests booked by customers were later removed from the system.</w:t>
      </w:r>
    </w:p>
    <w:p>
      <w:pPr>
        <w:numPr>
          <w:ilvl w:val="0"/>
          <w:numId w:val="1"/>
        </w:numPr>
        <w:spacing w:before="0" w:after="80" w:line="360" w:lineRule="auto"/>
        <w:jc w:val="both"/>
      </w:pPr>
      <w:r>
        <w:t xml:space="preserve">Traced the respective laboratory identification numbers for the deleted services.</w:t>
      </w:r>
    </w:p>
    <w:p>
      <w:pPr>
        <w:numPr>
          <w:ilvl w:val="0"/>
          <w:numId w:val="1"/>
        </w:numPr>
        <w:spacing w:before="0" w:after="80" w:line="360" w:lineRule="auto"/>
        <w:jc w:val="both"/>
      </w:pPr>
      <w:r>
        <w:t xml:space="preserve">Checked the details of who had made each deletion and the reason recorded for removing the laboratory identification number.</w:t>
      </w:r>
    </w:p>
    <w:p>
      <w:pPr>
        <w:numPr>
          <w:ilvl w:val="0"/>
          <w:numId w:val="1"/>
        </w:numPr>
        <w:spacing w:before="0" w:after="80" w:line="360" w:lineRule="auto"/>
        <w:jc w:val="both"/>
      </w:pPr>
      <w:r>
        <w:t xml:space="preserve">Understood the importance of monitoring changes made in billing and recording, since a deletion removes a booking and therefore the revenue attached to it, and control over the process depends on every deletion being attributable and explained.</w:t>
      </w:r>
    </w:p>
    <w:p>
      <w:pPr>
        <w:spacing w:before="0" w:after="60" w:line="120" w:lineRule="auto"/>
      </w:pPr>
    </w:p>
    <w:p>
      <w:pPr>
        <w:keepNext/>
        <w:keepLines/>
        <w:spacing w:before="180" w:after="100" w:line="360" w:lineRule="auto"/>
        <w:jc w:val="left"/>
      </w:pPr>
      <w:r>
        <w:rPr>
          <w:b/>
          <w:sz w:val="24"/>
          <w:szCs w:val="24"/>
        </w:rPr>
        <w:t xml:space="preserve">2.3.7  Action Taken Report (ATR) Follow-Up for Branch Audits</w:t>
      </w:r>
    </w:p>
    <w:p>
      <w:pPr>
        <w:numPr>
          <w:ilvl w:val="0"/>
          <w:numId w:val="1"/>
        </w:numPr>
        <w:spacing w:before="0" w:after="80" w:line="360" w:lineRule="auto"/>
        <w:jc w:val="both"/>
      </w:pPr>
      <w:r>
        <w:t xml:space="preserve">Followed up with branch staff through telephone calls to collect the evidence required to close audit observations raised during internal audits.</w:t>
      </w:r>
    </w:p>
    <w:p>
      <w:pPr>
        <w:numPr>
          <w:ilvl w:val="0"/>
          <w:numId w:val="1"/>
        </w:numPr>
        <w:spacing w:before="0" w:after="80" w:line="360" w:lineRule="auto"/>
        <w:jc w:val="both"/>
      </w:pPr>
      <w:r>
        <w:t xml:space="preserve">Updated the status of pending and completed remarks regularly so that the position of each observation was current.</w:t>
      </w:r>
    </w:p>
    <w:p>
      <w:pPr>
        <w:numPr>
          <w:ilvl w:val="0"/>
          <w:numId w:val="1"/>
        </w:numPr>
        <w:spacing w:before="0" w:after="80" w:line="360" w:lineRule="auto"/>
        <w:jc w:val="both"/>
      </w:pPr>
      <w:r>
        <w:t xml:space="preserve">Coordinated between the branches and the audit team where an observation needed clarification before it could be closed.</w:t>
      </w:r>
    </w:p>
    <w:p>
      <w:pPr>
        <w:numPr>
          <w:ilvl w:val="0"/>
          <w:numId w:val="1"/>
        </w:numPr>
        <w:spacing w:before="0" w:after="80" w:line="360" w:lineRule="auto"/>
        <w:jc w:val="both"/>
      </w:pPr>
      <w:r>
        <w:t xml:space="preserve">Improved my communication and follow-up skills through this work, and learned how timely responses from the branches help complete the audit process effectively.</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30 July 2026, twelve working weeks in all.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(11 May – 16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laboratory identification numbers,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 and free of cost services.</w:t>
      </w:r>
    </w:p>
    <w:p>
      <w:pPr>
        <w:spacing w:before="0" w:after="60" w:line="120" w:lineRule="auto"/>
      </w:pPr>
    </w:p>
    <w:p>
      <w:pPr>
        <w:keepNext/>
        <w:keepLines/>
        <w:spacing w:before="180" w:after="100" w:line="360" w:lineRule="auto"/>
        <w:jc w:val="left"/>
      </w:pPr>
      <w:r>
        <w:rPr>
          <w:b/>
          <w:sz w:val="24"/>
          <w:szCs w:val="24"/>
        </w:rPr>
        <w:t xml:space="preserve">Week 2 (18 May – 23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(25 May – 30 May 2026): B2B Documentation and Eligibility</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Verified that the clients on record were eligible for the business-to-business benefits being extended to them.</w:t>
      </w:r>
    </w:p>
    <w:p>
      <w:pPr>
        <w:numPr>
          <w:ilvl w:val="0"/>
          <w:numId w:val="1"/>
        </w:numPr>
        <w:spacing w:before="0" w:after="80" w:line="360" w:lineRule="auto"/>
        <w:jc w:val="both"/>
      </w:pPr>
      <w:r>
        <w:t xml:space="preserve">Learned how verification of business credentials distinguishes a genuine B2B client from a B2C customer.</w:t>
      </w:r>
    </w:p>
    <w:p>
      <w:pPr>
        <w:spacing w:before="0" w:after="60" w:line="120" w:lineRule="auto"/>
      </w:pPr>
    </w:p>
    <w:p>
      <w:pPr>
        <w:keepNext/>
        <w:keepLines/>
        <w:spacing w:before="180" w:after="100" w:line="360" w:lineRule="auto"/>
        <w:jc w:val="left"/>
      </w:pPr>
      <w:r>
        <w:rPr>
          <w:b/>
          <w:sz w:val="24"/>
          <w:szCs w:val="24"/>
        </w:rPr>
        <w:t xml:space="preserve">Week 4 (1 June – 6 June 2026): Test Requisition Form Verification</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numPr>
          <w:ilvl w:val="0"/>
          <w:numId w:val="1"/>
        </w:numPr>
        <w:spacing w:before="0" w:after="80" w:line="360" w:lineRule="auto"/>
        <w:jc w:val="both"/>
      </w:pPr>
      <w:r>
        <w:t xml:space="preserve">Passed the details of the incomplete forms to the audit team so that the branches concerned could be asked to regularise them.</w:t>
      </w:r>
    </w:p>
    <w:p>
      <w:pPr>
        <w:spacing w:before="0" w:after="60" w:line="120" w:lineRule="auto"/>
      </w:pPr>
    </w:p>
    <w:p>
      <w:pPr>
        <w:keepNext/>
        <w:keepLines/>
        <w:spacing w:before="180" w:after="100" w:line="360" w:lineRule="auto"/>
        <w:jc w:val="left"/>
      </w:pPr>
      <w:r>
        <w:rPr>
          <w:b/>
          <w:sz w:val="24"/>
          <w:szCs w:val="24"/>
        </w:rPr>
        <w:t xml:space="preserve">Week 5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6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7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8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9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10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11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12 (27 July – 30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numPr>
          <w:ilvl w:val="0"/>
          <w:numId w:val="1"/>
        </w:numPr>
        <w:spacing w:before="0" w:after="80" w:line="360" w:lineRule="auto"/>
        <w:jc w:val="both"/>
      </w:pPr>
      <w:r>
        <w:t xml:space="preserve">Applied the basic audit approach of understanding a process, identifying what can go wrong in it and designing a check that would detect it.</w:t>
      </w:r>
    </w:p>
    <w:p>
      <w:pPr>
        <w:numPr>
          <w:ilvl w:val="0"/>
          <w:numId w:val="1"/>
        </w:numPr>
        <w:spacing w:before="0" w:after="80" w:line="360" w:lineRule="auto"/>
        <w:jc w:val="both"/>
      </w:pPr>
      <w:r>
        <w:t xml:space="preserve">Used sampling and threshold-based selection in practice, for instance by examining discounts above thirty per cent and services billed at a hundred per cent discount.</w:t>
      </w:r>
    </w:p>
    <w:p>
      <w:pPr>
        <w:numPr>
          <w:ilvl w:val="0"/>
          <w:numId w:val="1"/>
        </w:numPr>
        <w:spacing w:before="0" w:after="80" w:line="360" w:lineRule="auto"/>
        <w:jc w:val="both"/>
      </w:pPr>
      <w:r>
        <w:t xml:space="preserve">Applied the principle that an audit conclusion must rest on evidence, which is why every exception I reported carried the underlying record with it.</w:t>
      </w:r>
    </w:p>
    <w:p>
      <w:pPr>
        <w:spacing w:before="0" w:after="60" w:line="120" w:lineRule="auto"/>
      </w:pPr>
    </w:p>
    <w:p>
      <w:pPr>
        <w:keepNext/>
        <w:keepLines/>
        <w:spacing w:before="180" w:after="100" w:line="360" w:lineRule="auto"/>
        <w:jc w:val="left"/>
      </w:pPr>
      <w:r>
        <w:rPr>
          <w:b/>
          <w:sz w:val="24"/>
          <w:szCs w:val="24"/>
        </w:rPr>
        <w:t xml:space="preserve">2.6.2  Internal Control and Risk</w:t>
      </w:r>
    </w:p>
    <w:p>
      <w:pPr>
        <w:numPr>
          <w:ilvl w:val="0"/>
          <w:numId w:val="1"/>
        </w:numPr>
        <w:spacing w:before="0" w:after="80" w:line="360" w:lineRule="auto"/>
        <w:jc w:val="both"/>
      </w:pPr>
      <w:r>
        <w:t xml:space="preserve">Applied the distinction between preventive and detective controls: an approval limit on discounts is preventive, while the verification I performed is detective.</w:t>
      </w:r>
    </w:p>
    <w:p>
      <w:pPr>
        <w:numPr>
          <w:ilvl w:val="0"/>
          <w:numId w:val="1"/>
        </w:numPr>
        <w:spacing w:before="0" w:after="80" w:line="360" w:lineRule="auto"/>
        <w:jc w:val="both"/>
      </w:pPr>
      <w:r>
        <w:t xml:space="preserve">Saw how authorisation, documentation and segregation of duties work together, and what happens when a booking can be deleted without a recorded reason.</w:t>
      </w:r>
    </w:p>
    <w:p>
      <w:pPr>
        <w:numPr>
          <w:ilvl w:val="0"/>
          <w:numId w:val="1"/>
        </w:numPr>
        <w:spacing w:before="0" w:after="80" w:line="360" w:lineRule="auto"/>
        <w:jc w:val="both"/>
      </w:pPr>
      <w:r>
        <w:t xml:space="preserve">Understood revenue leakage as a control risk rather than an accounting error, arising from many small unverified concessions rather than from one large mistake.</w:t>
      </w:r>
    </w:p>
    <w:p>
      <w:pPr>
        <w:spacing w:before="0" w:after="60" w:line="120" w:lineRule="auto"/>
      </w:pPr>
    </w:p>
    <w:p>
      <w:pPr>
        <w:keepNext/>
        <w:keepLines/>
        <w:spacing w:before="180" w:after="100" w:line="360" w:lineRule="auto"/>
        <w:jc w:val="left"/>
      </w:pPr>
      <w:r>
        <w:rPr>
          <w:b/>
          <w:sz w:val="24"/>
          <w:szCs w:val="24"/>
        </w:rPr>
        <w:t xml:space="preserve">2.6.3  Financial Accounting and Receivables Management</w:t>
      </w:r>
    </w:p>
    <w:p>
      <w:pPr>
        <w:numPr>
          <w:ilvl w:val="0"/>
          <w:numId w:val="1"/>
        </w:numPr>
        <w:spacing w:before="0" w:after="80" w:line="360" w:lineRule="auto"/>
        <w:jc w:val="both"/>
      </w:pPr>
      <w:r>
        <w:t xml:space="preserve">Applied receivables and working capital concepts while calculating the ageing of dues in cash due monitoring.</w:t>
      </w:r>
    </w:p>
    <w:p>
      <w:pPr>
        <w:numPr>
          <w:ilvl w:val="0"/>
          <w:numId w:val="1"/>
        </w:numPr>
        <w:spacing w:before="0" w:after="80" w:line="360" w:lineRule="auto"/>
        <w:jc w:val="both"/>
      </w:pPr>
      <w:r>
        <w:t xml:space="preserve">Understood how credit extended to business-to-business clients converts recognised revenue into a collection problem if it is not monitored.</w:t>
      </w:r>
    </w:p>
    <w:p>
      <w:pPr>
        <w:numPr>
          <w:ilvl w:val="0"/>
          <w:numId w:val="1"/>
        </w:numPr>
        <w:spacing w:before="0" w:after="80" w:line="360" w:lineRule="auto"/>
        <w:jc w:val="both"/>
      </w:pPr>
      <w:r>
        <w:t xml:space="preserve">Learned how discounts and free services affect net realisation and therefore the revenue actually recorded.</w:t>
      </w:r>
    </w:p>
    <w:p>
      <w:pPr>
        <w:spacing w:before="0" w:after="60" w:line="120" w:lineRule="auto"/>
      </w:pPr>
    </w:p>
    <w:p>
      <w:pPr>
        <w:keepNext/>
        <w:keepLines/>
        <w:spacing w:before="180" w:after="100" w:line="360" w:lineRule="auto"/>
        <w:jc w:val="left"/>
      </w:pPr>
      <w:r>
        <w:rPr>
          <w:b/>
          <w:sz w:val="24"/>
          <w:szCs w:val="24"/>
        </w:rPr>
        <w:t xml:space="preserve">2.6.4  Business Communication</w:t>
      </w:r>
    </w:p>
    <w:p>
      <w:pPr>
        <w:numPr>
          <w:ilvl w:val="0"/>
          <w:numId w:val="1"/>
        </w:numPr>
        <w:spacing w:before="0" w:after="80" w:line="360" w:lineRule="auto"/>
        <w:jc w:val="both"/>
      </w:pPr>
      <w:r>
        <w:t xml:space="preserve">Applied professional communication while collecting KYC documents from sales personnel and pursuing evidence from branch staff by telephone.</w:t>
      </w:r>
    </w:p>
    <w:p>
      <w:pPr>
        <w:numPr>
          <w:ilvl w:val="0"/>
          <w:numId w:val="1"/>
        </w:numPr>
        <w:spacing w:before="0" w:after="80" w:line="360" w:lineRule="auto"/>
        <w:jc w:val="both"/>
      </w:pPr>
      <w:r>
        <w:t xml:space="preserve">Learned to write an audit observation factually and without accusation, and to record the status of a follow-up so that anyone reading it knows what is outstanding.</w:t>
      </w:r>
    </w:p>
    <w:p>
      <w:pPr>
        <w:numPr>
          <w:ilvl w:val="0"/>
          <w:numId w:val="1"/>
        </w:numPr>
        <w:spacing w:before="0" w:after="80" w:line="360" w:lineRule="auto"/>
        <w:jc w:val="both"/>
      </w:pPr>
      <w:r>
        <w:t xml:space="preserve">Practised the skill of persistent but courteous follow-up, which is what actually closes an observation.</w:t>
      </w:r>
    </w:p>
    <w:p>
      <w:pPr>
        <w:spacing w:before="0" w:after="60" w:line="120" w:lineRule="auto"/>
      </w:pPr>
    </w:p>
    <w:p>
      <w:pPr>
        <w:keepNext/>
        <w:keepLines/>
        <w:spacing w:before="180" w:after="100" w:line="360" w:lineRule="auto"/>
        <w:jc w:val="left"/>
      </w:pPr>
      <w:r>
        <w:rPr>
          <w:b/>
          <w:sz w:val="24"/>
          <w:szCs w:val="24"/>
        </w:rPr>
        <w:t xml:space="preserve">2.6.5  Service Operations and Healthcare Administration</w:t>
      </w:r>
    </w:p>
    <w:p>
      <w:pPr>
        <w:numPr>
          <w:ilvl w:val="0"/>
          <w:numId w:val="1"/>
        </w:numPr>
        <w:spacing w:before="0" w:after="80" w:line="360" w:lineRule="auto"/>
        <w:jc w:val="both"/>
      </w:pPr>
      <w:r>
        <w:t xml:space="preserve">Applied service operations concepts to a business where the product is a test report and the process runs from registration through collection, testing and reporting.</w:t>
      </w:r>
    </w:p>
    <w:p>
      <w:pPr>
        <w:numPr>
          <w:ilvl w:val="0"/>
          <w:numId w:val="1"/>
        </w:numPr>
        <w:spacing w:before="0" w:after="80" w:line="360" w:lineRule="auto"/>
        <w:jc w:val="both"/>
      </w:pPr>
      <w:r>
        <w:t xml:space="preserve">Understood how a multi-branch network creates variation in process discipline and why standardisation matters for both quality and commercial control.</w:t>
      </w:r>
    </w:p>
    <w:p>
      <w:pPr>
        <w:numPr>
          <w:ilvl w:val="0"/>
          <w:numId w:val="1"/>
        </w:numPr>
        <w:spacing w:before="0" w:after="80" w:line="360" w:lineRule="auto"/>
        <w:jc w:val="both"/>
      </w:pPr>
      <w:r>
        <w:t xml:space="preserve">Observed how documentation requirements in a regulated, accredited environment support both clinical quality and financial control.</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twelve weeks, and I developed the habit of noting the steps of a process immediately after it was demonstrated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B2B KYC Verification</w:t>
            </w:r>
          </w:p>
        </w:tc>
        <w:tc>
          <w:tcPr>
            <w:tcW w:w="5199" w:type="dxa"/>
            <w:vAlign w:val="center"/>
          </w:tcPr>
          <w:p>
            <w:pPr>
              <w:spacing w:before="20" w:after="20" w:line="240" w:lineRule="auto"/>
              <w:jc w:val="left"/>
            </w:pPr>
            <w:r>
              <w:rPr>
                <w:sz w:val="24"/>
                <w:szCs w:val="24"/>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B2B Eligibility</w:t>
            </w:r>
          </w:p>
        </w:tc>
        <w:tc>
          <w:tcPr>
            <w:tcW w:w="5199" w:type="dxa"/>
            <w:vAlign w:val="center"/>
          </w:tcPr>
          <w:p>
            <w:pPr>
              <w:spacing w:before="20" w:after="20" w:line="240" w:lineRule="auto"/>
              <w:jc w:val="left"/>
            </w:pPr>
            <w:r>
              <w:rPr>
                <w:sz w:val="24"/>
                <w:szCs w:val="24"/>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Test Requisition Forms</w:t>
            </w:r>
          </w:p>
        </w:tc>
        <w:tc>
          <w:tcPr>
            <w:tcW w:w="5199" w:type="dxa"/>
            <w:vAlign w:val="center"/>
          </w:tcPr>
          <w:p>
            <w:pPr>
              <w:spacing w:before="20" w:after="20" w:line="240" w:lineRule="auto"/>
              <w:jc w:val="left"/>
            </w:pPr>
            <w:r>
              <w:rPr>
                <w:sz w:val="24"/>
                <w:szCs w:val="24"/>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Deep Discounts</w:t>
            </w:r>
          </w:p>
        </w:tc>
        <w:tc>
          <w:tcPr>
            <w:tcW w:w="5199" w:type="dxa"/>
            <w:vAlign w:val="center"/>
          </w:tcPr>
          <w:p>
            <w:pPr>
              <w:spacing w:before="20" w:after="20" w:line="240" w:lineRule="auto"/>
              <w:jc w:val="left"/>
            </w:pPr>
            <w:r>
              <w:rPr>
                <w:sz w:val="24"/>
                <w:szCs w:val="24"/>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Free of Cost Cases</w:t>
            </w:r>
          </w:p>
        </w:tc>
        <w:tc>
          <w:tcPr>
            <w:tcW w:w="5199" w:type="dxa"/>
            <w:vAlign w:val="center"/>
          </w:tcPr>
          <w:p>
            <w:pPr>
              <w:spacing w:before="20" w:after="20" w:line="240" w:lineRule="auto"/>
              <w:jc w:val="left"/>
            </w:pPr>
            <w:r>
              <w:rPr>
                <w:sz w:val="24"/>
                <w:szCs w:val="24"/>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Cash Due Monitoring</w:t>
            </w:r>
          </w:p>
        </w:tc>
        <w:tc>
          <w:tcPr>
            <w:tcW w:w="5199" w:type="dxa"/>
            <w:vAlign w:val="center"/>
          </w:tcPr>
          <w:p>
            <w:pPr>
              <w:spacing w:before="20" w:after="20" w:line="240" w:lineRule="auto"/>
              <w:jc w:val="left"/>
            </w:pPr>
            <w:r>
              <w:rPr>
                <w:sz w:val="24"/>
                <w:szCs w:val="24"/>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Service Deletions</w:t>
            </w:r>
          </w:p>
        </w:tc>
        <w:tc>
          <w:tcPr>
            <w:tcW w:w="5199" w:type="dxa"/>
            <w:vAlign w:val="center"/>
          </w:tcPr>
          <w:p>
            <w:pPr>
              <w:spacing w:before="20" w:after="20" w:line="240" w:lineRule="auto"/>
              <w:jc w:val="left"/>
            </w:pPr>
            <w:r>
              <w:rPr>
                <w:sz w:val="24"/>
                <w:szCs w:val="24"/>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Branch Audit Follow-Up</w:t>
            </w:r>
          </w:p>
        </w:tc>
        <w:tc>
          <w:tcPr>
            <w:tcW w:w="5199" w:type="dxa"/>
            <w:vAlign w:val="center"/>
          </w:tcPr>
          <w:p>
            <w:pPr>
              <w:spacing w:before="20" w:after="20" w:line="240" w:lineRule="auto"/>
              <w:jc w:val="left"/>
            </w:pPr>
            <w:r>
              <w:rPr>
                <w:sz w:val="24"/>
                <w:szCs w:val="24"/>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Exception Reporting</w:t>
            </w:r>
          </w:p>
        </w:tc>
        <w:tc>
          <w:tcPr>
            <w:tcW w:w="5199" w:type="dxa"/>
            <w:vAlign w:val="center"/>
          </w:tcPr>
          <w:p>
            <w:pPr>
              <w:spacing w:before="20" w:after="20" w:line="240" w:lineRule="auto"/>
              <w:jc w:val="left"/>
            </w:pPr>
            <w:r>
              <w:rPr>
                <w:sz w:val="24"/>
                <w:szCs w:val="24"/>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Documentation</w:t>
            </w:r>
          </w:p>
        </w:tc>
        <w:tc>
          <w:tcPr>
            <w:tcW w:w="5199" w:type="dxa"/>
            <w:vAlign w:val="center"/>
          </w:tcPr>
          <w:p>
            <w:pPr>
              <w:spacing w:before="20" w:after="20" w:line="240" w:lineRule="auto"/>
              <w:jc w:val="left"/>
            </w:pPr>
            <w:r>
              <w:rPr>
                <w:sz w:val="24"/>
                <w:szCs w:val="24"/>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Verification of discounts, free of cost services, deletions and requisition forms, and reporting of exceptions with evidence</w:t>
            </w:r>
          </w:p>
        </w:tc>
      </w:tr>
      <w:tr>
        <w:trPr>
          <w:cantSplit/>
          <w:trHeight w:val="500" w:hRule="atLeast"/>
        </w:trPr>
        <w:tc>
          <w:tcPr>
            <w:tcW w:w="2888" w:type="dxa"/>
            <w:vAlign w:val="center"/>
          </w:tcPr>
          <w:p>
            <w:pPr>
              <w:spacing w:before="20" w:after="20" w:line="240" w:lineRule="auto"/>
              <w:jc w:val="center"/>
            </w:pPr>
            <w:r>
              <w:rPr>
                <w:b/>
                <w:sz w:val="24"/>
                <w:szCs w:val="24"/>
              </w:rPr>
              <w:t xml:space="preserve">Internal Control and Risk Management</w:t>
            </w:r>
          </w:p>
        </w:tc>
        <w:tc>
          <w:tcPr>
            <w:tcW w:w="5777" w:type="dxa"/>
            <w:vAlign w:val="center"/>
          </w:tcPr>
          <w:p>
            <w:pPr>
              <w:spacing w:before="20" w:after="20" w:line="240" w:lineRule="auto"/>
              <w:jc w:val="left"/>
            </w:pPr>
            <w:r>
              <w:rPr>
                <w:sz w:val="24"/>
                <w:szCs w:val="24"/>
              </w:rPr>
              <w:t xml:space="preserve">Testing of authorisation, documentation and traceability controls across the revenue cycle</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Understanding of how discounts, free services and deletions affect recorded revenue</w:t>
            </w:r>
          </w:p>
        </w:tc>
      </w:tr>
      <w:tr>
        <w:trPr>
          <w:cantSplit/>
          <w:trHeight w:val="500" w:hRule="atLeast"/>
        </w:trPr>
        <w:tc>
          <w:tcPr>
            <w:tcW w:w="2888" w:type="dxa"/>
            <w:vAlign w:val="center"/>
          </w:tcPr>
          <w:p>
            <w:pPr>
              <w:spacing w:before="20" w:after="20" w:line="240" w:lineRule="auto"/>
              <w:jc w:val="center"/>
            </w:pPr>
            <w:r>
              <w:rPr>
                <w:b/>
                <w:sz w:val="24"/>
                <w:szCs w:val="24"/>
              </w:rPr>
              <w:t xml:space="preserve">Working Capital and Receivables Management</w:t>
            </w:r>
          </w:p>
        </w:tc>
        <w:tc>
          <w:tcPr>
            <w:tcW w:w="5777" w:type="dxa"/>
            <w:vAlign w:val="center"/>
          </w:tcPr>
          <w:p>
            <w:pPr>
              <w:spacing w:before="20" w:after="20" w:line="240" w:lineRule="auto"/>
              <w:jc w:val="left"/>
            </w:pPr>
            <w:r>
              <w:rPr>
                <w:sz w:val="24"/>
                <w:szCs w:val="24"/>
              </w:rPr>
              <w:t xml:space="preserve">Cash due monitoring and calculation of days outstanding on billed amounts</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Collection of KYC documents from sales personnel and telephone follow-up with branches for audit evidence</w:t>
            </w:r>
          </w:p>
        </w:tc>
      </w:tr>
      <w:tr>
        <w:trPr>
          <w:cantSplit/>
          <w:trHeight w:val="500" w:hRule="atLeast"/>
        </w:trPr>
        <w:tc>
          <w:tcPr>
            <w:tcW w:w="2888" w:type="dxa"/>
            <w:vAlign w:val="center"/>
          </w:tcPr>
          <w:p>
            <w:pPr>
              <w:spacing w:before="20" w:after="20" w:line="240" w:lineRule="auto"/>
              <w:jc w:val="center"/>
            </w:pPr>
            <w:r>
              <w:rPr>
                <w:b/>
                <w:sz w:val="24"/>
                <w:szCs w:val="24"/>
              </w:rPr>
              <w:t xml:space="preserve">Management Information Systems</w:t>
            </w:r>
          </w:p>
        </w:tc>
        <w:tc>
          <w:tcPr>
            <w:tcW w:w="5777" w:type="dxa"/>
            <w:vAlign w:val="center"/>
          </w:tcPr>
          <w:p>
            <w:pPr>
              <w:spacing w:before="20" w:after="20" w:line="240" w:lineRule="auto"/>
              <w:jc w:val="left"/>
            </w:pPr>
            <w:r>
              <w:rPr>
                <w:sz w:val="24"/>
                <w:szCs w:val="24"/>
              </w:rPr>
              <w:t xml:space="preserve">Use of Suflam LIMS records as audit evidence, including user and reason trails for amendments</w:t>
            </w:r>
          </w:p>
        </w:tc>
      </w:tr>
      <w:tr>
        <w:trPr>
          <w:cantSplit/>
          <w:trHeight w:val="500" w:hRule="atLeast"/>
        </w:trPr>
        <w:tc>
          <w:tcPr>
            <w:tcW w:w="2888" w:type="dxa"/>
            <w:vAlign w:val="center"/>
          </w:tcPr>
          <w:p>
            <w:pPr>
              <w:spacing w:before="20" w:after="20" w:line="240" w:lineRule="auto"/>
              <w:jc w:val="center"/>
            </w:pPr>
            <w:r>
              <w:rPr>
                <w:b/>
                <w:sz w:val="24"/>
                <w:szCs w:val="24"/>
              </w:rPr>
              <w:t xml:space="preserve">Service Operations Management</w:t>
            </w:r>
          </w:p>
        </w:tc>
        <w:tc>
          <w:tcPr>
            <w:tcW w:w="5777" w:type="dxa"/>
            <w:vAlign w:val="center"/>
          </w:tcPr>
          <w:p>
            <w:pPr>
              <w:spacing w:before="20" w:after="20" w:line="240" w:lineRule="auto"/>
              <w:jc w:val="left"/>
            </w:pPr>
            <w:r>
              <w:rPr>
                <w:sz w:val="24"/>
                <w:szCs w:val="24"/>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A control that cannot be evidenced does not exist for audit purposes, however well it may be operating in practice.</w:t>
      </w:r>
    </w:p>
    <w:p>
      <w:pPr>
        <w:numPr>
          <w:ilvl w:val="0"/>
          <w:numId w:val="1"/>
        </w:numPr>
        <w:spacing w:before="0" w:after="80" w:line="360" w:lineRule="auto"/>
        <w:jc w:val="both"/>
      </w:pPr>
      <w:r>
        <w:t xml:space="preserve">Revenue leakage in a high-volume service business is cumulative rather than dramatic, which is precisely why continuous verification is needed.</w:t>
      </w:r>
    </w:p>
    <w:p>
      <w:pPr>
        <w:numPr>
          <w:ilvl w:val="0"/>
          <w:numId w:val="1"/>
        </w:numPr>
        <w:spacing w:before="0" w:after="80" w:line="360" w:lineRule="auto"/>
        <w:jc w:val="both"/>
      </w:pPr>
      <w:r>
        <w:t xml:space="preserve">Documentation is not administrative overhead; it is the only thing that allows a transaction to be reviewed months later.</w:t>
      </w:r>
    </w:p>
    <w:p>
      <w:pPr>
        <w:numPr>
          <w:ilvl w:val="0"/>
          <w:numId w:val="1"/>
        </w:numPr>
        <w:spacing w:before="0" w:after="80" w:line="360" w:lineRule="auto"/>
        <w:jc w:val="both"/>
      </w:pPr>
      <w:r>
        <w:t xml:space="preserve">Internal audit adds value by being timely, since an observation reported while the period is still open can actually be corrected.</w:t>
      </w:r>
    </w:p>
    <w:p>
      <w:pPr>
        <w:numPr>
          <w:ilvl w:val="0"/>
          <w:numId w:val="1"/>
        </w:numPr>
        <w:spacing w:before="0" w:after="80" w:line="360" w:lineRule="auto"/>
        <w:jc w:val="both"/>
      </w:pPr>
      <w:r>
        <w:t xml:space="preserve">Objectivity is a discipline rather than an attitude: it means reporting what the record shows, no more and no less.</w:t>
      </w:r>
    </w:p>
    <w:p>
      <w:pPr>
        <w:numPr>
          <w:ilvl w:val="0"/>
          <w:numId w:val="1"/>
        </w:numPr>
        <w:spacing w:before="0" w:after="80" w:line="360" w:lineRule="auto"/>
        <w:jc w:val="both"/>
      </w:pPr>
      <w:r>
        <w:t xml:space="preserve">Repetitive verification is where competence is built, because the exceptions only become visible once the normal pattern is familiar.</w:t>
      </w:r>
    </w:p>
    <w:p>
      <w:pPr>
        <w:numPr>
          <w:ilvl w:val="0"/>
          <w:numId w:val="1"/>
        </w:numPr>
        <w:spacing w:before="0" w:after="80" w:line="360" w:lineRule="auto"/>
        <w:jc w:val="both"/>
      </w:pPr>
      <w:r>
        <w:t xml:space="preserve">An audit department depends on the cooperation of people it has no authority over, which makes communication a core professional skill.</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11 May 2026 to 30 July 2026, under the guidance of Ms. S. Saradha,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Internal Audit</w:t>
      </w:r>
    </w:p>
    <w:p>
      <w:pPr>
        <w:numPr>
          <w:ilvl w:val="0"/>
          <w:numId w:val="1"/>
        </w:numPr>
        <w:spacing w:before="0" w:after="80" w:line="360" w:lineRule="auto"/>
        <w:jc w:val="both"/>
      </w:pPr>
      <w:r>
        <w:t xml:space="preserve">Learned how an internal audit department plans a verification, performs it on live records and reports exceptions with supporting evidence.</w:t>
      </w:r>
    </w:p>
    <w:p>
      <w:pPr>
        <w:numPr>
          <w:ilvl w:val="0"/>
          <w:numId w:val="1"/>
        </w:numPr>
        <w:spacing w:before="0" w:after="80" w:line="360" w:lineRule="auto"/>
        <w:jc w:val="both"/>
      </w:pPr>
      <w:r>
        <w:t xml:space="preserve">Understood the difference between a control described in a policy and a control that can be demonstrated from records.</w:t>
      </w:r>
    </w:p>
    <w:p>
      <w:pPr>
        <w:numPr>
          <w:ilvl w:val="0"/>
          <w:numId w:val="1"/>
        </w:numPr>
        <w:spacing w:before="0" w:after="80" w:line="360" w:lineRule="auto"/>
        <w:jc w:val="both"/>
      </w:pPr>
      <w:r>
        <w:t xml:space="preserve">Saw why independence from the process being reviewed is essential to the value of the function.</w:t>
      </w:r>
    </w:p>
    <w:p>
      <w:pPr>
        <w:spacing w:before="0" w:after="60" w:line="120" w:lineRule="auto"/>
      </w:pPr>
    </w:p>
    <w:p>
      <w:pPr>
        <w:keepNext/>
        <w:keepLines/>
        <w:spacing w:before="180" w:after="100" w:line="360" w:lineRule="auto"/>
        <w:jc w:val="left"/>
      </w:pPr>
      <w:r>
        <w:rPr>
          <w:b/>
          <w:sz w:val="24"/>
          <w:szCs w:val="24"/>
        </w:rPr>
        <w:t xml:space="preserve">5.2.2  Revenue Controls in a Service Business</w:t>
      </w:r>
    </w:p>
    <w:p>
      <w:pPr>
        <w:numPr>
          <w:ilvl w:val="0"/>
          <w:numId w:val="1"/>
        </w:numPr>
        <w:spacing w:before="0" w:after="80" w:line="360" w:lineRule="auto"/>
        <w:jc w:val="both"/>
      </w:pPr>
      <w:r>
        <w:t xml:space="preserve">Learned how discounts, free of cost services, deletions and ageing receivables each represent a route to revenue leakage.</w:t>
      </w:r>
    </w:p>
    <w:p>
      <w:pPr>
        <w:numPr>
          <w:ilvl w:val="0"/>
          <w:numId w:val="1"/>
        </w:numPr>
        <w:spacing w:before="0" w:after="80" w:line="360" w:lineRule="auto"/>
        <w:jc w:val="both"/>
      </w:pPr>
      <w:r>
        <w:t xml:space="preserve">Understood the role of eligibility documentation in preventing corporate terms from being extended to retail customers.</w:t>
      </w:r>
    </w:p>
    <w:p>
      <w:pPr>
        <w:numPr>
          <w:ilvl w:val="0"/>
          <w:numId w:val="1"/>
        </w:numPr>
        <w:spacing w:before="0" w:after="80" w:line="360" w:lineRule="auto"/>
        <w:jc w:val="both"/>
      </w:pPr>
      <w:r>
        <w:t xml:space="preserve">Realised that in a high-volume business the aggregate of small concessions matters more than any single case.</w:t>
      </w:r>
    </w:p>
    <w:p>
      <w:pPr>
        <w:spacing w:before="0" w:after="60" w:line="120" w:lineRule="auto"/>
      </w:pPr>
    </w:p>
    <w:p>
      <w:pPr>
        <w:keepNext/>
        <w:keepLines/>
        <w:spacing w:before="180" w:after="100" w:line="360" w:lineRule="auto"/>
        <w:jc w:val="left"/>
      </w:pPr>
      <w:r>
        <w:rPr>
          <w:b/>
          <w:sz w:val="24"/>
          <w:szCs w:val="24"/>
        </w:rPr>
        <w:t xml:space="preserve">5.2.3  Documentation and Evidence</w:t>
      </w:r>
    </w:p>
    <w:p>
      <w:pPr>
        <w:numPr>
          <w:ilvl w:val="0"/>
          <w:numId w:val="1"/>
        </w:numPr>
        <w:spacing w:before="0" w:after="80" w:line="360" w:lineRule="auto"/>
        <w:jc w:val="both"/>
      </w:pPr>
      <w:r>
        <w:t xml:space="preserve">Learned that an observation is only as strong as the record attached to it.</w:t>
      </w:r>
    </w:p>
    <w:p>
      <w:pPr>
        <w:numPr>
          <w:ilvl w:val="0"/>
          <w:numId w:val="1"/>
        </w:numPr>
        <w:spacing w:before="0" w:after="80" w:line="360" w:lineRule="auto"/>
        <w:jc w:val="both"/>
      </w:pPr>
      <w:r>
        <w:t xml:space="preserve">Developed the discipline of preparing working papers in which the original entry, the policy requirement and the exception are shown together.</w:t>
      </w:r>
    </w:p>
    <w:p>
      <w:pPr>
        <w:numPr>
          <w:ilvl w:val="0"/>
          <w:numId w:val="1"/>
        </w:numPr>
        <w:spacing w:before="0" w:after="80" w:line="360" w:lineRule="auto"/>
        <w:jc w:val="both"/>
      </w:pPr>
      <w:r>
        <w:t xml:space="preserve">Understood why audit closure requires evidence rather than an assurance that a matter has been attended to.</w:t>
      </w:r>
    </w:p>
    <w:p>
      <w:pPr>
        <w:spacing w:before="0" w:after="60" w:line="120" w:lineRule="auto"/>
      </w:pPr>
    </w:p>
    <w:p>
      <w:pPr>
        <w:keepNext/>
        <w:keepLines/>
        <w:spacing w:before="180" w:after="100" w:line="360" w:lineRule="auto"/>
        <w:jc w:val="left"/>
      </w:pPr>
      <w:r>
        <w:rPr>
          <w:b/>
          <w:sz w:val="24"/>
          <w:szCs w:val="24"/>
        </w:rPr>
        <w:t xml:space="preserve">5.2.4  Systems and Data</w:t>
      </w:r>
    </w:p>
    <w:p>
      <w:pPr>
        <w:numPr>
          <w:ilvl w:val="0"/>
          <w:numId w:val="1"/>
        </w:numPr>
        <w:spacing w:before="0" w:after="80" w:line="360" w:lineRule="auto"/>
        <w:jc w:val="both"/>
      </w:pPr>
      <w:r>
        <w:t xml:space="preserve">Gained working familiarity with Suflam LIMS and with the extraction of booking, discount, deletion and payment records.</w:t>
      </w:r>
    </w:p>
    <w:p>
      <w:pPr>
        <w:numPr>
          <w:ilvl w:val="0"/>
          <w:numId w:val="1"/>
        </w:numPr>
        <w:spacing w:before="0" w:after="80" w:line="360" w:lineRule="auto"/>
        <w:jc w:val="both"/>
      </w:pPr>
      <w:r>
        <w:t xml:space="preserve">Learned to use spreadsheet techniques for filtering, lookups and ageing calculations on those extracts.</w:t>
      </w:r>
    </w:p>
    <w:p>
      <w:pPr>
        <w:numPr>
          <w:ilvl w:val="0"/>
          <w:numId w:val="1"/>
        </w:numPr>
        <w:spacing w:before="0" w:after="80" w:line="360" w:lineRule="auto"/>
        <w:jc w:val="both"/>
      </w:pPr>
      <w:r>
        <w:t xml:space="preserve">Understood that a system record is only as useful as the completeness of what branch staff enter into it.</w:t>
      </w:r>
    </w:p>
    <w:p>
      <w:pPr>
        <w:spacing w:before="0" w:after="60" w:line="120" w:lineRule="auto"/>
      </w:pPr>
    </w:p>
    <w:p>
      <w:pPr>
        <w:keepNext/>
        <w:keepLines/>
        <w:spacing w:before="180" w:after="100" w:line="360" w:lineRule="auto"/>
        <w:jc w:val="left"/>
      </w:pPr>
      <w:r>
        <w:rPr>
          <w:b/>
          <w:sz w:val="24"/>
          <w:szCs w:val="24"/>
        </w:rPr>
        <w:t xml:space="preserve">5.2.5  Communication and Persistence</w:t>
      </w:r>
    </w:p>
    <w:p>
      <w:pPr>
        <w:numPr>
          <w:ilvl w:val="0"/>
          <w:numId w:val="1"/>
        </w:numPr>
        <w:spacing w:before="0" w:after="80" w:line="360" w:lineRule="auto"/>
        <w:jc w:val="both"/>
      </w:pPr>
      <w:r>
        <w:t xml:space="preserve">Improved professional communication with sales personnel and branch staff, including telephone follow-up with people under their own work pressure.</w:t>
      </w:r>
    </w:p>
    <w:p>
      <w:pPr>
        <w:numPr>
          <w:ilvl w:val="0"/>
          <w:numId w:val="1"/>
        </w:numPr>
        <w:spacing w:before="0" w:after="80" w:line="360" w:lineRule="auto"/>
        <w:jc w:val="both"/>
      </w:pPr>
      <w:r>
        <w:t xml:space="preserve">Learned to keep a request alive courteously and to record what had been promised and by when.</w:t>
      </w:r>
    </w:p>
    <w:p>
      <w:pPr>
        <w:numPr>
          <w:ilvl w:val="0"/>
          <w:numId w:val="1"/>
        </w:numPr>
        <w:spacing w:before="0" w:after="80" w:line="360" w:lineRule="auto"/>
        <w:jc w:val="both"/>
      </w:pPr>
      <w:r>
        <w:t xml:space="preserve">Understood that cooperation, not authority, is what closes an audit observation.</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Developed the habit of verifying before concluding and of referring doubtful cases upward.</w:t>
      </w:r>
    </w:p>
    <w:p>
      <w:pPr>
        <w:numPr>
          <w:ilvl w:val="0"/>
          <w:numId w:val="1"/>
        </w:numPr>
        <w:spacing w:before="0" w:after="80" w:line="360" w:lineRule="auto"/>
        <w:jc w:val="both"/>
      </w:pPr>
      <w:r>
        <w:t xml:space="preserve">Learned to maintain accuracy through long extracts and repetitive verification.</w:t>
      </w:r>
    </w:p>
    <w:p>
      <w:pPr>
        <w:numPr>
          <w:ilvl w:val="0"/>
          <w:numId w:val="1"/>
        </w:numPr>
        <w:spacing w:before="0" w:after="80" w:line="360" w:lineRule="auto"/>
        <w:jc w:val="both"/>
      </w:pPr>
      <w:r>
        <w:t xml:space="preserve">Strengthened confidentiality and objectivity as working habits rather than as abstract principles.</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Neuberg Diagnostics Private Limited was the point at which my study of finance became practical. Over twelve weeks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Ms. S. Saradha for her supervision and review, and to the internal audit team and branch staff for their support, and I leave the organisation with both the competence and the confidence to contribute to a professional finance or audit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