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rPr>
        <w:t xml:space="preserve">MASTER OF BUSINESS ADMINISTRATION</w:t>
      </w: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rPr>
        <w:t xml:space="preserve">LINGESH K</w:t>
      </w:r>
    </w:p>
    <w:p>
      <w:pPr>
        <w:spacing w:before="0" w:after="40" w:line="360" w:lineRule="auto"/>
        <w:jc w:val="center"/>
      </w:pPr>
      <w:r>
        <w:t xml:space="preserve">OSI2509030</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57944"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rPr>
        <w:t xml:space="preserve">Indian School of Science and Management</w:t>
      </w:r>
    </w:p>
    <w:p>
      <w:pPr>
        <w:spacing w:before="0" w:after="40" w:line="360" w:lineRule="auto"/>
        <w:jc w:val="center"/>
      </w:pPr>
      <w:r>
        <w:rPr>
          <w:b/>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Lingesh K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 Lakshmi,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Mr. Lingesh K, hereby declare that this SIP Project Report is based on my internship of a little over two months done at M/s S. Ravi &amp; Associates, Chartered Accountants, Mylapore, Chennai, as an Accounting and Finance Intern, during the period from May 12th to July 17th, 2026, under the guidance of Ms. A. Lakshmi,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Mr. KATHIRVEL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 LAKSHMI, MANAGER, M/s S. RAVI &amp; ASSOCIATES, CHARTERED ACCOUNTANTS, for mentoring me, reviewing my work and offering immense support and knowledge throughout the internship, and to CA S. RAVI,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a little over two months covering ten working weeks.</w:t>
      </w:r>
    </w:p>
    <w:p>
      <w:pPr>
        <w:spacing w:before="0" w:after="140" w:line="360" w:lineRule="auto"/>
        <w:jc w:val="both"/>
      </w:pPr>
      <w:r>
        <w:t xml:space="preserve">The timing of the internship was significant. It coincided with the busiest compliance window in an Indian chartered accountancy practice, the run-up to the income tax return filing season for Assessment Year 2026-27, along with monthly Goods and Services Tax returns and quarterly Tax Deducted at Source statements. As a result, the work I was given was not observational or simulated; it was live client work with real deadlines, reviewed and signed off by the firm’s manager before submission.</w:t>
      </w:r>
    </w:p>
    <w:p>
      <w:pPr>
        <w:spacing w:before="0" w:after="140" w:line="360" w:lineRule="auto"/>
        <w:jc w:val="both"/>
      </w:pPr>
      <w:r>
        <w:t xml:space="preserve">The internship began with the foundation of all accounting work, the bank statement. In the first two weeks I analysed the bank statements of individual clients and then of corporate clients, segregating each credit and debit into income, expenditure, drawings, transfers, capital items and non-business receipts, and grouping them into the ledger heads of the bank account. This exercise taught me that a bank statement, read carefully, is a complete narrative of how an assessee earns and spends, and that the quality of every downstream computation depends on how honestly and precisely that narrative is classified.</w:t>
      </w:r>
    </w:p>
    <w:p>
      <w:pPr>
        <w:spacing w:before="0" w:after="140" w:line="360" w:lineRule="auto"/>
        <w:jc w:val="both"/>
      </w:pPr>
      <w:r>
        <w:t xml:space="preserve">From the third week onwards the work moved into the firm’s compliance software. I was trained on Winman CA-ERP, through which I accessed the income tax e-filing portal and downloaded Form 26AS, the Annual Information Statement (AIS) and the Taxpayer Information Summary (TIS) for client after client. I then recorded client transactions in Tally, which gave me a clear view of how a set of books is actually built and how a company’s operations translate into ledger entries.</w:t>
      </w:r>
    </w:p>
    <w:p>
      <w:pPr>
        <w:spacing w:before="0" w:after="140" w:line="360" w:lineRule="auto"/>
        <w:jc w:val="both"/>
      </w:pPr>
      <w:r>
        <w:t xml:space="preserve">The middle phase of the internship was devoted to statutory compliance. On the indirect tax side I worked on Goods and Services Tax filings: downloading and analysing acknowledgement forms from the GST portal, working with GSTR-1, GSTR-2B and GSTR-3B, requesting and unlocking files, and observing how returns are authenticated both online and through a Digital Signature Certificate. On the direct tax side I moved to Tax Deducted at Source, where I requested and downloaded consolidated (conso) files from TRACES using Winman TDS, extracted the data through the TDS Return Preparation Utility and entered it quarter-wise for filing. Reading conso files and Form 26AS together taught me how a deduction claimed by a deductor appears as a credit in the deductee’s account, and why any mismatch between the two must be resolved before a return is filed.</w:t>
      </w:r>
    </w:p>
    <w:p>
      <w:pPr>
        <w:spacing w:before="0" w:after="140" w:line="360" w:lineRule="auto"/>
        <w:jc w:val="both"/>
      </w:pPr>
      <w:r>
        <w:t xml:space="preserve">The final phase brought all of this together into the preparation of the Statement of Total Income. I worked on Securities Transaction Tax and the related data entry in Winman, and then, using the bank account abstract, the Tally data and the reconciled Form 26AS credits, I computed total income for individual and corporate clients, verified taxes already paid against taxes payable, assisted in the preparation of balance sheets, and prepared returns for upload. In the last two weeks I independently completed the filing of three returns end to end, from data entry to upload, after review by my manager, and assisted in documentation for statutory audit assignments and in the reconciliation of books maintained in Tally with GST return filings.</w:t>
      </w:r>
    </w:p>
    <w:p>
      <w:pPr>
        <w:spacing w:before="0" w:after="140" w:line="360" w:lineRule="auto"/>
        <w:jc w:val="both"/>
      </w:pPr>
      <w:r>
        <w:t xml:space="preserve">Professionally, the internship gave me three things that a classroom cannot. First, a working knowledge of the compliance calendar and of the software that Indian practitioners actually use. Second, an appreciation of accuracy as a professional obligation rather than as a personal preference, because in tax work an error is not merely a wrong figure but a notice, an interest liability and a loss of client confidence. Third, the discipline of sustained routine work, including a daily two-hour commute and long hours at a screen, and the habit of staying attentive through repetitive tasks. Working under Ms. A. Lakshmi and alongside Ms. Aruna, I also learned how a professional firm builds capability by review and correction rather than by instruction alone. In summary, the internship converted my MBA (Finance) coursework in financial accounting, direct and indirect taxation and financial reporting into something I can now perform, and it clarified my intention to build a career in accounting, taxation and audit.</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4"/>
                <w:szCs w:val="24"/>
              </w:rPr>
              <w:t xml:space="preserve">SL.NO</w:t>
            </w:r>
          </w:p>
        </w:tc>
        <w:tc>
          <w:tcPr>
            <w:tcW w:w="5514" w:type="dxa"/>
            <w:vAlign w:val="center"/>
          </w:tcPr>
          <w:p>
            <w:pPr>
              <w:spacing w:before="20" w:after="20" w:line="240" w:lineRule="auto"/>
              <w:jc w:val="center"/>
            </w:pPr>
            <w:r>
              <w:rPr>
                <w:b/>
                <w:sz w:val="24"/>
                <w:szCs w:val="24"/>
              </w:rPr>
              <w:t xml:space="preserve">CHAPTER</w:t>
            </w:r>
          </w:p>
        </w:tc>
        <w:tc>
          <w:tcPr>
            <w:tcW w:w="1575" w:type="dxa"/>
            <w:vAlign w:val="center"/>
          </w:tcPr>
          <w:p>
            <w:pPr>
              <w:spacing w:before="20" w:after="20" w:line="240" w:lineRule="auto"/>
              <w:jc w:val="center"/>
            </w:pPr>
            <w:r>
              <w:rPr>
                <w:b/>
                <w:sz w:val="24"/>
                <w:szCs w:val="24"/>
              </w:rPr>
              <w:t xml:space="preserve">PAGE NO.</w:t>
            </w:r>
          </w:p>
        </w:tc>
      </w:tr>
      <w:tr>
        <w:trPr>
          <w:cantSplit/>
          <w:trHeight w:val="640" w:hRule="atLeast"/>
        </w:trPr>
        <w:tc>
          <w:tcPr>
            <w:tcW w:w="1575" w:type="dxa"/>
            <w:vAlign w:val="center"/>
          </w:tcPr>
          <w:p>
            <w:pPr>
              <w:spacing w:before="20" w:after="20" w:line="240" w:lineRule="auto"/>
              <w:jc w:val="center"/>
            </w:pPr>
            <w:r>
              <w:rPr>
                <w:b/>
                <w:sz w:val="24"/>
                <w:szCs w:val="24"/>
              </w:rPr>
              <w:t xml:space="preserve">1</w:t>
            </w:r>
          </w:p>
        </w:tc>
        <w:tc>
          <w:tcPr>
            <w:tcW w:w="5514" w:type="dxa"/>
            <w:vAlign w:val="center"/>
          </w:tcPr>
          <w:p>
            <w:pPr>
              <w:spacing w:before="20" w:after="20" w:line="240" w:lineRule="auto"/>
              <w:jc w:val="center"/>
            </w:pPr>
            <w:r>
              <w:rPr>
                <w:b/>
                <w:sz w:val="24"/>
                <w:szCs w:val="24"/>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4"/>
                <w:szCs w:val="24"/>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2</w:t>
            </w:r>
          </w:p>
        </w:tc>
        <w:tc>
          <w:tcPr>
            <w:tcW w:w="5514" w:type="dxa"/>
            <w:vAlign w:val="center"/>
          </w:tcPr>
          <w:p>
            <w:pPr>
              <w:spacing w:before="20" w:after="20" w:line="240" w:lineRule="auto"/>
              <w:jc w:val="center"/>
            </w:pPr>
            <w:r>
              <w:rPr>
                <w:b/>
                <w:sz w:val="24"/>
                <w:szCs w:val="24"/>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4"/>
                <w:szCs w:val="24"/>
              </w:rPr>
              <w:t xml:space="preserve">-</w:t>
            </w:r>
            <w:fldSimple w:instr=" PAGEREF ch2_end \h ">
              <w:r>
                <w:rPr>
                  <w:noProof/>
                </w:rPr>
                <w:t>27</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3</w:t>
            </w:r>
          </w:p>
        </w:tc>
        <w:tc>
          <w:tcPr>
            <w:tcW w:w="5514" w:type="dxa"/>
            <w:vAlign w:val="center"/>
          </w:tcPr>
          <w:p>
            <w:pPr>
              <w:spacing w:before="20" w:after="20" w:line="240" w:lineRule="auto"/>
              <w:jc w:val="center"/>
            </w:pPr>
            <w:r>
              <w:rPr>
                <w:b/>
                <w:sz w:val="24"/>
                <w:szCs w:val="24"/>
              </w:rPr>
              <w:t xml:space="preserve">ANALYSIS OF JOB PERFORMANCE</w:t>
            </w:r>
          </w:p>
        </w:tc>
        <w:tc>
          <w:tcPr>
            <w:tcW w:w="1575" w:type="dxa"/>
            <w:vAlign w:val="center"/>
          </w:tcPr>
          <w:p>
            <w:pPr>
              <w:spacing w:before="20" w:after="20" w:line="240" w:lineRule="auto"/>
              <w:jc w:val="center"/>
            </w:pPr>
            <w:fldSimple w:instr=" PAGEREF ch3_start \h ">
              <w:r>
                <w:rPr>
                  <w:noProof/>
                </w:rPr>
                <w:t>28</w:t>
              </w:r>
            </w:fldSimple>
            <w:r>
              <w:rPr>
                <w:b/>
                <w:sz w:val="24"/>
                <w:szCs w:val="24"/>
              </w:rPr>
              <w:t xml:space="preserve">-</w:t>
            </w:r>
            <w:fldSimple w:instr=" PAGEREF ch3_end \h ">
              <w:r>
                <w:rPr>
                  <w:noProof/>
                </w:rPr>
                <w:t>32</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4</w:t>
            </w:r>
          </w:p>
        </w:tc>
        <w:tc>
          <w:tcPr>
            <w:tcW w:w="5514" w:type="dxa"/>
            <w:vAlign w:val="center"/>
          </w:tcPr>
          <w:p>
            <w:pPr>
              <w:spacing w:before="20" w:after="20" w:line="240" w:lineRule="auto"/>
              <w:jc w:val="center"/>
            </w:pPr>
            <w:r>
              <w:rPr>
                <w:b/>
                <w:sz w:val="24"/>
                <w:szCs w:val="24"/>
              </w:rPr>
              <w:t xml:space="preserve">LEARNING OUTCOMES</w:t>
            </w:r>
          </w:p>
        </w:tc>
        <w:tc>
          <w:tcPr>
            <w:tcW w:w="1575" w:type="dxa"/>
            <w:vAlign w:val="center"/>
          </w:tcPr>
          <w:p>
            <w:pPr>
              <w:spacing w:before="20" w:after="20" w:line="240" w:lineRule="auto"/>
              <w:jc w:val="center"/>
            </w:pPr>
            <w:fldSimple w:instr=" PAGEREF ch4_start \h ">
              <w:r>
                <w:rPr>
                  <w:noProof/>
                </w:rPr>
                <w:t>33</w:t>
              </w:r>
            </w:fldSimple>
            <w:r>
              <w:rPr>
                <w:b/>
                <w:sz w:val="24"/>
                <w:szCs w:val="24"/>
              </w:rPr>
              <w:t xml:space="preserve">-</w:t>
            </w:r>
            <w:fldSimple w:instr=" PAGEREF ch4_end \h ">
              <w:r>
                <w:rPr>
                  <w:noProof/>
                </w:rPr>
                <w:t>38</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5</w:t>
            </w:r>
          </w:p>
        </w:tc>
        <w:tc>
          <w:tcPr>
            <w:tcW w:w="5514" w:type="dxa"/>
            <w:vAlign w:val="center"/>
          </w:tcPr>
          <w:p>
            <w:pPr>
              <w:spacing w:before="20" w:after="20" w:line="240" w:lineRule="auto"/>
              <w:jc w:val="center"/>
            </w:pPr>
            <w:r>
              <w:rPr>
                <w:b/>
                <w:sz w:val="24"/>
                <w:szCs w:val="24"/>
              </w:rPr>
              <w:t xml:space="preserve">SUMMARY AND CONCLUSION</w:t>
            </w:r>
          </w:p>
        </w:tc>
        <w:tc>
          <w:tcPr>
            <w:tcW w:w="1575" w:type="dxa"/>
            <w:vAlign w:val="center"/>
          </w:tcPr>
          <w:p>
            <w:pPr>
              <w:spacing w:before="20" w:after="20" w:line="240" w:lineRule="auto"/>
              <w:jc w:val="center"/>
            </w:pPr>
            <w:fldSimple w:instr=" PAGEREF ch5_start \h ">
              <w:r>
                <w:rPr>
                  <w:noProof/>
                </w:rPr>
                <w:t>39</w:t>
              </w:r>
            </w:fldSimple>
            <w:r>
              <w:rPr>
                <w:b/>
                <w:sz w:val="24"/>
                <w:szCs w:val="24"/>
              </w:rPr>
              <w:t xml:space="preserve">-</w:t>
            </w:r>
            <w:fldSimple w:instr=" PAGEREF ch5_end \h ">
              <w:r>
                <w:rPr>
                  <w:noProof/>
                </w:rPr>
                <w:t>43</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6</w:t>
            </w:r>
          </w:p>
        </w:tc>
        <w:tc>
          <w:tcPr>
            <w:tcW w:w="5514" w:type="dxa"/>
            <w:vAlign w:val="center"/>
          </w:tcPr>
          <w:p>
            <w:pPr>
              <w:spacing w:before="20" w:after="20" w:line="240" w:lineRule="auto"/>
              <w:jc w:val="center"/>
            </w:pPr>
            <w:r>
              <w:rPr>
                <w:b/>
                <w:sz w:val="24"/>
                <w:szCs w:val="24"/>
              </w:rPr>
              <w:t xml:space="preserve">REFERENCES</w:t>
            </w:r>
          </w:p>
        </w:tc>
        <w:tc>
          <w:tcPr>
            <w:tcW w:w="1575" w:type="dxa"/>
            <w:vAlign w:val="center"/>
          </w:tcPr>
          <w:p>
            <w:pPr>
              <w:spacing w:before="20" w:after="20" w:line="240" w:lineRule="auto"/>
              <w:jc w:val="center"/>
            </w:pPr>
            <w:fldSimple w:instr=" PAGEREF ch6_start \h ">
              <w:r>
                <w:rPr>
                  <w:noProof/>
                </w:rPr>
                <w:t>44</w:t>
              </w:r>
            </w:fldSimple>
            <w:r>
              <w:rPr>
                <w:b/>
                <w:sz w:val="24"/>
                <w:szCs w:val="24"/>
              </w:rPr>
              <w:t xml:space="preserve">-</w:t>
            </w:r>
            <w:fldSimple w:instr=" PAGEREF ch6_end \h ">
              <w:r>
                <w:rPr>
                  <w:noProof/>
                </w:rPr>
                <w:t>46</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1</w:t>
      </w:r>
    </w:p>
    <w:p>
      <w:pPr>
        <w:spacing w:before="0" w:after="0" w:line="360" w:lineRule="auto"/>
        <w:jc w:val="center"/>
      </w:pPr>
      <w:r>
        <w:rPr>
          <w:b/>
          <w:sz w:val="28"/>
          <w:szCs w:val="28"/>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6"/>
          <w:szCs w:val="26"/>
        </w:rPr>
        <w:t xml:space="preserve">1.1  GLOBAL ACCOUNTING AND TAXATION LANDSCAPE</w:t>
      </w:r>
    </w:p>
    <w:p>
      <w:pPr>
        <w:spacing w:before="0" w:after="140" w:line="360" w:lineRule="auto"/>
        <w:ind w:firstLine="720"/>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6"/>
          <w:szCs w:val="26"/>
        </w:rPr>
        <w:t xml:space="preserve">1.2  THE INDIAN ACCOUNTING AND TAXATION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6"/>
          <w:szCs w:val="26"/>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CA S. Ravi,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CA S. Ravi,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shd w:val="clear" w:color="auto" w:fill="D9D9D9"/>
            <w:vAlign w:val="center"/>
          </w:tcPr>
          <w:p>
            <w:pPr>
              <w:spacing w:before="20" w:after="20" w:line="240" w:lineRule="auto"/>
              <w:jc w:val="center"/>
            </w:pPr>
            <w:r>
              <w:rPr>
                <w:b/>
                <w:sz w:val="22"/>
                <w:szCs w:val="22"/>
              </w:rPr>
              <w:t xml:space="preserve">Service Line</w:t>
            </w:r>
          </w:p>
        </w:tc>
        <w:tc>
          <w:tcPr>
            <w:tcW w:w="3851" w:type="dxa"/>
            <w:shd w:val="clear" w:color="auto" w:fill="D9D9D9"/>
            <w:vAlign w:val="center"/>
          </w:tcPr>
          <w:p>
            <w:pPr>
              <w:spacing w:before="20" w:after="20" w:line="240" w:lineRule="auto"/>
              <w:jc w:val="center"/>
            </w:pPr>
            <w:r>
              <w:rPr>
                <w:b/>
                <w:sz w:val="22"/>
                <w:szCs w:val="22"/>
              </w:rPr>
              <w:t xml:space="preserve">Nature of Work</w:t>
            </w:r>
          </w:p>
        </w:tc>
        <w:tc>
          <w:tcPr>
            <w:tcW w:w="2888" w:type="dxa"/>
            <w:shd w:val="clear" w:color="auto" w:fill="D9D9D9"/>
            <w:vAlign w:val="center"/>
          </w:tcPr>
          <w:p>
            <w:pPr>
              <w:spacing w:before="20" w:after="20" w:line="240" w:lineRule="auto"/>
              <w:jc w:val="center"/>
            </w:pPr>
            <w:r>
              <w:rPr>
                <w:b/>
                <w:sz w:val="22"/>
                <w:szCs w:val="22"/>
              </w:rPr>
              <w:t xml:space="preserve">Typical Deliverable</w:t>
            </w:r>
          </w:p>
        </w:tc>
      </w:tr>
      <w:tr>
        <w:trPr>
          <w:cantSplit/>
        </w:trPr>
        <w:tc>
          <w:tcPr>
            <w:tcW w:w="1925" w:type="dxa"/>
            <w:vAlign w:val="center"/>
          </w:tcPr>
          <w:p>
            <w:pPr>
              <w:spacing w:before="20" w:after="20" w:line="240" w:lineRule="auto"/>
              <w:jc w:val="left"/>
            </w:pPr>
            <w:r>
              <w:rPr>
                <w:sz w:val="22"/>
                <w:szCs w:val="22"/>
              </w:rPr>
              <w:t xml:space="preserve">Audit and Assurance</w:t>
            </w:r>
          </w:p>
        </w:tc>
        <w:tc>
          <w:tcPr>
            <w:tcW w:w="3851" w:type="dxa"/>
            <w:vAlign w:val="center"/>
          </w:tcPr>
          <w:p>
            <w:pPr>
              <w:spacing w:before="20" w:after="20" w:line="240" w:lineRule="auto"/>
              <w:jc w:val="left"/>
            </w:pPr>
            <w:r>
              <w:rPr>
                <w:sz w:val="22"/>
                <w:szCs w:val="22"/>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2"/>
                <w:szCs w:val="22"/>
              </w:rPr>
              <w:t xml:space="preserve">Audit working papers, audit report, Form 3CA/3CB-3CD</w:t>
            </w:r>
          </w:p>
        </w:tc>
      </w:tr>
      <w:tr>
        <w:trPr>
          <w:cantSplit/>
        </w:trPr>
        <w:tc>
          <w:tcPr>
            <w:tcW w:w="1925" w:type="dxa"/>
            <w:vAlign w:val="center"/>
          </w:tcPr>
          <w:p>
            <w:pPr>
              <w:spacing w:before="20" w:after="20" w:line="240" w:lineRule="auto"/>
              <w:jc w:val="left"/>
            </w:pPr>
            <w:r>
              <w:rPr>
                <w:sz w:val="22"/>
                <w:szCs w:val="22"/>
              </w:rPr>
              <w:t xml:space="preserve">Direct Taxation</w:t>
            </w:r>
          </w:p>
        </w:tc>
        <w:tc>
          <w:tcPr>
            <w:tcW w:w="3851" w:type="dxa"/>
            <w:vAlign w:val="center"/>
          </w:tcPr>
          <w:p>
            <w:pPr>
              <w:spacing w:before="20" w:after="20" w:line="240" w:lineRule="auto"/>
              <w:jc w:val="left"/>
            </w:pPr>
            <w:r>
              <w:rPr>
                <w:sz w:val="22"/>
                <w:szCs w:val="22"/>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2"/>
                <w:szCs w:val="22"/>
              </w:rPr>
              <w:t xml:space="preserve">Statement of Total Income, ITR acknowledgement, TDS returns</w:t>
            </w:r>
          </w:p>
        </w:tc>
      </w:tr>
      <w:tr>
        <w:trPr>
          <w:cantSplit/>
        </w:trPr>
        <w:tc>
          <w:tcPr>
            <w:tcW w:w="1925" w:type="dxa"/>
            <w:vAlign w:val="center"/>
          </w:tcPr>
          <w:p>
            <w:pPr>
              <w:spacing w:before="20" w:after="20" w:line="240" w:lineRule="auto"/>
              <w:jc w:val="left"/>
            </w:pPr>
            <w:r>
              <w:rPr>
                <w:sz w:val="22"/>
                <w:szCs w:val="22"/>
              </w:rPr>
              <w:t xml:space="preserve">Indirect Taxation (GST)</w:t>
            </w:r>
          </w:p>
        </w:tc>
        <w:tc>
          <w:tcPr>
            <w:tcW w:w="3851" w:type="dxa"/>
            <w:vAlign w:val="center"/>
          </w:tcPr>
          <w:p>
            <w:pPr>
              <w:spacing w:before="20" w:after="20" w:line="240" w:lineRule="auto"/>
              <w:jc w:val="left"/>
            </w:pPr>
            <w:r>
              <w:rPr>
                <w:sz w:val="22"/>
                <w:szCs w:val="22"/>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2"/>
                <w:szCs w:val="22"/>
              </w:rPr>
              <w:t xml:space="preserve">GSTR-1, GSTR-3B, reconciliation statements</w:t>
            </w:r>
          </w:p>
        </w:tc>
      </w:tr>
      <w:tr>
        <w:trPr>
          <w:cantSplit/>
        </w:trPr>
        <w:tc>
          <w:tcPr>
            <w:tcW w:w="1925" w:type="dxa"/>
            <w:vAlign w:val="center"/>
          </w:tcPr>
          <w:p>
            <w:pPr>
              <w:spacing w:before="20" w:after="20" w:line="240" w:lineRule="auto"/>
              <w:jc w:val="left"/>
            </w:pPr>
            <w:r>
              <w:rPr>
                <w:sz w:val="22"/>
                <w:szCs w:val="22"/>
              </w:rPr>
              <w:t xml:space="preserve">Advisory and Litigation Support</w:t>
            </w:r>
          </w:p>
        </w:tc>
        <w:tc>
          <w:tcPr>
            <w:tcW w:w="3851" w:type="dxa"/>
            <w:vAlign w:val="center"/>
          </w:tcPr>
          <w:p>
            <w:pPr>
              <w:spacing w:before="20" w:after="20" w:line="240" w:lineRule="auto"/>
              <w:jc w:val="left"/>
            </w:pPr>
            <w:r>
              <w:rPr>
                <w:sz w:val="22"/>
                <w:szCs w:val="22"/>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2"/>
                <w:szCs w:val="22"/>
              </w:rPr>
              <w:t xml:space="preserve">Replies, submissions and advisory notes</w:t>
            </w:r>
          </w:p>
        </w:tc>
      </w:tr>
    </w:tbl>
    <w:p>
      <w:pPr>
        <w:spacing w:before="0" w:after="120" w:line="200" w:lineRule="auto"/>
      </w:pPr>
    </w:p>
    <w:p>
      <w:pPr>
        <w:keepNext/>
        <w:keepLines/>
        <w:spacing w:before="240" w:after="120" w:line="360" w:lineRule="auto"/>
        <w:jc w:val="left"/>
      </w:pPr>
      <w:r>
        <w:rPr>
          <w:b/>
          <w:sz w:val="26"/>
          <w:szCs w:val="26"/>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Ms. A. Lakshmi, Manager, who allocated work, reviewed output and escalated matters to the proprietor, CA S. Ravi. This flat structure meant that an intern’s work reached a reviewer within hours rather than weeks, and that feedback was immediate and specific. Peer support was equally important: Ms. Aruna,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6"/>
          <w:szCs w:val="26"/>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6"/>
          <w:szCs w:val="26"/>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 / Network</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Deloitte, PwC, EY and KPMG affiliates</w:t>
            </w:r>
          </w:p>
        </w:tc>
        <w:tc>
          <w:tcPr>
            <w:tcW w:w="3151" w:type="dxa"/>
            <w:vAlign w:val="center"/>
          </w:tcPr>
          <w:p>
            <w:pPr>
              <w:spacing w:before="20" w:after="20" w:line="240" w:lineRule="auto"/>
              <w:jc w:val="left"/>
            </w:pPr>
            <w:r>
              <w:rPr>
                <w:sz w:val="22"/>
                <w:szCs w:val="22"/>
              </w:rPr>
              <w:t xml:space="preserve">Statutory audit, assurance, tax and consulting</w:t>
            </w:r>
          </w:p>
        </w:tc>
        <w:tc>
          <w:tcPr>
            <w:tcW w:w="3151" w:type="dxa"/>
            <w:vAlign w:val="center"/>
          </w:tcPr>
          <w:p>
            <w:pPr>
              <w:spacing w:before="20" w:after="20" w:line="240" w:lineRule="auto"/>
              <w:jc w:val="left"/>
            </w:pPr>
            <w:r>
              <w:rPr>
                <w:sz w:val="22"/>
                <w:szCs w:val="22"/>
              </w:rPr>
              <w:t xml:space="preserve">Large corporates, listed entities and multinationals</w:t>
            </w:r>
          </w:p>
        </w:tc>
      </w:tr>
      <w:tr>
        <w:trPr>
          <w:cantSplit/>
        </w:trPr>
        <w:tc>
          <w:tcPr>
            <w:tcW w:w="2363" w:type="dxa"/>
            <w:vAlign w:val="center"/>
          </w:tcPr>
          <w:p>
            <w:pPr>
              <w:spacing w:before="20" w:after="20" w:line="240" w:lineRule="auto"/>
              <w:jc w:val="left"/>
            </w:pPr>
            <w:r>
              <w:rPr>
                <w:sz w:val="22"/>
                <w:szCs w:val="22"/>
              </w:rPr>
              <w:t xml:space="preserve">BDO India, Grant Thornton Bharat</w:t>
            </w:r>
          </w:p>
        </w:tc>
        <w:tc>
          <w:tcPr>
            <w:tcW w:w="3151" w:type="dxa"/>
            <w:vAlign w:val="center"/>
          </w:tcPr>
          <w:p>
            <w:pPr>
              <w:spacing w:before="20" w:after="20" w:line="240" w:lineRule="auto"/>
              <w:jc w:val="left"/>
            </w:pPr>
            <w:r>
              <w:rPr>
                <w:sz w:val="22"/>
                <w:szCs w:val="22"/>
              </w:rPr>
              <w:t xml:space="preserve">Audit, tax, risk advisory and transaction services</w:t>
            </w:r>
          </w:p>
        </w:tc>
        <w:tc>
          <w:tcPr>
            <w:tcW w:w="3151" w:type="dxa"/>
            <w:vAlign w:val="center"/>
          </w:tcPr>
          <w:p>
            <w:pPr>
              <w:spacing w:before="20" w:after="20" w:line="240" w:lineRule="auto"/>
              <w:jc w:val="left"/>
            </w:pPr>
            <w:r>
              <w:rPr>
                <w:sz w:val="22"/>
                <w:szCs w:val="22"/>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Brahmayya &amp; Co.</w:t>
            </w:r>
          </w:p>
        </w:tc>
        <w:tc>
          <w:tcPr>
            <w:tcW w:w="3151" w:type="dxa"/>
            <w:vAlign w:val="center"/>
          </w:tcPr>
          <w:p>
            <w:pPr>
              <w:spacing w:before="20" w:after="20" w:line="240" w:lineRule="auto"/>
              <w:jc w:val="left"/>
            </w:pPr>
            <w:r>
              <w:rPr>
                <w:sz w:val="22"/>
                <w:szCs w:val="22"/>
              </w:rPr>
              <w:t xml:space="preserve">Audit, taxation and management consultancy</w:t>
            </w:r>
          </w:p>
        </w:tc>
        <w:tc>
          <w:tcPr>
            <w:tcW w:w="3151" w:type="dxa"/>
            <w:vAlign w:val="center"/>
          </w:tcPr>
          <w:p>
            <w:pPr>
              <w:spacing w:before="20" w:after="20" w:line="240" w:lineRule="auto"/>
              <w:jc w:val="left"/>
            </w:pPr>
            <w:r>
              <w:rPr>
                <w:sz w:val="22"/>
                <w:szCs w:val="22"/>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2"/>
                <w:szCs w:val="22"/>
              </w:rPr>
              <w:t xml:space="preserve">PKF Sridhar &amp; Santhanam LLP</w:t>
            </w:r>
          </w:p>
        </w:tc>
        <w:tc>
          <w:tcPr>
            <w:tcW w:w="3151" w:type="dxa"/>
            <w:vAlign w:val="center"/>
          </w:tcPr>
          <w:p>
            <w:pPr>
              <w:spacing w:before="20" w:after="20" w:line="240" w:lineRule="auto"/>
              <w:jc w:val="left"/>
            </w:pPr>
            <w:r>
              <w:rPr>
                <w:sz w:val="22"/>
                <w:szCs w:val="22"/>
              </w:rPr>
              <w:t xml:space="preserve">Audit and assurance, tax and advisory</w:t>
            </w:r>
          </w:p>
        </w:tc>
        <w:tc>
          <w:tcPr>
            <w:tcW w:w="3151" w:type="dxa"/>
            <w:vAlign w:val="center"/>
          </w:tcPr>
          <w:p>
            <w:pPr>
              <w:spacing w:before="20" w:after="20" w:line="240" w:lineRule="auto"/>
              <w:jc w:val="left"/>
            </w:pPr>
            <w:r>
              <w:rPr>
                <w:sz w:val="22"/>
                <w:szCs w:val="22"/>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2"/>
                <w:szCs w:val="22"/>
              </w:rPr>
              <w:t xml:space="preserve">Suri &amp; Co., R. Subramanian &amp; Co. and similar practices</w:t>
            </w:r>
          </w:p>
        </w:tc>
        <w:tc>
          <w:tcPr>
            <w:tcW w:w="3151" w:type="dxa"/>
            <w:vAlign w:val="center"/>
          </w:tcPr>
          <w:p>
            <w:pPr>
              <w:spacing w:before="20" w:after="20" w:line="240" w:lineRule="auto"/>
              <w:jc w:val="left"/>
            </w:pPr>
            <w:r>
              <w:rPr>
                <w:sz w:val="22"/>
                <w:szCs w:val="22"/>
              </w:rPr>
              <w:t xml:space="preserve">Statutory and tax audit, direct and indirect taxation</w:t>
            </w:r>
          </w:p>
        </w:tc>
        <w:tc>
          <w:tcPr>
            <w:tcW w:w="3151" w:type="dxa"/>
            <w:vAlign w:val="center"/>
          </w:tcPr>
          <w:p>
            <w:pPr>
              <w:spacing w:before="20" w:after="20" w:line="240" w:lineRule="auto"/>
              <w:jc w:val="left"/>
            </w:pPr>
            <w:r>
              <w:rPr>
                <w:sz w:val="22"/>
                <w:szCs w:val="22"/>
              </w:rPr>
              <w:t xml:space="preserve">Regional corporate and mid-market clients</w:t>
            </w:r>
          </w:p>
        </w:tc>
      </w:tr>
      <w:tr>
        <w:trPr>
          <w:cantSplit/>
        </w:trPr>
        <w:tc>
          <w:tcPr>
            <w:tcW w:w="2363" w:type="dxa"/>
            <w:vAlign w:val="center"/>
          </w:tcPr>
          <w:p>
            <w:pPr>
              <w:spacing w:before="20" w:after="20" w:line="240" w:lineRule="auto"/>
              <w:jc w:val="left"/>
            </w:pPr>
            <w:r>
              <w:rPr>
                <w:sz w:val="22"/>
                <w:szCs w:val="22"/>
              </w:rPr>
              <w:t xml:space="preserve">Local proprietary and small partnership firms</w:t>
            </w:r>
          </w:p>
        </w:tc>
        <w:tc>
          <w:tcPr>
            <w:tcW w:w="3151" w:type="dxa"/>
            <w:vAlign w:val="center"/>
          </w:tcPr>
          <w:p>
            <w:pPr>
              <w:spacing w:before="20" w:after="20" w:line="240" w:lineRule="auto"/>
              <w:jc w:val="left"/>
            </w:pPr>
            <w:r>
              <w:rPr>
                <w:sz w:val="22"/>
                <w:szCs w:val="22"/>
              </w:rPr>
              <w:t xml:space="preserve">Accounting, GST, TDS and income tax compliance</w:t>
            </w:r>
          </w:p>
        </w:tc>
        <w:tc>
          <w:tcPr>
            <w:tcW w:w="3151" w:type="dxa"/>
            <w:vAlign w:val="center"/>
          </w:tcPr>
          <w:p>
            <w:pPr>
              <w:spacing w:before="20" w:after="20" w:line="240" w:lineRule="auto"/>
              <w:jc w:val="left"/>
            </w:pPr>
            <w:r>
              <w:rPr>
                <w:sz w:val="22"/>
                <w:szCs w:val="22"/>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Platform</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Competitive Effect</w:t>
            </w:r>
          </w:p>
        </w:tc>
      </w:tr>
      <w:tr>
        <w:trPr>
          <w:cantSplit/>
        </w:trPr>
        <w:tc>
          <w:tcPr>
            <w:tcW w:w="2363" w:type="dxa"/>
            <w:vAlign w:val="center"/>
          </w:tcPr>
          <w:p>
            <w:pPr>
              <w:spacing w:before="20" w:after="20" w:line="240" w:lineRule="auto"/>
              <w:jc w:val="left"/>
            </w:pPr>
            <w:r>
              <w:rPr>
                <w:sz w:val="22"/>
                <w:szCs w:val="22"/>
              </w:rPr>
              <w:t xml:space="preserve">Online tax filing portals</w:t>
            </w:r>
          </w:p>
        </w:tc>
        <w:tc>
          <w:tcPr>
            <w:tcW w:w="3151" w:type="dxa"/>
            <w:vAlign w:val="center"/>
          </w:tcPr>
          <w:p>
            <w:pPr>
              <w:spacing w:before="20" w:after="20" w:line="240" w:lineRule="auto"/>
              <w:jc w:val="left"/>
            </w:pPr>
            <w:r>
              <w:rPr>
                <w:sz w:val="22"/>
                <w:szCs w:val="22"/>
              </w:rPr>
              <w:t xml:space="preserve">Assisted and self-service income tax return filing</w:t>
            </w:r>
          </w:p>
        </w:tc>
        <w:tc>
          <w:tcPr>
            <w:tcW w:w="3151" w:type="dxa"/>
            <w:vAlign w:val="center"/>
          </w:tcPr>
          <w:p>
            <w:pPr>
              <w:spacing w:before="20" w:after="20" w:line="240" w:lineRule="auto"/>
              <w:jc w:val="left"/>
            </w:pPr>
            <w:r>
              <w:rPr>
                <w:sz w:val="22"/>
                <w:szCs w:val="22"/>
              </w:rPr>
              <w:t xml:space="preserve">Absorbs simple salaried filings at low fee points</w:t>
            </w:r>
          </w:p>
        </w:tc>
      </w:tr>
      <w:tr>
        <w:trPr>
          <w:cantSplit/>
        </w:trPr>
        <w:tc>
          <w:tcPr>
            <w:tcW w:w="2363" w:type="dxa"/>
            <w:vAlign w:val="center"/>
          </w:tcPr>
          <w:p>
            <w:pPr>
              <w:spacing w:before="20" w:after="20" w:line="240" w:lineRule="auto"/>
              <w:jc w:val="left"/>
            </w:pPr>
            <w:r>
              <w:rPr>
                <w:sz w:val="22"/>
                <w:szCs w:val="22"/>
              </w:rPr>
              <w:t xml:space="preserve">Cloud accounting and compliance suites</w:t>
            </w:r>
          </w:p>
        </w:tc>
        <w:tc>
          <w:tcPr>
            <w:tcW w:w="3151" w:type="dxa"/>
            <w:vAlign w:val="center"/>
          </w:tcPr>
          <w:p>
            <w:pPr>
              <w:spacing w:before="20" w:after="20" w:line="240" w:lineRule="auto"/>
              <w:jc w:val="left"/>
            </w:pPr>
            <w:r>
              <w:rPr>
                <w:sz w:val="22"/>
                <w:szCs w:val="22"/>
              </w:rPr>
              <w:t xml:space="preserve">Bookkeeping, GST return preparation and reconciliation tools</w:t>
            </w:r>
          </w:p>
        </w:tc>
        <w:tc>
          <w:tcPr>
            <w:tcW w:w="3151" w:type="dxa"/>
            <w:vAlign w:val="center"/>
          </w:tcPr>
          <w:p>
            <w:pPr>
              <w:spacing w:before="20" w:after="20" w:line="240" w:lineRule="auto"/>
              <w:jc w:val="left"/>
            </w:pPr>
            <w:r>
              <w:rPr>
                <w:sz w:val="22"/>
                <w:szCs w:val="22"/>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2"/>
                <w:szCs w:val="22"/>
              </w:rPr>
              <w:t xml:space="preserve">Accounting outsourcing providers</w:t>
            </w:r>
          </w:p>
        </w:tc>
        <w:tc>
          <w:tcPr>
            <w:tcW w:w="3151" w:type="dxa"/>
            <w:vAlign w:val="center"/>
          </w:tcPr>
          <w:p>
            <w:pPr>
              <w:spacing w:before="20" w:after="20" w:line="240" w:lineRule="auto"/>
              <w:jc w:val="left"/>
            </w:pPr>
            <w:r>
              <w:rPr>
                <w:sz w:val="22"/>
                <w:szCs w:val="22"/>
              </w:rPr>
              <w:t xml:space="preserve">Volume bookkeeping and back-office accounting</w:t>
            </w:r>
          </w:p>
        </w:tc>
        <w:tc>
          <w:tcPr>
            <w:tcW w:w="3151" w:type="dxa"/>
            <w:vAlign w:val="center"/>
          </w:tcPr>
          <w:p>
            <w:pPr>
              <w:spacing w:before="20" w:after="20" w:line="240" w:lineRule="auto"/>
              <w:jc w:val="left"/>
            </w:pPr>
            <w:r>
              <w:rPr>
                <w:sz w:val="22"/>
                <w:szCs w:val="22"/>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6"/>
          <w:szCs w:val="26"/>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6"/>
          <w:szCs w:val="26"/>
        </w:rPr>
        <w:t xml:space="preserve">1.8  KEY MILESTONES</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2</w:t>
      </w:r>
    </w:p>
    <w:p>
      <w:pPr>
        <w:spacing w:before="0" w:after="0" w:line="360" w:lineRule="auto"/>
        <w:jc w:val="center"/>
      </w:pPr>
      <w:r>
        <w:rPr>
          <w:b/>
          <w:sz w:val="28"/>
          <w:szCs w:val="28"/>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6"/>
          <w:szCs w:val="26"/>
        </w:rPr>
        <w:t xml:space="preserve">2.1  OBJECTIVES OF THE INTERNSHIP</w:t>
      </w:r>
    </w:p>
    <w:p>
      <w:pPr>
        <w:spacing w:before="0" w:after="140" w:line="360" w:lineRule="auto"/>
        <w:ind w:firstLine="720"/>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Ms. A. Lakshmi, Manager, and day-to-day process guidance was provided by Ms. Aruna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6"/>
          <w:szCs w:val="26"/>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6"/>
          <w:szCs w:val="26"/>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numPr>
          <w:ilvl w:val="0"/>
          <w:numId w:val="1"/>
        </w:numPr>
        <w:spacing w:before="0" w:after="80" w:line="360" w:lineRule="auto"/>
        <w:jc w:val="both"/>
      </w:pPr>
      <w:r>
        <w:t xml:space="preserve">Analysed the bank statements of individual clients line by line and split every entry into income, expenditure, drawings, transfers and non-taxable receipts within the bank ledger account.</w:t>
      </w:r>
    </w:p>
    <w:p>
      <w:pPr>
        <w:numPr>
          <w:ilvl w:val="0"/>
          <w:numId w:val="1"/>
        </w:numPr>
        <w:spacing w:before="0" w:after="80" w:line="360" w:lineRule="auto"/>
        <w:jc w:val="both"/>
      </w:pPr>
      <w:r>
        <w:t xml:space="preserve">Identified the sources of income of the assessee, distinguishing business receipts from interest, dividends and reimbursements, and separated personal drawings from business expenditure.</w:t>
      </w:r>
    </w:p>
    <w:p>
      <w:pPr>
        <w:numPr>
          <w:ilvl w:val="0"/>
          <w:numId w:val="1"/>
        </w:numPr>
        <w:spacing w:before="0" w:after="80" w:line="360" w:lineRule="auto"/>
        <w:jc w:val="both"/>
      </w:pPr>
      <w:r>
        <w:t xml:space="preserve">Sorted a large volume of miscellaneous entries that carried no clear narration, listing them for clarification rather than assuming a treatment.</w:t>
      </w:r>
    </w:p>
    <w:p>
      <w:pPr>
        <w:numPr>
          <w:ilvl w:val="0"/>
          <w:numId w:val="1"/>
        </w:numPr>
        <w:spacing w:before="0" w:after="80" w:line="360" w:lineRule="auto"/>
        <w:jc w:val="both"/>
      </w:pPr>
      <w:r>
        <w:t xml:space="preserve">Learned that classification, not entry, is the real work: the same credit can be income, a loan or a transfer, and only the client’s explanation and supporting documents settle the question.</w:t>
      </w:r>
    </w:p>
    <w:p>
      <w:pPr>
        <w:spacing w:before="0" w:after="60" w:line="120" w:lineRule="auto"/>
      </w:pPr>
    </w:p>
    <w:p>
      <w:pPr>
        <w:keepNext/>
        <w:keepLines/>
        <w:spacing w:before="180" w:after="100" w:line="360" w:lineRule="auto"/>
        <w:jc w:val="left"/>
      </w:pPr>
      <w:r>
        <w:rPr>
          <w:b/>
          <w:sz w:val="24"/>
          <w:szCs w:val="24"/>
        </w:rPr>
        <w:t xml:space="preserve">2.3.2  Analysis of Corporate Bank Statements and Ledger Segregation</w:t>
      </w:r>
    </w:p>
    <w:p>
      <w:pPr>
        <w:numPr>
          <w:ilvl w:val="0"/>
          <w:numId w:val="1"/>
        </w:numPr>
        <w:spacing w:before="0" w:after="80" w:line="360" w:lineRule="auto"/>
        <w:jc w:val="both"/>
      </w:pPr>
      <w:r>
        <w:t xml:space="preserve">Extended the same analysis to corporate clients, segregating income and expenses in the bank ledger account of the company.</w:t>
      </w:r>
    </w:p>
    <w:p>
      <w:pPr>
        <w:numPr>
          <w:ilvl w:val="0"/>
          <w:numId w:val="1"/>
        </w:numPr>
        <w:spacing w:before="0" w:after="80" w:line="360" w:lineRule="auto"/>
        <w:jc w:val="both"/>
      </w:pPr>
      <w:r>
        <w:t xml:space="preserve">Grouped recurring payments such as salaries, statutory dues, rent, utilities and vendor settlements, and traced receipts against customer collections.</w:t>
      </w:r>
    </w:p>
    <w:p>
      <w:pPr>
        <w:numPr>
          <w:ilvl w:val="0"/>
          <w:numId w:val="1"/>
        </w:numPr>
        <w:spacing w:before="0" w:after="80" w:line="360" w:lineRule="auto"/>
        <w:jc w:val="both"/>
      </w:pPr>
      <w:r>
        <w:t xml:space="preserve">Observed how a company’s cost structure and cash discipline can be read from its bank account, including how and where it controls expenditure.</w:t>
      </w:r>
    </w:p>
    <w:p>
      <w:pPr>
        <w:numPr>
          <w:ilvl w:val="0"/>
          <w:numId w:val="1"/>
        </w:numPr>
        <w:spacing w:before="0" w:after="80" w:line="360" w:lineRule="auto"/>
        <w:jc w:val="both"/>
      </w:pPr>
      <w:r>
        <w:t xml:space="preserve">Gained a clearer understanding of the difference between the accounting treatment of an item and its tax treatment, which becomes important later in the computation stage.</w:t>
      </w:r>
    </w:p>
    <w:p>
      <w:pPr>
        <w:spacing w:before="0" w:after="60" w:line="120" w:lineRule="auto"/>
      </w:pPr>
    </w:p>
    <w:p>
      <w:pPr>
        <w:keepNext/>
        <w:keepLines/>
        <w:spacing w:before="180" w:after="100" w:line="360" w:lineRule="auto"/>
        <w:jc w:val="left"/>
      </w:pPr>
      <w:r>
        <w:rPr>
          <w:b/>
          <w:sz w:val="24"/>
          <w:szCs w:val="24"/>
        </w:rPr>
        <w:t xml:space="preserve">2.3.3  Winman CA-ERP and Retrieval of Form 26AS, AIS and TIS</w:t>
      </w:r>
    </w:p>
    <w:p>
      <w:pPr>
        <w:numPr>
          <w:ilvl w:val="0"/>
          <w:numId w:val="1"/>
        </w:numPr>
        <w:spacing w:before="0" w:after="80" w:line="360" w:lineRule="auto"/>
        <w:jc w:val="both"/>
      </w:pPr>
      <w:r>
        <w:t xml:space="preserve">Was trained on Winman CA-ERP, the firm’s income tax and compliance software, and learned how client masters, computations and returns are organised within it.</w:t>
      </w:r>
    </w:p>
    <w:p>
      <w:pPr>
        <w:numPr>
          <w:ilvl w:val="0"/>
          <w:numId w:val="1"/>
        </w:numPr>
        <w:spacing w:before="0" w:after="80" w:line="360" w:lineRule="auto"/>
        <w:jc w:val="both"/>
      </w:pPr>
      <w:r>
        <w:t xml:space="preserve">Used the software to access the income tax e-filing portal and download the forms required for return preparation, principally Form 26AS, the Annual Information Statement (AIS) and the Taxpayer Information Summary (TIS).</w:t>
      </w:r>
    </w:p>
    <w:p>
      <w:pPr>
        <w:numPr>
          <w:ilvl w:val="0"/>
          <w:numId w:val="1"/>
        </w:numPr>
        <w:spacing w:before="0" w:after="80" w:line="360" w:lineRule="auto"/>
        <w:jc w:val="both"/>
      </w:pPr>
      <w:r>
        <w:t xml:space="preserve">Learned what each statement contains: Form 26AS for tax deducted and collected at source and taxes paid, AIS for reported financial transactions such as interest, dividends and securities transactions, and TIS for the summarised position derived from AIS.</w:t>
      </w:r>
    </w:p>
    <w:p>
      <w:pPr>
        <w:numPr>
          <w:ilvl w:val="0"/>
          <w:numId w:val="1"/>
        </w:numPr>
        <w:spacing w:before="0" w:after="80" w:line="360" w:lineRule="auto"/>
        <w:jc w:val="both"/>
      </w:pPr>
      <w:r>
        <w:t xml:space="preserve">Understood why these downloads are the starting point of every income tax assignment: they show what the department already knows before the return is filed.</w:t>
      </w:r>
    </w:p>
    <w:p>
      <w:pPr>
        <w:spacing w:before="0" w:after="60" w:line="120" w:lineRule="auto"/>
      </w:pPr>
    </w:p>
    <w:p>
      <w:pPr>
        <w:keepNext/>
        <w:keepLines/>
        <w:spacing w:before="180" w:after="100" w:line="360" w:lineRule="auto"/>
        <w:jc w:val="left"/>
      </w:pPr>
      <w:r>
        <w:rPr>
          <w:b/>
          <w:sz w:val="24"/>
          <w:szCs w:val="24"/>
        </w:rPr>
        <w:t xml:space="preserve">2.3.4  Real-Time Accounting in Tally</w:t>
      </w:r>
    </w:p>
    <w:p>
      <w:pPr>
        <w:numPr>
          <w:ilvl w:val="0"/>
          <w:numId w:val="1"/>
        </w:numPr>
        <w:spacing w:before="0" w:after="80" w:line="360" w:lineRule="auto"/>
        <w:jc w:val="both"/>
      </w:pPr>
      <w:r>
        <w:t xml:space="preserve">Recorded the transactions of client companies in the respective Tally company files maintained by the firm, covering receipts, payments, purchases, sales and journal entries.</w:t>
      </w:r>
    </w:p>
    <w:p>
      <w:pPr>
        <w:numPr>
          <w:ilvl w:val="0"/>
          <w:numId w:val="1"/>
        </w:numPr>
        <w:spacing w:before="0" w:after="80" w:line="360" w:lineRule="auto"/>
        <w:jc w:val="both"/>
      </w:pPr>
      <w:r>
        <w:t xml:space="preserve">Selected the appropriate ledger and voucher type for each entry and wrote narrations clear enough for a reviewer or auditor to follow without asking questions.</w:t>
      </w:r>
    </w:p>
    <w:p>
      <w:pPr>
        <w:numPr>
          <w:ilvl w:val="0"/>
          <w:numId w:val="1"/>
        </w:numPr>
        <w:spacing w:before="0" w:after="80" w:line="360" w:lineRule="auto"/>
        <w:jc w:val="both"/>
      </w:pPr>
      <w:r>
        <w:t xml:space="preserve">Observed how ledger grouping determines the final presentation in the profit and loss account and balance sheet, and how a single misclassification distorts both.</w:t>
      </w:r>
    </w:p>
    <w:p>
      <w:pPr>
        <w:numPr>
          <w:ilvl w:val="0"/>
          <w:numId w:val="1"/>
        </w:numPr>
        <w:spacing w:before="0" w:after="80" w:line="360" w:lineRule="auto"/>
        <w:jc w:val="both"/>
      </w:pPr>
      <w:r>
        <w:t xml:space="preserve">Built up a much better sense of how the client’s business actually operates, because the ledger reveals the pattern of its dealings far more honestly than any summary.</w:t>
      </w:r>
    </w:p>
    <w:p>
      <w:pPr>
        <w:spacing w:before="0" w:after="60" w:line="120" w:lineRule="auto"/>
      </w:pPr>
    </w:p>
    <w:p>
      <w:pPr>
        <w:keepNext/>
        <w:keepLines/>
        <w:spacing w:before="180" w:after="100" w:line="360" w:lineRule="auto"/>
        <w:jc w:val="left"/>
      </w:pPr>
      <w:r>
        <w:rPr>
          <w:b/>
          <w:sz w:val="24"/>
          <w:szCs w:val="24"/>
        </w:rPr>
        <w:t xml:space="preserve">2.3.5  Goods and Services Tax Filing Support</w:t>
      </w:r>
    </w:p>
    <w:p>
      <w:pPr>
        <w:numPr>
          <w:ilvl w:val="0"/>
          <w:numId w:val="1"/>
        </w:numPr>
        <w:spacing w:before="0" w:after="80" w:line="360" w:lineRule="auto"/>
        <w:jc w:val="both"/>
      </w:pPr>
      <w:r>
        <w:t xml:space="preserve">Downloaded and analysed acknowledgement forms and filed returns from the GST portal for client-wise records, including GSTR-1 for outward supplies, GSTR-2B for available input tax credit and GSTR-3B as the summary return.</w:t>
      </w:r>
    </w:p>
    <w:p>
      <w:pPr>
        <w:numPr>
          <w:ilvl w:val="0"/>
          <w:numId w:val="1"/>
        </w:numPr>
        <w:spacing w:before="0" w:after="80" w:line="360" w:lineRule="auto"/>
        <w:jc w:val="both"/>
      </w:pPr>
      <w:r>
        <w:t xml:space="preserve">Assisted in requesting and unlocking files on the portal and observed both modes of authentication used in practice, online verification and signing through a Digital Signature Certificate.</w:t>
      </w:r>
    </w:p>
    <w:p>
      <w:pPr>
        <w:numPr>
          <w:ilvl w:val="0"/>
          <w:numId w:val="1"/>
        </w:numPr>
        <w:spacing w:before="0" w:after="80" w:line="360" w:lineRule="auto"/>
        <w:jc w:val="both"/>
      </w:pPr>
      <w:r>
        <w:t xml:space="preserve">Assisted in the reconciliation of the books of account maintained in Tally with the GST returns filed, so that turnover and input tax credit as per the books agreed with the returns.</w:t>
      </w:r>
    </w:p>
    <w:p>
      <w:pPr>
        <w:numPr>
          <w:ilvl w:val="0"/>
          <w:numId w:val="1"/>
        </w:numPr>
        <w:spacing w:before="0" w:after="80" w:line="360" w:lineRule="auto"/>
        <w:jc w:val="both"/>
      </w:pPr>
      <w:r>
        <w:t xml:space="preserve">Read the relevant provisions of the GST law while doing the work, which made the sections and their practical effect much easier to connect than reading them in isolation.</w:t>
      </w:r>
    </w:p>
    <w:p>
      <w:pPr>
        <w:spacing w:before="0" w:after="60" w:line="120" w:lineRule="auto"/>
      </w:pPr>
    </w:p>
    <w:p>
      <w:pPr>
        <w:keepNext/>
        <w:keepLines/>
        <w:spacing w:before="180" w:after="100" w:line="360" w:lineRule="auto"/>
        <w:jc w:val="left"/>
      </w:pPr>
      <w:r>
        <w:rPr>
          <w:b/>
          <w:sz w:val="24"/>
          <w:szCs w:val="24"/>
        </w:rPr>
        <w:t xml:space="preserve">2.3.6  TDS Compliance: Conso Files and the Return Preparation Utility</w:t>
      </w:r>
    </w:p>
    <w:p>
      <w:pPr>
        <w:numPr>
          <w:ilvl w:val="0"/>
          <w:numId w:val="1"/>
        </w:numPr>
        <w:spacing w:before="0" w:after="80" w:line="360" w:lineRule="auto"/>
        <w:jc w:val="both"/>
      </w:pPr>
      <w:r>
        <w:t xml:space="preserve">Requested and downloaded consolidated (conso) files for client deductors through Winman TDS from the TRACES portal, following the request-and-download sequence required by the system.</w:t>
      </w:r>
    </w:p>
    <w:p>
      <w:pPr>
        <w:numPr>
          <w:ilvl w:val="0"/>
          <w:numId w:val="1"/>
        </w:numPr>
        <w:spacing w:before="0" w:after="80" w:line="360" w:lineRule="auto"/>
        <w:jc w:val="both"/>
      </w:pPr>
      <w:r>
        <w:t xml:space="preserve">Extracted the data from the conso file using the TDS Return Preparation Utility (RPU version 4.6) and entered the details quarter-wise in the format required for filing.</w:t>
      </w:r>
    </w:p>
    <w:p>
      <w:pPr>
        <w:numPr>
          <w:ilvl w:val="0"/>
          <w:numId w:val="1"/>
        </w:numPr>
        <w:spacing w:before="0" w:after="80" w:line="360" w:lineRule="auto"/>
        <w:jc w:val="both"/>
      </w:pPr>
      <w:r>
        <w:t xml:space="preserve">Analysed and interpreted the transactions and deductions contained in the conso files, identifying which payments attracted deduction, at what rate, and which were not chargeable.</w:t>
      </w:r>
    </w:p>
    <w:p>
      <w:pPr>
        <w:numPr>
          <w:ilvl w:val="0"/>
          <w:numId w:val="1"/>
        </w:numPr>
        <w:spacing w:before="0" w:after="80" w:line="360" w:lineRule="auto"/>
        <w:jc w:val="both"/>
      </w:pPr>
      <w:r>
        <w:t xml:space="preserve">Read the conso file against Form 26AS to see how a deduction reported by the deductor appears as a credit in the deductee’s account, and why an error in a TDS statement becomes the deductee’s problem at the time of filing.</w:t>
      </w:r>
    </w:p>
    <w:p>
      <w:pPr>
        <w:spacing w:before="0" w:after="60" w:line="120" w:lineRule="auto"/>
      </w:pPr>
    </w:p>
    <w:p>
      <w:pPr>
        <w:keepNext/>
        <w:keepLines/>
        <w:spacing w:before="180" w:after="100" w:line="360" w:lineRule="auto"/>
        <w:jc w:val="left"/>
      </w:pPr>
      <w:r>
        <w:rPr>
          <w:b/>
          <w:sz w:val="24"/>
          <w:szCs w:val="24"/>
        </w:rPr>
        <w:t xml:space="preserve">2.3.7  Securities Transaction Tax, Bank Account Abstract and Statement of Total Income</w:t>
      </w:r>
    </w:p>
    <w:p>
      <w:pPr>
        <w:numPr>
          <w:ilvl w:val="0"/>
          <w:numId w:val="1"/>
        </w:numPr>
        <w:spacing w:before="0" w:after="80" w:line="360" w:lineRule="auto"/>
        <w:jc w:val="both"/>
      </w:pPr>
      <w:r>
        <w:t xml:space="preserve">Worked on Securities Transaction Tax (STT): identified securities transactions from the Annual Information Statement and the broker-wise statements, verified the STT reflected against them and entered the details in Winman for the computation.</w:t>
      </w:r>
    </w:p>
    <w:p>
      <w:pPr>
        <w:numPr>
          <w:ilvl w:val="0"/>
          <w:numId w:val="1"/>
        </w:numPr>
        <w:spacing w:before="0" w:after="80" w:line="360" w:lineRule="auto"/>
        <w:jc w:val="both"/>
      </w:pPr>
      <w:r>
        <w:t xml:space="preserve">Prepared bank account abstracts summarising the classified bank data into a working paper that could be used directly for computation.</w:t>
      </w:r>
    </w:p>
    <w:p>
      <w:pPr>
        <w:numPr>
          <w:ilvl w:val="0"/>
          <w:numId w:val="1"/>
        </w:numPr>
        <w:spacing w:before="0" w:after="80" w:line="360" w:lineRule="auto"/>
        <w:jc w:val="both"/>
      </w:pPr>
      <w:r>
        <w:t xml:space="preserve">Entered the data in Winman and prepared the Statement of Total Income for individual and corporate clients, head of income by head of income.</w:t>
      </w:r>
    </w:p>
    <w:p>
      <w:pPr>
        <w:numPr>
          <w:ilvl w:val="0"/>
          <w:numId w:val="1"/>
        </w:numPr>
        <w:spacing w:before="0" w:after="80" w:line="360" w:lineRule="auto"/>
        <w:jc w:val="both"/>
      </w:pPr>
      <w:r>
        <w:t xml:space="preserve">Reconciled tax credits appearing in Form 26AS with the taxes recorded in the books and the bank statement, so that advance tax, self-assessment tax and TDS were all correctly claimed.</w:t>
      </w:r>
    </w:p>
    <w:p>
      <w:pPr>
        <w:numPr>
          <w:ilvl w:val="0"/>
          <w:numId w:val="1"/>
        </w:numPr>
        <w:spacing w:before="0" w:after="80" w:line="360" w:lineRule="auto"/>
        <w:jc w:val="both"/>
      </w:pPr>
      <w:r>
        <w:t xml:space="preserve">Assisted in the preparation of balance sheets and in computing the balance of tax payable or refundable after giving credit for taxes already paid.</w:t>
      </w:r>
    </w:p>
    <w:p>
      <w:pPr>
        <w:spacing w:before="0" w:after="60" w:line="120" w:lineRule="auto"/>
      </w:pPr>
    </w:p>
    <w:p>
      <w:pPr>
        <w:keepNext/>
        <w:keepLines/>
        <w:spacing w:before="180" w:after="100" w:line="360" w:lineRule="auto"/>
        <w:jc w:val="left"/>
      </w:pPr>
      <w:r>
        <w:rPr>
          <w:b/>
          <w:sz w:val="24"/>
          <w:szCs w:val="24"/>
        </w:rPr>
        <w:t xml:space="preserve">2.3.8  Return Filing and Statutory Audit Documentation</w:t>
      </w:r>
    </w:p>
    <w:p>
      <w:pPr>
        <w:numPr>
          <w:ilvl w:val="0"/>
          <w:numId w:val="1"/>
        </w:numPr>
        <w:spacing w:before="0" w:after="80" w:line="360" w:lineRule="auto"/>
        <w:jc w:val="both"/>
      </w:pPr>
      <w:r>
        <w:t xml:space="preserve">Prepared income tax returns for upload once the Statement of Total Income was approved, allowing Winman to process the classified income and expenditure and generate the computation and the return.</w:t>
      </w:r>
    </w:p>
    <w:p>
      <w:pPr>
        <w:numPr>
          <w:ilvl w:val="0"/>
          <w:numId w:val="1"/>
        </w:numPr>
        <w:spacing w:before="0" w:after="80" w:line="360" w:lineRule="auto"/>
        <w:jc w:val="both"/>
      </w:pPr>
      <w:r>
        <w:t xml:space="preserve">Independently completed the filing of three returns end to end during the closing weeks, from data entry to upload, after review by the Manager.</w:t>
      </w:r>
    </w:p>
    <w:p>
      <w:pPr>
        <w:numPr>
          <w:ilvl w:val="0"/>
          <w:numId w:val="1"/>
        </w:numPr>
        <w:spacing w:before="0" w:after="80" w:line="360" w:lineRule="auto"/>
        <w:jc w:val="both"/>
      </w:pPr>
      <w:r>
        <w:t xml:space="preserve">Assisted in documentation work relating to statutory audit assignments of companies, including assembling ledgers, reconciliations and portal statements into audit working papers.</w:t>
      </w:r>
    </w:p>
    <w:p>
      <w:pPr>
        <w:numPr>
          <w:ilvl w:val="0"/>
          <w:numId w:val="1"/>
        </w:numPr>
        <w:spacing w:before="0" w:after="80" w:line="360" w:lineRule="auto"/>
        <w:jc w:val="both"/>
      </w:pPr>
      <w:r>
        <w:t xml:space="preserve">Reconciled Form 26AS, AIS and TIS with the books of account as part of statutory audit and income tax verification procedures, and listed the differences requiring the client’s confirmation.</w:t>
      </w:r>
    </w:p>
    <w:p>
      <w:pPr>
        <w:spacing w:before="0" w:after="60" w:line="120" w:lineRule="auto"/>
      </w:pPr>
    </w:p>
    <w:p>
      <w:pPr>
        <w:keepNext/>
        <w:keepLines/>
        <w:spacing w:before="240" w:after="120" w:line="360" w:lineRule="auto"/>
        <w:jc w:val="left"/>
      </w:pPr>
      <w:r>
        <w:rPr>
          <w:b/>
          <w:sz w:val="26"/>
          <w:szCs w:val="26"/>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Securities Transaction Tax, Bank Abstract and Computation</w:t>
      </w:r>
    </w:p>
    <w:p>
      <w:pPr>
        <w:numPr>
          <w:ilvl w:val="0"/>
          <w:numId w:val="1"/>
        </w:numPr>
        <w:spacing w:before="0" w:after="80" w:line="360" w:lineRule="auto"/>
        <w:jc w:val="both"/>
      </w:pPr>
      <w:r>
        <w:t xml:space="preserve">Worked on Securities Transaction Tax and the related data entry in Winman, tracing securities transactions and the STT against them from the Annual Information Statement and broker statements.</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6"/>
          <w:szCs w:val="26"/>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6"/>
          <w:szCs w:val="26"/>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numPr>
          <w:ilvl w:val="0"/>
          <w:numId w:val="1"/>
        </w:numPr>
        <w:spacing w:before="0" w:after="80" w:line="360" w:lineRule="auto"/>
        <w:jc w:val="both"/>
      </w:pPr>
      <w:r>
        <w:t xml:space="preserve">Applied the fundamentals of double entry, ledger classification and grouping while recording transactions in Tally.</w:t>
      </w:r>
    </w:p>
    <w:p>
      <w:pPr>
        <w:numPr>
          <w:ilvl w:val="0"/>
          <w:numId w:val="1"/>
        </w:numPr>
        <w:spacing w:before="0" w:after="80" w:line="360" w:lineRule="auto"/>
        <w:jc w:val="both"/>
      </w:pPr>
      <w:r>
        <w:t xml:space="preserve">Used the accounting equation and the distinction between capital and revenue items to decide the treatment of entries appearing in bank statements.</w:t>
      </w:r>
    </w:p>
    <w:p>
      <w:pPr>
        <w:numPr>
          <w:ilvl w:val="0"/>
          <w:numId w:val="1"/>
        </w:numPr>
        <w:spacing w:before="0" w:after="80" w:line="360" w:lineRule="auto"/>
        <w:jc w:val="both"/>
      </w:pPr>
      <w:r>
        <w:t xml:space="preserve">Applied reconciliation technique in matching the bank account with the books, and in matching taxes recorded in the books against credits appearing in Form 26AS.</w:t>
      </w:r>
    </w:p>
    <w:p>
      <w:pPr>
        <w:spacing w:before="0" w:after="60" w:line="120" w:lineRule="auto"/>
      </w:pPr>
    </w:p>
    <w:p>
      <w:pPr>
        <w:keepNext/>
        <w:keepLines/>
        <w:spacing w:before="180" w:after="100" w:line="360" w:lineRule="auto"/>
        <w:jc w:val="left"/>
      </w:pPr>
      <w:r>
        <w:rPr>
          <w:b/>
          <w:sz w:val="24"/>
          <w:szCs w:val="24"/>
        </w:rPr>
        <w:t xml:space="preserve">2.6.2  Direct Taxation</w:t>
      </w:r>
    </w:p>
    <w:p>
      <w:pPr>
        <w:numPr>
          <w:ilvl w:val="0"/>
          <w:numId w:val="1"/>
        </w:numPr>
        <w:spacing w:before="0" w:after="80" w:line="360" w:lineRule="auto"/>
        <w:jc w:val="both"/>
      </w:pPr>
      <w:r>
        <w:t xml:space="preserve">Applied the five heads of income and the structure of the Statement of Total Income while computing income for individuals and companies.</w:t>
      </w:r>
    </w:p>
    <w:p>
      <w:pPr>
        <w:numPr>
          <w:ilvl w:val="0"/>
          <w:numId w:val="1"/>
        </w:numPr>
        <w:spacing w:before="0" w:after="80" w:line="360" w:lineRule="auto"/>
        <w:jc w:val="both"/>
      </w:pPr>
      <w:r>
        <w:t xml:space="preserve">Used the provisions relating to Tax Deducted at Source in practice, including deduction rates, chargeability and the quarterly statement cycle.</w:t>
      </w:r>
    </w:p>
    <w:p>
      <w:pPr>
        <w:numPr>
          <w:ilvl w:val="0"/>
          <w:numId w:val="1"/>
        </w:numPr>
        <w:spacing w:before="0" w:after="80" w:line="360" w:lineRule="auto"/>
        <w:jc w:val="both"/>
      </w:pPr>
      <w:r>
        <w:t xml:space="preserve">Applied the concepts of advance tax, self-assessment tax and credit for taxes paid while arriving at the net tax payable or refundable.</w:t>
      </w:r>
    </w:p>
    <w:p>
      <w:pPr>
        <w:numPr>
          <w:ilvl w:val="0"/>
          <w:numId w:val="1"/>
        </w:numPr>
        <w:spacing w:before="0" w:after="80" w:line="360" w:lineRule="auto"/>
        <w:jc w:val="both"/>
      </w:pPr>
      <w:r>
        <w:t xml:space="preserve">Applied the taxation of securities transactions, including Securities Transaction Tax, while working on client data drawn from the Annual Information Statement and broker statements.</w:t>
      </w:r>
    </w:p>
    <w:p>
      <w:pPr>
        <w:spacing w:before="0" w:after="60" w:line="120" w:lineRule="auto"/>
      </w:pPr>
    </w:p>
    <w:p>
      <w:pPr>
        <w:keepNext/>
        <w:keepLines/>
        <w:spacing w:before="180" w:after="100" w:line="360" w:lineRule="auto"/>
        <w:jc w:val="left"/>
      </w:pPr>
      <w:r>
        <w:rPr>
          <w:b/>
          <w:sz w:val="24"/>
          <w:szCs w:val="24"/>
        </w:rPr>
        <w:t xml:space="preserve">2.6.3  Indirect Taxation and GST</w:t>
      </w:r>
    </w:p>
    <w:p>
      <w:pPr>
        <w:numPr>
          <w:ilvl w:val="0"/>
          <w:numId w:val="1"/>
        </w:numPr>
        <w:spacing w:before="0" w:after="80" w:line="360" w:lineRule="auto"/>
        <w:jc w:val="both"/>
      </w:pPr>
      <w:r>
        <w:t xml:space="preserve">Applied the return structure of GST, with outward supplies in GSTR-1, credit availability in GSTR-2B and the summary in GSTR-3B.</w:t>
      </w:r>
    </w:p>
    <w:p>
      <w:pPr>
        <w:numPr>
          <w:ilvl w:val="0"/>
          <w:numId w:val="1"/>
        </w:numPr>
        <w:spacing w:before="0" w:after="80" w:line="360" w:lineRule="auto"/>
        <w:jc w:val="both"/>
      </w:pPr>
      <w:r>
        <w:t xml:space="preserve">Used the concept of input tax credit and its matching requirement while reconciling the books maintained in Tally with the returns filed.</w:t>
      </w:r>
    </w:p>
    <w:p>
      <w:pPr>
        <w:numPr>
          <w:ilvl w:val="0"/>
          <w:numId w:val="1"/>
        </w:numPr>
        <w:spacing w:before="0" w:after="80" w:line="360" w:lineRule="auto"/>
        <w:jc w:val="both"/>
      </w:pPr>
      <w:r>
        <w:t xml:space="preserve">Read the relevant sections of the GST Act alongside the filings, which gave the statutory language a practical meaning.</w:t>
      </w:r>
    </w:p>
    <w:p>
      <w:pPr>
        <w:spacing w:before="0" w:after="60" w:line="120" w:lineRule="auto"/>
      </w:pPr>
    </w:p>
    <w:p>
      <w:pPr>
        <w:keepNext/>
        <w:keepLines/>
        <w:spacing w:before="180" w:after="100" w:line="360" w:lineRule="auto"/>
        <w:jc w:val="left"/>
      </w:pPr>
      <w:r>
        <w:rPr>
          <w:b/>
          <w:sz w:val="24"/>
          <w:szCs w:val="24"/>
        </w:rPr>
        <w:t xml:space="preserve">2.6.4  Accounting Systems and ERP Usage</w:t>
      </w:r>
    </w:p>
    <w:p>
      <w:pPr>
        <w:numPr>
          <w:ilvl w:val="0"/>
          <w:numId w:val="1"/>
        </w:numPr>
        <w:spacing w:before="0" w:after="80" w:line="360" w:lineRule="auto"/>
        <w:jc w:val="both"/>
      </w:pPr>
      <w:r>
        <w:t xml:space="preserve">Extended classroom exposure to accounting systems by working in Tally and Winman on live client data.</w:t>
      </w:r>
    </w:p>
    <w:p>
      <w:pPr>
        <w:numPr>
          <w:ilvl w:val="0"/>
          <w:numId w:val="1"/>
        </w:numPr>
        <w:spacing w:before="0" w:after="80" w:line="360" w:lineRule="auto"/>
        <w:jc w:val="both"/>
      </w:pPr>
      <w:r>
        <w:t xml:space="preserve">Understood how integrated software links books, computation, statutory forms and filing, and where human judgement still has to intervene.</w:t>
      </w:r>
    </w:p>
    <w:p>
      <w:pPr>
        <w:numPr>
          <w:ilvl w:val="0"/>
          <w:numId w:val="1"/>
        </w:numPr>
        <w:spacing w:before="0" w:after="80" w:line="360" w:lineRule="auto"/>
        <w:jc w:val="both"/>
      </w:pPr>
      <w:r>
        <w:t xml:space="preserve">Learned the importance of master data, ledger structure and correct client set-up, since every downstream report depends on them.</w:t>
      </w:r>
    </w:p>
    <w:p>
      <w:pPr>
        <w:spacing w:before="0" w:after="60" w:line="120" w:lineRule="auto"/>
      </w:pPr>
    </w:p>
    <w:p>
      <w:pPr>
        <w:keepNext/>
        <w:keepLines/>
        <w:spacing w:before="180" w:after="100" w:line="360" w:lineRule="auto"/>
        <w:jc w:val="left"/>
      </w:pPr>
      <w:r>
        <w:rPr>
          <w:b/>
          <w:sz w:val="24"/>
          <w:szCs w:val="24"/>
        </w:rPr>
        <w:t xml:space="preserve">2.6.5  Financial Reporting and Analysis</w:t>
      </w:r>
    </w:p>
    <w:p>
      <w:pPr>
        <w:numPr>
          <w:ilvl w:val="0"/>
          <w:numId w:val="1"/>
        </w:numPr>
        <w:spacing w:before="0" w:after="80" w:line="360" w:lineRule="auto"/>
        <w:jc w:val="both"/>
      </w:pPr>
      <w:r>
        <w:t xml:space="preserve">Applied financial statement knowledge while assisting in the preparation of balance sheets and while reviewing profit and loss presentation in Tally.</w:t>
      </w:r>
    </w:p>
    <w:p>
      <w:pPr>
        <w:numPr>
          <w:ilvl w:val="0"/>
          <w:numId w:val="1"/>
        </w:numPr>
        <w:spacing w:before="0" w:after="80" w:line="360" w:lineRule="auto"/>
        <w:jc w:val="both"/>
      </w:pPr>
      <w:r>
        <w:t xml:space="preserve">Used analytical techniques from financial reporting coursework to interpret a client’s income and expenditure pattern from its bank account.</w:t>
      </w:r>
    </w:p>
    <w:p>
      <w:pPr>
        <w:numPr>
          <w:ilvl w:val="0"/>
          <w:numId w:val="1"/>
        </w:numPr>
        <w:spacing w:before="0" w:after="80" w:line="360" w:lineRule="auto"/>
        <w:jc w:val="both"/>
      </w:pPr>
      <w:r>
        <w:t xml:space="preserve">Applied reporting discipline in preparing working papers and client reports for my Manager’s verification and approval.</w:t>
      </w:r>
    </w:p>
    <w:p>
      <w:pPr>
        <w:spacing w:before="0" w:after="60" w:line="120" w:lineRule="auto"/>
      </w:pPr>
    </w:p>
    <w:p>
      <w:pPr>
        <w:keepNext/>
        <w:keepLines/>
        <w:spacing w:before="240" w:after="120" w:line="360" w:lineRule="auto"/>
        <w:jc w:val="left"/>
      </w:pPr>
      <w:r>
        <w:rPr>
          <w:b/>
          <w:sz w:val="26"/>
          <w:szCs w:val="26"/>
        </w:rPr>
        <w:t xml:space="preserve">2.7  SKILLS DEVELOPED DURING THE INTERNSHIP</w:t>
      </w:r>
    </w:p>
    <w:p>
      <w:pPr>
        <w:spacing w:before="0" w:after="140" w:line="360" w:lineRule="auto"/>
        <w:jc w:val="both"/>
      </w:pPr>
      <w:r>
        <w:t xml:space="preserve">The internship developed both technical and behavioural skills, and in most cases the two grew together, because accuracy in this work is as much a habit as it is a technique.</w:t>
      </w:r>
    </w:p>
    <w:p>
      <w:pPr>
        <w:keepNext/>
        <w:keepLines/>
        <w:spacing w:before="180" w:after="100" w:line="360" w:lineRule="auto"/>
        <w:jc w:val="left"/>
      </w:pPr>
      <w:r>
        <w:rPr>
          <w:b/>
          <w:sz w:val="24"/>
          <w:szCs w:val="24"/>
        </w:rPr>
        <w:t xml:space="preserve">2.7.1  Classification and Documentation Skills</w:t>
      </w:r>
    </w:p>
    <w:p>
      <w:pPr>
        <w:spacing w:before="0" w:after="140" w:line="360" w:lineRule="auto"/>
        <w:jc w:val="both"/>
      </w:pPr>
      <w:r>
        <w:t xml:space="preserve">I became confident in reading a bank statement or a ledger and deciding how each entry should be treated, and in assembling the supporting downloads and working papers into a file that a reviewer could follow without explanation.</w:t>
      </w:r>
    </w:p>
    <w:p>
      <w:pPr>
        <w:keepNext/>
        <w:keepLines/>
        <w:spacing w:before="180" w:after="100" w:line="360" w:lineRule="auto"/>
        <w:jc w:val="left"/>
      </w:pPr>
      <w:r>
        <w:rPr>
          <w:b/>
          <w:sz w:val="24"/>
          <w:szCs w:val="24"/>
        </w:rPr>
        <w:t xml:space="preserve">2.7.2  Attention to Detail</w:t>
      </w:r>
    </w:p>
    <w:p>
      <w:pPr>
        <w:spacing w:before="0" w:after="140" w:line="360" w:lineRule="auto"/>
        <w:jc w:val="both"/>
      </w:pPr>
      <w:r>
        <w:t xml:space="preserve">Tax work punishes carelessness. Checking a figure against its source before accepting it, and flagging what could not be verified, became automatic by the later weeks of the internship.</w:t>
      </w:r>
    </w:p>
    <w:p>
      <w:pPr>
        <w:keepNext/>
        <w:keepLines/>
        <w:spacing w:before="180" w:after="100" w:line="360" w:lineRule="auto"/>
        <w:jc w:val="left"/>
      </w:pPr>
      <w:r>
        <w:rPr>
          <w:b/>
          <w:sz w:val="24"/>
          <w:szCs w:val="24"/>
        </w:rPr>
        <w:t xml:space="preserve">2.7.3  Software Proficiency</w:t>
      </w:r>
    </w:p>
    <w:p>
      <w:pPr>
        <w:spacing w:before="0" w:after="140" w:line="360" w:lineRule="auto"/>
        <w:jc w:val="both"/>
      </w:pPr>
      <w:r>
        <w:t xml:space="preserve">I moved from being a beginner to working independently in Tally and Winman CA-ERP, and gained working familiarity with Winman TDS, the TDS Return Preparation Utility, the income tax e-filing portal and the GST portal.</w:t>
      </w:r>
    </w:p>
    <w:p>
      <w:pPr>
        <w:keepNext/>
        <w:keepLines/>
        <w:spacing w:before="180" w:after="100" w:line="360" w:lineRule="auto"/>
        <w:jc w:val="left"/>
      </w:pPr>
      <w:r>
        <w:rPr>
          <w:b/>
          <w:sz w:val="24"/>
          <w:szCs w:val="24"/>
        </w:rPr>
        <w:t xml:space="preserve">2.7.4  Time Management</w:t>
      </w:r>
    </w:p>
    <w:p>
      <w:pPr>
        <w:spacing w:before="0" w:after="140" w:line="360" w:lineRule="auto"/>
        <w:jc w:val="both"/>
      </w:pPr>
      <w:r>
        <w:t xml:space="preserve">With several client files open at once during filing season, I learned to sequence work by due date rather than by convenience, and to finish one file completely before starting the next.</w:t>
      </w:r>
    </w:p>
    <w:p>
      <w:pPr>
        <w:keepNext/>
        <w:keepLines/>
        <w:spacing w:before="180" w:after="100" w:line="360" w:lineRule="auto"/>
        <w:jc w:val="left"/>
      </w:pPr>
      <w:r>
        <w:rPr>
          <w:b/>
          <w:sz w:val="24"/>
          <w:szCs w:val="24"/>
        </w:rPr>
        <w:t xml:space="preserve">2.7.5  Organizational Skills</w:t>
      </w:r>
    </w:p>
    <w:p>
      <w:pPr>
        <w:spacing w:before="0" w:after="140" w:line="360" w:lineRule="auto"/>
        <w:jc w:val="both"/>
      </w:pPr>
      <w:r>
        <w:t xml:space="preserve">Maintaining client-wise folders, naming downloaded statements consistently and keeping a written list of pending clarifications improved the way I organise my own work.</w:t>
      </w:r>
    </w:p>
    <w:p>
      <w:pPr>
        <w:keepNext/>
        <w:keepLines/>
        <w:spacing w:before="180" w:after="100" w:line="360" w:lineRule="auto"/>
        <w:jc w:val="left"/>
      </w:pPr>
      <w:r>
        <w:rPr>
          <w:b/>
          <w:sz w:val="24"/>
          <w:szCs w:val="24"/>
        </w:rPr>
        <w:t xml:space="preserve">2.7.6  Teamwork</w:t>
      </w:r>
    </w:p>
    <w:p>
      <w:pPr>
        <w:spacing w:before="0" w:after="140" w:line="360" w:lineRule="auto"/>
        <w:jc w:val="both"/>
      </w:pPr>
      <w:r>
        <w:t xml:space="preserve">Working under Ms. A. Lakshmi and alongside Ms. Aruna taught me how a small professional team divides work, reviews it and covers for each other during deadline periods.</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Handling client bank statements, portal credentials and digital signature tokens taught me that discretion is part of the job and not an optional courtesy.</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I learned to pick up an unfamiliar process by watching it once, noting the steps, attempting it under supervision and then performing it independently.</w:t>
      </w:r>
    </w:p>
    <w:p>
      <w:pPr>
        <w:keepNext/>
        <w:keepLines/>
        <w:spacing w:before="240" w:after="120" w:line="360" w:lineRule="auto"/>
        <w:jc w:val="left"/>
      </w:pPr>
      <w:r>
        <w:rPr>
          <w:b/>
          <w:sz w:val="26"/>
          <w:szCs w:val="26"/>
        </w:rPr>
        <w:t xml:space="preserve">2.8  KEY OBSERVATIONS FROM THE JOB</w:t>
      </w:r>
    </w:p>
    <w:p>
      <w:pPr>
        <w:spacing w:before="0" w:after="140" w:line="360" w:lineRule="auto"/>
        <w:jc w:val="both"/>
      </w:pPr>
      <w:r>
        <w:t xml:space="preserve">The clearest observation from the internship is that compliance work rests on the quality of the underlying records. Where a client maintained proper books and gave prompt clarifications, a return could be prepared and filed quickly; where records were incomplete, most of the effort went into establishing what had actually happened before any computation could begin.</w:t>
      </w:r>
    </w:p>
    <w:p>
      <w:pPr>
        <w:spacing w:before="0" w:after="140" w:line="360" w:lineRule="auto"/>
        <w:jc w:val="both"/>
      </w:pPr>
      <w:r>
        <w:t xml:space="preserve">A second observation is that the tax administration now holds a great deal of information independently of the assessee. Form 26AS, the Annual Information Statement, the Taxpayer Information Summary and GSTR-2B all arrive before the return is filed, which means the professional’s task is to reconcile and explain rather than merely to report.</w:t>
      </w:r>
    </w:p>
    <w:p>
      <w:pPr>
        <w:spacing w:before="0" w:after="140" w:line="360" w:lineRule="auto"/>
        <w:jc w:val="both"/>
      </w:pPr>
      <w:r>
        <w:t xml:space="preserve">A third observation concerns interdependence. A deduction reported incorrectly by a deductor becomes a missing credit for a client of the firm; an input tax credit depends on a supplier’s own filing. Much of the work therefore involves chasing information that sits outside the firm’s control.</w:t>
      </w:r>
    </w:p>
    <w:p>
      <w:pPr>
        <w:spacing w:before="0" w:after="140" w:line="360" w:lineRule="auto"/>
        <w:jc w:val="both"/>
      </w:pPr>
      <w:r>
        <w:t xml:space="preserve">Finally, I observed that a professional office runs on review. No figure leaves the firm on the strength of one person’s work, and that discipline, rather than individual brilliance, is what keeps the error rate low.</w:t>
      </w:r>
    </w:p>
    <w:p>
      <w:pPr>
        <w:keepNext/>
        <w:keepLines/>
        <w:spacing w:before="240" w:after="120" w:line="360" w:lineRule="auto"/>
        <w:jc w:val="left"/>
      </w:pPr>
      <w:r>
        <w:rPr>
          <w:b/>
          <w:sz w:val="26"/>
          <w:szCs w:val="26"/>
        </w:rPr>
        <w:t xml:space="preserve">2.9  CHALLENGES ENCOUNTERED DURING THE INTERNSHIP</w:t>
      </w:r>
    </w:p>
    <w:p>
      <w:pPr>
        <w:spacing w:before="0" w:after="140" w:line="360" w:lineRule="auto"/>
        <w:jc w:val="both"/>
      </w:pPr>
      <w:r>
        <w:t xml:space="preserve">The internship was demanding in ways that had little to do with accounting, and it would be dishonest to present it otherwise. Each of the following difficulties contributed something to the experience.</w:t>
      </w:r>
    </w:p>
    <w:p>
      <w:pPr>
        <w:keepNext/>
        <w:keepLines/>
        <w:spacing w:before="180" w:after="100" w:line="360" w:lineRule="auto"/>
        <w:jc w:val="left"/>
      </w:pPr>
      <w:r>
        <w:rPr>
          <w:b/>
          <w:sz w:val="24"/>
          <w:szCs w:val="24"/>
        </w:rPr>
        <w:t xml:space="preserve">2.9.1  Daily Travel</w:t>
      </w:r>
    </w:p>
    <w:p>
      <w:pPr>
        <w:spacing w:before="0" w:after="140" w:line="360" w:lineRule="auto"/>
        <w:jc w:val="both"/>
      </w:pPr>
      <w:r>
        <w:t xml:space="preserve">The internship was on-site at the firm’s Mylapore office and I commuted by bus for about an hour each way, in crowded conditions, every working day for a little over two months. The first fortnight was genuinely tiring. I managed it by leaving early enough to avoid the worst of the rush and by treating the journey as fixed personal time rather than lost time. By the second month the routine had become normal, and punctuality became a matter of professional commitment rather than effort.</w:t>
      </w:r>
    </w:p>
    <w:p>
      <w:pPr>
        <w:keepNext/>
        <w:keepLines/>
        <w:spacing w:before="180" w:after="100" w:line="360" w:lineRule="auto"/>
        <w:jc w:val="left"/>
      </w:pPr>
      <w:r>
        <w:rPr>
          <w:b/>
          <w:sz w:val="24"/>
          <w:szCs w:val="24"/>
        </w:rPr>
        <w:t xml:space="preserve">2.9.2  Screen Fatigue</w:t>
      </w:r>
    </w:p>
    <w:p>
      <w:pPr>
        <w:spacing w:before="0" w:after="140" w:line="360" w:lineRule="auto"/>
        <w:jc w:val="both"/>
      </w:pPr>
      <w:r>
        <w:t xml:space="preserve">The work is almost entirely computer-based, and after long stretches of classifying entries and reading statements my eyes would burn by the end of the day. I learned to alternate between on-screen data entry and paper-based verification, to look away periodically, and to schedule the most detailed reconciliation work for the earlier part of the day when concentration was highest.</w:t>
      </w:r>
    </w:p>
    <w:p>
      <w:pPr>
        <w:keepNext/>
        <w:keepLines/>
        <w:spacing w:before="180" w:after="100" w:line="360" w:lineRule="auto"/>
        <w:jc w:val="left"/>
      </w:pPr>
      <w:r>
        <w:rPr>
          <w:b/>
          <w:sz w:val="24"/>
          <w:szCs w:val="24"/>
        </w:rPr>
        <w:t xml:space="preserve">2.9.3  Repetitive Work and Monotony</w:t>
      </w:r>
    </w:p>
    <w:p>
      <w:pPr>
        <w:spacing w:before="0" w:after="140" w:line="360" w:lineRule="auto"/>
        <w:jc w:val="both"/>
      </w:pPr>
      <w:r>
        <w:t xml:space="preserve">A compliance practice involves performing the same process across many client files, and there were days when the repetition became tiring and my interest dipped. What helped was changing my frame of reference: instead of counting files, I treated each client as a different set of facts, looked for what was unusual in that particular statement and tried to reduce the time I took per file. Setting small internal targets made the routine much easier to sustain, and I came to see that accuracy maintained through monotony is itself a professional skill.</w:t>
      </w:r>
    </w:p>
    <w:p>
      <w:pPr>
        <w:keepNext/>
        <w:keepLines/>
        <w:spacing w:before="180" w:after="100" w:line="360" w:lineRule="auto"/>
        <w:jc w:val="left"/>
      </w:pPr>
      <w:r>
        <w:rPr>
          <w:b/>
          <w:sz w:val="24"/>
          <w:szCs w:val="24"/>
        </w:rPr>
        <w:t xml:space="preserve">2.9.4  Unfamiliar Statutory Processes</w:t>
      </w:r>
    </w:p>
    <w:p>
      <w:pPr>
        <w:spacing w:before="0" w:after="140" w:line="360" w:lineRule="auto"/>
        <w:jc w:val="both"/>
      </w:pPr>
      <w:r>
        <w:t xml:space="preserve">Conso files, the Return Preparation Utility, quarterly TDS statements and the mechanics of GST authentication were entirely new to me and are not covered in detail in coursework. Repetition under supervision, and written notes taken immediately after each demonstration, were what eventually made them routine.</w:t>
      </w:r>
    </w:p>
    <w:p>
      <w:pPr>
        <w:keepNext/>
        <w:keepLines/>
        <w:spacing w:before="180" w:after="100" w:line="360" w:lineRule="auto"/>
        <w:jc w:val="left"/>
      </w:pPr>
      <w:r>
        <w:rPr>
          <w:b/>
          <w:sz w:val="24"/>
          <w:szCs w:val="24"/>
        </w:rPr>
        <w:t xml:space="preserve">2.9.5  Incomplete Client Information</w:t>
      </w:r>
    </w:p>
    <w:p>
      <w:pPr>
        <w:spacing w:before="0" w:after="140" w:line="360" w:lineRule="auto"/>
        <w:jc w:val="both"/>
      </w:pPr>
      <w:r>
        <w:t xml:space="preserve">Bank statements frequently contained entries with no usable narration, and the correct treatment could not be settled without the client’s explanation. I learned to list such items for clarification instead of deciding them myself, which was the single most useful correction I received during the internship.</w:t>
      </w:r>
    </w:p>
    <w:p>
      <w:pPr>
        <w:keepNext/>
        <w:keepLines/>
        <w:spacing w:before="240" w:after="120" w:line="360" w:lineRule="auto"/>
        <w:jc w:val="left"/>
      </w:pPr>
      <w:r>
        <w:rPr>
          <w:b/>
          <w:sz w:val="26"/>
          <w:szCs w:val="26"/>
        </w:rPr>
        <w:t xml:space="preserve">2.10  OVERALL JOB EXPERIENCE</w:t>
      </w:r>
    </w:p>
    <w:p>
      <w:pPr>
        <w:spacing w:before="0" w:after="140" w:line="360" w:lineRule="auto"/>
        <w:jc w:val="both"/>
      </w:pPr>
      <w:r>
        <w:t xml:space="preserve">Taken as a whole, the internship gave me exposure across the full width of a compliance practice rather than depth in a single task. I worked on bank statement analysis, accounting in Tally, GST returns, TDS statements, Securities Transaction Tax data, the Statement of Total Income, return filing and audit documentation, and I could see how each of these fed into the others.</w:t>
      </w:r>
    </w:p>
    <w:p>
      <w:pPr>
        <w:spacing w:before="0" w:after="140" w:line="360" w:lineRule="auto"/>
        <w:jc w:val="both"/>
      </w:pPr>
      <w:r>
        <w:t xml:space="preserve">The experience also changed how I understand finance as a career. Before the internship I thought of accounting largely as record-keeping and of taxation as a set of rules to be learned. The work showed me that both are exercises in evidence: the figure matters less than the ability to demonstrate where it came from. That shift in perspective is probably the most durable thing I take away from the two months.</w:t>
      </w:r>
    </w:p>
    <w:p>
      <w:pPr>
        <w:spacing w:before="0" w:after="140" w:line="360" w:lineRule="auto"/>
        <w:jc w:val="both"/>
      </w:pPr>
      <w:r>
        <w:t xml:space="preserve">The progression from observation to independent filing within ten weeks was possible only because responsibility was handed over gradually and every piece of work was reviewed. By the final week I was completing filings end to end, which gave me a realistic sense of what an entry-level role in a practice actually involves.</w:t>
      </w:r>
    </w:p>
    <w:p>
      <w:pPr>
        <w:keepNext/>
        <w:keepLines/>
        <w:spacing w:before="240" w:after="120" w:line="360" w:lineRule="auto"/>
        <w:jc w:val="left"/>
      </w:pPr>
      <w:r>
        <w:rPr>
          <w:b/>
          <w:sz w:val="26"/>
          <w:szCs w:val="26"/>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2"/>
                <w:szCs w:val="22"/>
              </w:rPr>
              <w:t xml:space="preserve">S. No.</w:t>
            </w:r>
          </w:p>
        </w:tc>
        <w:tc>
          <w:tcPr>
            <w:tcW w:w="2599" w:type="dxa"/>
            <w:shd w:val="clear" w:color="auto" w:fill="D9D9D9"/>
            <w:vAlign w:val="center"/>
          </w:tcPr>
          <w:p>
            <w:pPr>
              <w:spacing w:before="20" w:after="20" w:line="240" w:lineRule="auto"/>
              <w:jc w:val="center"/>
            </w:pPr>
            <w:r>
              <w:rPr>
                <w:b/>
                <w:sz w:val="22"/>
                <w:szCs w:val="22"/>
              </w:rPr>
              <w:t xml:space="preserve">Area of Work</w:t>
            </w:r>
          </w:p>
        </w:tc>
        <w:tc>
          <w:tcPr>
            <w:tcW w:w="5199" w:type="dxa"/>
            <w:shd w:val="clear" w:color="auto" w:fill="D9D9D9"/>
            <w:vAlign w:val="center"/>
          </w:tcPr>
          <w:p>
            <w:pPr>
              <w:spacing w:before="20" w:after="20" w:line="240" w:lineRule="auto"/>
              <w:jc w:val="center"/>
            </w:pPr>
            <w:r>
              <w:rPr>
                <w:b/>
                <w:sz w:val="22"/>
                <w:szCs w:val="22"/>
              </w:rPr>
              <w:t xml:space="preserve">Major Responsibility</w:t>
            </w:r>
          </w:p>
        </w:tc>
      </w:tr>
      <w:tr>
        <w:trPr>
          <w:cantSplit/>
        </w:trPr>
        <w:tc>
          <w:tcPr>
            <w:tcW w:w="866" w:type="dxa"/>
            <w:vAlign w:val="center"/>
          </w:tcPr>
          <w:p>
            <w:pPr>
              <w:spacing w:before="20" w:after="20" w:line="240" w:lineRule="auto"/>
              <w:jc w:val="center"/>
            </w:pPr>
            <w:r>
              <w:rPr>
                <w:b/>
                <w:sz w:val="22"/>
                <w:szCs w:val="22"/>
              </w:rPr>
              <w:t xml:space="preserve">1</w:t>
            </w:r>
          </w:p>
        </w:tc>
        <w:tc>
          <w:tcPr>
            <w:tcW w:w="2599" w:type="dxa"/>
            <w:vAlign w:val="center"/>
          </w:tcPr>
          <w:p>
            <w:pPr>
              <w:spacing w:before="20" w:after="20" w:line="240" w:lineRule="auto"/>
              <w:jc w:val="left"/>
            </w:pPr>
            <w:r>
              <w:rPr>
                <w:b/>
                <w:sz w:val="22"/>
                <w:szCs w:val="22"/>
              </w:rPr>
              <w:t xml:space="preserve">Bank Statement Analysis</w:t>
            </w:r>
          </w:p>
        </w:tc>
        <w:tc>
          <w:tcPr>
            <w:tcW w:w="5199" w:type="dxa"/>
            <w:vAlign w:val="center"/>
          </w:tcPr>
          <w:p>
            <w:pPr>
              <w:spacing w:before="20" w:after="20" w:line="240" w:lineRule="auto"/>
              <w:jc w:val="left"/>
            </w:pPr>
            <w:r>
              <w:rPr>
                <w:sz w:val="22"/>
                <w:szCs w:val="22"/>
              </w:rPr>
              <w:t xml:space="preserve">Classification of individual and corporate bank entries into income, expenditure, drawings and transfers</w:t>
            </w:r>
          </w:p>
        </w:tc>
      </w:tr>
      <w:tr>
        <w:trPr>
          <w:cantSplit/>
        </w:trPr>
        <w:tc>
          <w:tcPr>
            <w:tcW w:w="866" w:type="dxa"/>
            <w:vAlign w:val="center"/>
          </w:tcPr>
          <w:p>
            <w:pPr>
              <w:spacing w:before="20" w:after="20" w:line="240" w:lineRule="auto"/>
              <w:jc w:val="center"/>
            </w:pPr>
            <w:r>
              <w:rPr>
                <w:b/>
                <w:sz w:val="22"/>
                <w:szCs w:val="22"/>
              </w:rPr>
              <w:t xml:space="preserve">2</w:t>
            </w:r>
          </w:p>
        </w:tc>
        <w:tc>
          <w:tcPr>
            <w:tcW w:w="2599" w:type="dxa"/>
            <w:vAlign w:val="center"/>
          </w:tcPr>
          <w:p>
            <w:pPr>
              <w:spacing w:before="20" w:after="20" w:line="240" w:lineRule="auto"/>
              <w:jc w:val="left"/>
            </w:pPr>
            <w:r>
              <w:rPr>
                <w:b/>
                <w:sz w:val="22"/>
                <w:szCs w:val="22"/>
              </w:rPr>
              <w:t xml:space="preserve">Real-Time Accounting</w:t>
            </w:r>
          </w:p>
        </w:tc>
        <w:tc>
          <w:tcPr>
            <w:tcW w:w="5199" w:type="dxa"/>
            <w:vAlign w:val="center"/>
          </w:tcPr>
          <w:p>
            <w:pPr>
              <w:spacing w:before="20" w:after="20" w:line="240" w:lineRule="auto"/>
              <w:jc w:val="left"/>
            </w:pPr>
            <w:r>
              <w:rPr>
                <w:sz w:val="22"/>
                <w:szCs w:val="22"/>
              </w:rPr>
              <w:t xml:space="preserve">Recording client transactions in Tally with correct ledgers and narrations</w:t>
            </w:r>
          </w:p>
        </w:tc>
      </w:tr>
      <w:tr>
        <w:trPr>
          <w:cantSplit/>
        </w:trPr>
        <w:tc>
          <w:tcPr>
            <w:tcW w:w="866" w:type="dxa"/>
            <w:vAlign w:val="center"/>
          </w:tcPr>
          <w:p>
            <w:pPr>
              <w:spacing w:before="20" w:after="20" w:line="240" w:lineRule="auto"/>
              <w:jc w:val="center"/>
            </w:pPr>
            <w:r>
              <w:rPr>
                <w:b/>
                <w:sz w:val="22"/>
                <w:szCs w:val="22"/>
              </w:rPr>
              <w:t xml:space="preserve">3</w:t>
            </w:r>
          </w:p>
        </w:tc>
        <w:tc>
          <w:tcPr>
            <w:tcW w:w="2599" w:type="dxa"/>
            <w:vAlign w:val="center"/>
          </w:tcPr>
          <w:p>
            <w:pPr>
              <w:spacing w:before="20" w:after="20" w:line="240" w:lineRule="auto"/>
              <w:jc w:val="left"/>
            </w:pPr>
            <w:r>
              <w:rPr>
                <w:b/>
                <w:sz w:val="22"/>
                <w:szCs w:val="22"/>
              </w:rPr>
              <w:t xml:space="preserve">Portal Downloads</w:t>
            </w:r>
          </w:p>
        </w:tc>
        <w:tc>
          <w:tcPr>
            <w:tcW w:w="5199" w:type="dxa"/>
            <w:vAlign w:val="center"/>
          </w:tcPr>
          <w:p>
            <w:pPr>
              <w:spacing w:before="20" w:after="20" w:line="240" w:lineRule="auto"/>
              <w:jc w:val="left"/>
            </w:pPr>
            <w:r>
              <w:rPr>
                <w:sz w:val="22"/>
                <w:szCs w:val="22"/>
              </w:rPr>
              <w:t xml:space="preserve">Retrieval of Form 26AS, AIS and TIS through Winman CA-ERP</w:t>
            </w:r>
          </w:p>
        </w:tc>
      </w:tr>
      <w:tr>
        <w:trPr>
          <w:cantSplit/>
        </w:trPr>
        <w:tc>
          <w:tcPr>
            <w:tcW w:w="866" w:type="dxa"/>
            <w:vAlign w:val="center"/>
          </w:tcPr>
          <w:p>
            <w:pPr>
              <w:spacing w:before="20" w:after="20" w:line="240" w:lineRule="auto"/>
              <w:jc w:val="center"/>
            </w:pPr>
            <w:r>
              <w:rPr>
                <w:b/>
                <w:sz w:val="22"/>
                <w:szCs w:val="22"/>
              </w:rPr>
              <w:t xml:space="preserve">4</w:t>
            </w:r>
          </w:p>
        </w:tc>
        <w:tc>
          <w:tcPr>
            <w:tcW w:w="2599" w:type="dxa"/>
            <w:vAlign w:val="center"/>
          </w:tcPr>
          <w:p>
            <w:pPr>
              <w:spacing w:before="20" w:after="20" w:line="240" w:lineRule="auto"/>
              <w:jc w:val="left"/>
            </w:pPr>
            <w:r>
              <w:rPr>
                <w:b/>
                <w:sz w:val="22"/>
                <w:szCs w:val="22"/>
              </w:rPr>
              <w:t xml:space="preserve">GST Compliance</w:t>
            </w:r>
          </w:p>
        </w:tc>
        <w:tc>
          <w:tcPr>
            <w:tcW w:w="5199" w:type="dxa"/>
            <w:vAlign w:val="center"/>
          </w:tcPr>
          <w:p>
            <w:pPr>
              <w:spacing w:before="20" w:after="20" w:line="240" w:lineRule="auto"/>
              <w:jc w:val="left"/>
            </w:pPr>
            <w:r>
              <w:rPr>
                <w:sz w:val="22"/>
                <w:szCs w:val="22"/>
              </w:rPr>
              <w:t xml:space="preserve">GSTR-1, GSTR-2B and GSTR-3B support, acknowledgements, file requests and DSC authentication</w:t>
            </w:r>
          </w:p>
        </w:tc>
      </w:tr>
      <w:tr>
        <w:trPr>
          <w:cantSplit/>
        </w:trPr>
        <w:tc>
          <w:tcPr>
            <w:tcW w:w="866" w:type="dxa"/>
            <w:vAlign w:val="center"/>
          </w:tcPr>
          <w:p>
            <w:pPr>
              <w:spacing w:before="20" w:after="20" w:line="240" w:lineRule="auto"/>
              <w:jc w:val="center"/>
            </w:pPr>
            <w:r>
              <w:rPr>
                <w:b/>
                <w:sz w:val="22"/>
                <w:szCs w:val="22"/>
              </w:rPr>
              <w:t xml:space="preserve">5</w:t>
            </w:r>
          </w:p>
        </w:tc>
        <w:tc>
          <w:tcPr>
            <w:tcW w:w="2599" w:type="dxa"/>
            <w:vAlign w:val="center"/>
          </w:tcPr>
          <w:p>
            <w:pPr>
              <w:spacing w:before="20" w:after="20" w:line="240" w:lineRule="auto"/>
              <w:jc w:val="left"/>
            </w:pPr>
            <w:r>
              <w:rPr>
                <w:b/>
                <w:sz w:val="22"/>
                <w:szCs w:val="22"/>
              </w:rPr>
              <w:t xml:space="preserve">GST Reconciliation</w:t>
            </w:r>
          </w:p>
        </w:tc>
        <w:tc>
          <w:tcPr>
            <w:tcW w:w="5199" w:type="dxa"/>
            <w:vAlign w:val="center"/>
          </w:tcPr>
          <w:p>
            <w:pPr>
              <w:spacing w:before="20" w:after="20" w:line="240" w:lineRule="auto"/>
              <w:jc w:val="left"/>
            </w:pPr>
            <w:r>
              <w:rPr>
                <w:sz w:val="22"/>
                <w:szCs w:val="22"/>
              </w:rPr>
              <w:t xml:space="preserve">Matching books maintained in Tally with the GST returns filed</w:t>
            </w:r>
          </w:p>
        </w:tc>
      </w:tr>
      <w:tr>
        <w:trPr>
          <w:cantSplit/>
        </w:trPr>
        <w:tc>
          <w:tcPr>
            <w:tcW w:w="866" w:type="dxa"/>
            <w:vAlign w:val="center"/>
          </w:tcPr>
          <w:p>
            <w:pPr>
              <w:spacing w:before="20" w:after="20" w:line="240" w:lineRule="auto"/>
              <w:jc w:val="center"/>
            </w:pPr>
            <w:r>
              <w:rPr>
                <w:b/>
                <w:sz w:val="22"/>
                <w:szCs w:val="22"/>
              </w:rPr>
              <w:t xml:space="preserve">6</w:t>
            </w:r>
          </w:p>
        </w:tc>
        <w:tc>
          <w:tcPr>
            <w:tcW w:w="2599" w:type="dxa"/>
            <w:vAlign w:val="center"/>
          </w:tcPr>
          <w:p>
            <w:pPr>
              <w:spacing w:before="20" w:after="20" w:line="240" w:lineRule="auto"/>
              <w:jc w:val="left"/>
            </w:pPr>
            <w:r>
              <w:rPr>
                <w:b/>
                <w:sz w:val="22"/>
                <w:szCs w:val="22"/>
              </w:rPr>
              <w:t xml:space="preserve">TDS Compliance</w:t>
            </w:r>
          </w:p>
        </w:tc>
        <w:tc>
          <w:tcPr>
            <w:tcW w:w="5199" w:type="dxa"/>
            <w:vAlign w:val="center"/>
          </w:tcPr>
          <w:p>
            <w:pPr>
              <w:spacing w:before="20" w:after="20" w:line="240" w:lineRule="auto"/>
              <w:jc w:val="left"/>
            </w:pPr>
            <w:r>
              <w:rPr>
                <w:sz w:val="22"/>
                <w:szCs w:val="22"/>
              </w:rPr>
              <w:t xml:space="preserve">Conso files from TRACES and quarter-wise data entry through the Return Preparation Utility</w:t>
            </w:r>
          </w:p>
        </w:tc>
      </w:tr>
      <w:tr>
        <w:trPr>
          <w:cantSplit/>
        </w:trPr>
        <w:tc>
          <w:tcPr>
            <w:tcW w:w="866" w:type="dxa"/>
            <w:vAlign w:val="center"/>
          </w:tcPr>
          <w:p>
            <w:pPr>
              <w:spacing w:before="20" w:after="20" w:line="240" w:lineRule="auto"/>
              <w:jc w:val="center"/>
            </w:pPr>
            <w:r>
              <w:rPr>
                <w:b/>
                <w:sz w:val="22"/>
                <w:szCs w:val="22"/>
              </w:rPr>
              <w:t xml:space="preserve">7</w:t>
            </w:r>
          </w:p>
        </w:tc>
        <w:tc>
          <w:tcPr>
            <w:tcW w:w="2599" w:type="dxa"/>
            <w:vAlign w:val="center"/>
          </w:tcPr>
          <w:p>
            <w:pPr>
              <w:spacing w:before="20" w:after="20" w:line="240" w:lineRule="auto"/>
              <w:jc w:val="left"/>
            </w:pPr>
            <w:r>
              <w:rPr>
                <w:b/>
                <w:sz w:val="22"/>
                <w:szCs w:val="22"/>
              </w:rPr>
              <w:t xml:space="preserve">Securities Transaction Tax</w:t>
            </w:r>
          </w:p>
        </w:tc>
        <w:tc>
          <w:tcPr>
            <w:tcW w:w="5199" w:type="dxa"/>
            <w:vAlign w:val="center"/>
          </w:tcPr>
          <w:p>
            <w:pPr>
              <w:spacing w:before="20" w:after="20" w:line="240" w:lineRule="auto"/>
              <w:jc w:val="left"/>
            </w:pPr>
            <w:r>
              <w:rPr>
                <w:sz w:val="22"/>
                <w:szCs w:val="22"/>
              </w:rPr>
              <w:t xml:space="preserve">Tracing securities transactions and STT from AIS and broker statements into the computation</w:t>
            </w:r>
          </w:p>
        </w:tc>
      </w:tr>
      <w:tr>
        <w:trPr>
          <w:cantSplit/>
        </w:trPr>
        <w:tc>
          <w:tcPr>
            <w:tcW w:w="866" w:type="dxa"/>
            <w:vAlign w:val="center"/>
          </w:tcPr>
          <w:p>
            <w:pPr>
              <w:spacing w:before="20" w:after="20" w:line="240" w:lineRule="auto"/>
              <w:jc w:val="center"/>
            </w:pPr>
            <w:r>
              <w:rPr>
                <w:b/>
                <w:sz w:val="22"/>
                <w:szCs w:val="22"/>
              </w:rPr>
              <w:t xml:space="preserve">8</w:t>
            </w:r>
          </w:p>
        </w:tc>
        <w:tc>
          <w:tcPr>
            <w:tcW w:w="2599" w:type="dxa"/>
            <w:vAlign w:val="center"/>
          </w:tcPr>
          <w:p>
            <w:pPr>
              <w:spacing w:before="20" w:after="20" w:line="240" w:lineRule="auto"/>
              <w:jc w:val="left"/>
            </w:pPr>
            <w:r>
              <w:rPr>
                <w:b/>
                <w:sz w:val="22"/>
                <w:szCs w:val="22"/>
              </w:rPr>
              <w:t xml:space="preserve">Bank Account Abstract</w:t>
            </w:r>
          </w:p>
        </w:tc>
        <w:tc>
          <w:tcPr>
            <w:tcW w:w="5199" w:type="dxa"/>
            <w:vAlign w:val="center"/>
          </w:tcPr>
          <w:p>
            <w:pPr>
              <w:spacing w:before="20" w:after="20" w:line="240" w:lineRule="auto"/>
              <w:jc w:val="left"/>
            </w:pPr>
            <w:r>
              <w:rPr>
                <w:sz w:val="22"/>
                <w:szCs w:val="22"/>
              </w:rPr>
              <w:t xml:space="preserve">Preparation of bank abstracts as working papers for computation</w:t>
            </w:r>
          </w:p>
        </w:tc>
      </w:tr>
      <w:tr>
        <w:trPr>
          <w:cantSplit/>
        </w:trPr>
        <w:tc>
          <w:tcPr>
            <w:tcW w:w="866" w:type="dxa"/>
            <w:vAlign w:val="center"/>
          </w:tcPr>
          <w:p>
            <w:pPr>
              <w:spacing w:before="20" w:after="20" w:line="240" w:lineRule="auto"/>
              <w:jc w:val="center"/>
            </w:pPr>
            <w:r>
              <w:rPr>
                <w:b/>
                <w:sz w:val="22"/>
                <w:szCs w:val="22"/>
              </w:rPr>
              <w:t xml:space="preserve">9</w:t>
            </w:r>
          </w:p>
        </w:tc>
        <w:tc>
          <w:tcPr>
            <w:tcW w:w="2599" w:type="dxa"/>
            <w:vAlign w:val="center"/>
          </w:tcPr>
          <w:p>
            <w:pPr>
              <w:spacing w:before="20" w:after="20" w:line="240" w:lineRule="auto"/>
              <w:jc w:val="left"/>
            </w:pPr>
            <w:r>
              <w:rPr>
                <w:b/>
                <w:sz w:val="22"/>
                <w:szCs w:val="22"/>
              </w:rPr>
              <w:t xml:space="preserve">Statement of Total Income</w:t>
            </w:r>
          </w:p>
        </w:tc>
        <w:tc>
          <w:tcPr>
            <w:tcW w:w="5199" w:type="dxa"/>
            <w:vAlign w:val="center"/>
          </w:tcPr>
          <w:p>
            <w:pPr>
              <w:spacing w:before="20" w:after="20" w:line="240" w:lineRule="auto"/>
              <w:jc w:val="left"/>
            </w:pPr>
            <w:r>
              <w:rPr>
                <w:sz w:val="22"/>
                <w:szCs w:val="22"/>
              </w:rPr>
              <w:t xml:space="preserve">Computation of total income and verification of taxes paid against taxes payable</w:t>
            </w:r>
          </w:p>
        </w:tc>
      </w:tr>
      <w:tr>
        <w:trPr>
          <w:cantSplit/>
        </w:trPr>
        <w:tc>
          <w:tcPr>
            <w:tcW w:w="866" w:type="dxa"/>
            <w:vAlign w:val="center"/>
          </w:tcPr>
          <w:p>
            <w:pPr>
              <w:spacing w:before="20" w:after="20" w:line="240" w:lineRule="auto"/>
              <w:jc w:val="center"/>
            </w:pPr>
            <w:r>
              <w:rPr>
                <w:b/>
                <w:sz w:val="22"/>
                <w:szCs w:val="22"/>
              </w:rPr>
              <w:t xml:space="preserve">10</w:t>
            </w:r>
          </w:p>
        </w:tc>
        <w:tc>
          <w:tcPr>
            <w:tcW w:w="2599" w:type="dxa"/>
            <w:vAlign w:val="center"/>
          </w:tcPr>
          <w:p>
            <w:pPr>
              <w:spacing w:before="20" w:after="20" w:line="240" w:lineRule="auto"/>
              <w:jc w:val="left"/>
            </w:pPr>
            <w:r>
              <w:rPr>
                <w:b/>
                <w:sz w:val="22"/>
                <w:szCs w:val="22"/>
              </w:rPr>
              <w:t xml:space="preserve">Return Filing</w:t>
            </w:r>
          </w:p>
        </w:tc>
        <w:tc>
          <w:tcPr>
            <w:tcW w:w="5199" w:type="dxa"/>
            <w:vAlign w:val="center"/>
          </w:tcPr>
          <w:p>
            <w:pPr>
              <w:spacing w:before="20" w:after="20" w:line="240" w:lineRule="auto"/>
              <w:jc w:val="left"/>
            </w:pPr>
            <w:r>
              <w:rPr>
                <w:sz w:val="22"/>
                <w:szCs w:val="22"/>
              </w:rPr>
              <w:t xml:space="preserve">Preparation and upload of income tax returns, including three filings completed independently</w:t>
            </w:r>
          </w:p>
        </w:tc>
      </w:tr>
      <w:tr>
        <w:trPr>
          <w:cantSplit/>
        </w:trPr>
        <w:tc>
          <w:tcPr>
            <w:tcW w:w="866" w:type="dxa"/>
            <w:vAlign w:val="center"/>
          </w:tcPr>
          <w:p>
            <w:pPr>
              <w:spacing w:before="20" w:after="20" w:line="240" w:lineRule="auto"/>
              <w:jc w:val="center"/>
            </w:pPr>
            <w:r>
              <w:rPr>
                <w:b/>
                <w:sz w:val="22"/>
                <w:szCs w:val="22"/>
              </w:rPr>
              <w:t xml:space="preserve">11</w:t>
            </w:r>
          </w:p>
        </w:tc>
        <w:tc>
          <w:tcPr>
            <w:tcW w:w="2599" w:type="dxa"/>
            <w:vAlign w:val="center"/>
          </w:tcPr>
          <w:p>
            <w:pPr>
              <w:spacing w:before="20" w:after="20" w:line="240" w:lineRule="auto"/>
              <w:jc w:val="left"/>
            </w:pPr>
            <w:r>
              <w:rPr>
                <w:b/>
                <w:sz w:val="22"/>
                <w:szCs w:val="22"/>
              </w:rPr>
              <w:t xml:space="preserve">Audit Documentation</w:t>
            </w:r>
          </w:p>
        </w:tc>
        <w:tc>
          <w:tcPr>
            <w:tcW w:w="5199" w:type="dxa"/>
            <w:vAlign w:val="center"/>
          </w:tcPr>
          <w:p>
            <w:pPr>
              <w:spacing w:before="20" w:after="20" w:line="240" w:lineRule="auto"/>
              <w:jc w:val="left"/>
            </w:pPr>
            <w:r>
              <w:rPr>
                <w:sz w:val="22"/>
                <w:szCs w:val="22"/>
              </w:rPr>
              <w:t xml:space="preserve">Assembly of ledgers, reconciliations and portal statements for statutory audit assignments</w:t>
            </w:r>
          </w:p>
        </w:tc>
      </w:tr>
      <w:tr>
        <w:trPr>
          <w:cantSplit/>
        </w:trPr>
        <w:tc>
          <w:tcPr>
            <w:tcW w:w="866" w:type="dxa"/>
            <w:vAlign w:val="center"/>
          </w:tcPr>
          <w:p>
            <w:pPr>
              <w:spacing w:before="20" w:after="20" w:line="240" w:lineRule="auto"/>
              <w:jc w:val="center"/>
            </w:pPr>
            <w:r>
              <w:rPr>
                <w:b/>
                <w:sz w:val="22"/>
                <w:szCs w:val="22"/>
              </w:rPr>
              <w:t xml:space="preserve">12</w:t>
            </w:r>
          </w:p>
        </w:tc>
        <w:tc>
          <w:tcPr>
            <w:tcW w:w="2599" w:type="dxa"/>
            <w:vAlign w:val="center"/>
          </w:tcPr>
          <w:p>
            <w:pPr>
              <w:spacing w:before="20" w:after="20" w:line="240" w:lineRule="auto"/>
              <w:jc w:val="left"/>
            </w:pPr>
            <w:r>
              <w:rPr>
                <w:b/>
                <w:sz w:val="22"/>
                <w:szCs w:val="22"/>
              </w:rPr>
              <w:t xml:space="preserve">Reporting</w:t>
            </w:r>
          </w:p>
        </w:tc>
        <w:tc>
          <w:tcPr>
            <w:tcW w:w="5199" w:type="dxa"/>
            <w:vAlign w:val="center"/>
          </w:tcPr>
          <w:p>
            <w:pPr>
              <w:spacing w:before="20" w:after="20" w:line="240" w:lineRule="auto"/>
              <w:jc w:val="left"/>
            </w:pPr>
            <w:r>
              <w:rPr>
                <w:sz w:val="22"/>
                <w:szCs w:val="22"/>
              </w:rPr>
              <w:t xml:space="preserve">Client reports prepared for the Manager’s verification and approval</w:t>
            </w:r>
          </w:p>
        </w:tc>
      </w:tr>
    </w:tbl>
    <w:p>
      <w:pPr>
        <w:spacing w:before="0" w:after="120" w:line="200" w:lineRule="auto"/>
      </w:pPr>
    </w:p>
    <w:p>
      <w:pPr>
        <w:spacing w:before="0" w:after="140" w:line="360" w:lineRule="auto"/>
        <w:jc w:val="both"/>
      </w:pPr>
      <w:r>
        <w:t xml:space="preserve">These responsibilities provided exposure to several connected compliance processes and made their interdependence visible.</w:t>
      </w:r>
    </w:p>
    <w:p>
      <w:pPr>
        <w:keepNext/>
        <w:keepLines/>
        <w:spacing w:before="240" w:after="120" w:line="360" w:lineRule="auto"/>
        <w:jc w:val="left"/>
      </w:pPr>
      <w:r>
        <w:rPr>
          <w:b/>
          <w:sz w:val="26"/>
          <w:szCs w:val="26"/>
        </w:rPr>
        <w:t xml:space="preserve">2.12  CONCLUSION OF JOB / TASK DESCRIPTION</w:t>
      </w:r>
    </w:p>
    <w:p>
      <w:pPr>
        <w:spacing w:before="0" w:after="140" w:line="360" w:lineRule="auto"/>
        <w:jc w:val="both"/>
      </w:pPr>
      <w:r>
        <w:t xml:space="preserve">The work described in this chapter covered the entire sequence of a compliance assignment in a chartered accountancy practice: collection of records and portal data, classification and recording, reconciliation against departmental information, computation, review and filing.</w:t>
      </w:r>
    </w:p>
    <w:p>
      <w:pPr>
        <w:spacing w:before="0" w:after="140" w:line="360" w:lineRule="auto"/>
        <w:jc w:val="both"/>
      </w:pPr>
      <w:r>
        <w:t xml:space="preserve">It also allowed me to apply concepts from financial accounting, direct taxation, indirect taxation, accounting systems and financial reporting to live client files, and to learn the software on which Indian practice actually runs. The tasks were routine in form but consequential in effect, since each one ended in a filing that carried a statutory deadline and a client’s liability.</w:t>
      </w:r>
    </w:p>
    <w:p>
      <w:pPr>
        <w:spacing w:before="0" w:after="140" w:line="360" w:lineRule="auto"/>
        <w:jc w:val="both"/>
      </w:pPr>
      <w:r>
        <w:t xml:space="preserve">Most importantly, the chapter reflects a progression. The work I was given in the first week required supervision at every step; the work I completed in the last week was carried out independently and was approved with only minor observations.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3</w:t>
      </w:r>
    </w:p>
    <w:p>
      <w:pPr>
        <w:spacing w:before="0" w:after="0" w:line="360" w:lineRule="auto"/>
        <w:jc w:val="center"/>
      </w:pPr>
      <w:r>
        <w:rPr>
          <w:b/>
          <w:sz w:val="28"/>
          <w:szCs w:val="28"/>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6"/>
          <w:szCs w:val="26"/>
        </w:rPr>
        <w:t xml:space="preserve">3.1  QUALITY OF WORK</w:t>
      </w:r>
    </w:p>
    <w:p>
      <w:pPr>
        <w:spacing w:before="0" w:after="140" w:line="360" w:lineRule="auto"/>
        <w:ind w:firstLine="720"/>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6"/>
          <w:szCs w:val="26"/>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6"/>
          <w:szCs w:val="26"/>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6"/>
          <w:szCs w:val="26"/>
        </w:rPr>
        <w:t xml:space="preserve">3.4  COMMUNICATION AND COLLABORATION</w:t>
      </w:r>
    </w:p>
    <w:p>
      <w:pPr>
        <w:spacing w:before="0" w:after="140" w:line="360" w:lineRule="auto"/>
        <w:jc w:val="both"/>
      </w:pPr>
      <w:r>
        <w:t xml:space="preserve">Because the reporting line in the firm was short, communication was frequent and direct. I reported to Ms. A. Lakshmi, Manager, who reviewed my work and to whom the whole team reported, and I worked day to day alongside Ms. Aruna,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6"/>
          <w:szCs w:val="26"/>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6"/>
          <w:szCs w:val="26"/>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keepNext/>
        <w:keepLines/>
        <w:spacing w:before="240" w:after="120" w:line="360" w:lineRule="auto"/>
        <w:jc w:val="left"/>
      </w:pPr>
      <w:r>
        <w:rPr>
          <w:b/>
          <w:sz w:val="26"/>
          <w:szCs w:val="26"/>
        </w:rPr>
        <w:t xml:space="preserve">3.7  OVERALL PERFORMANCE</w:t>
      </w:r>
    </w:p>
    <w:p>
      <w:pPr>
        <w:spacing w:before="0" w:after="140" w:line="360" w:lineRule="auto"/>
        <w:jc w:val="both"/>
      </w:pPr>
      <w:r>
        <w:t xml:space="preserve">Overall, I consider the internship to have been performed to the standard the firm expected of an intern, and in the closing weeks slightly beyond it. Work on bank statement analysis, accounting in Tally, GST returns, TDS statements, Securities Transaction Tax data, the Statement of Total Income and audit documentation was completed and accepted, the client reports I prepared were verified and approved by my Manager, and three returns were filed independently after review.</w:t>
      </w:r>
    </w:p>
    <w:p>
      <w:pPr>
        <w:spacing w:before="0" w:after="140" w:line="360" w:lineRule="auto"/>
        <w:jc w:val="both"/>
      </w:pPr>
      <w:r>
        <w:t xml:space="preserve">The clearest evidence of progress is the fall in corrections. In the first fortnight my classification of bank entries was frequently amended; by the final phase computations were approved with only minor observations. I also maintained full attendance and met every deadline given to me, which in a filing season matters as much as technical accuracy.</w:t>
      </w:r>
    </w:p>
    <w:p>
      <w:pPr>
        <w:spacing w:before="0" w:after="140" w:line="360" w:lineRule="auto"/>
        <w:jc w:val="both"/>
      </w:pPr>
      <w:r>
        <w:t xml:space="preserve">Where I fell short was speed and statutory depth, and both are addressed in the previous section. Taken together, the performance gave me a realistic picture of what a practice expects: consistent accuracy, honest reporting of what is pending, and the willingness to be corrected. The internship has provided a solid foundation for further development in accounting, taxation and audit work.</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4</w:t>
      </w:r>
    </w:p>
    <w:p>
      <w:pPr>
        <w:spacing w:before="0" w:after="0" w:line="360" w:lineRule="auto"/>
        <w:jc w:val="center"/>
      </w:pPr>
      <w:r>
        <w:rPr>
          <w:b/>
          <w:sz w:val="28"/>
          <w:szCs w:val="28"/>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6"/>
          <w:szCs w:val="26"/>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Securities Transaction Tax:</w:t>
      </w:r>
      <w:r>
        <w:t xml:space="preserve"> exposure to STT and to the treatment of securities transactions, including tracing them from the Annual Information Statement and broker statements into the computation.</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6"/>
          <w:szCs w:val="26"/>
        </w:rPr>
        <w:t xml:space="preserve">4.2  PRACTICAL EXPOSURE TO COMPLIANCE PROCESSES</w:t>
      </w:r>
    </w:p>
    <w:p>
      <w:pPr>
        <w:spacing w:before="0" w:after="140" w:line="360" w:lineRule="auto"/>
        <w:jc w:val="both"/>
      </w:pPr>
      <w:r>
        <w:t xml:space="preserve">The internship gave me a working map of the Indian compliance calendar that I did not have before. I now understand, from having done the work, that monthly GST returns and TDS payments, quarterly TDS statements and the annual income tax filing cycle each impose their own rhythm on a practice, and that these cycles overlap in the months between May and September.</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6"/>
          <w:szCs w:val="26"/>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6"/>
          <w:szCs w:val="26"/>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Ms. Aruna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6"/>
          <w:szCs w:val="26"/>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2"/>
                <w:szCs w:val="22"/>
              </w:rPr>
              <w:t xml:space="preserve">Academic Subject</w:t>
            </w:r>
          </w:p>
        </w:tc>
        <w:tc>
          <w:tcPr>
            <w:tcW w:w="5777" w:type="dxa"/>
            <w:shd w:val="clear" w:color="auto" w:fill="D9D9D9"/>
            <w:vAlign w:val="center"/>
          </w:tcPr>
          <w:p>
            <w:pPr>
              <w:spacing w:before="20" w:after="20" w:line="240" w:lineRule="auto"/>
              <w:jc w:val="center"/>
            </w:pPr>
            <w:r>
              <w:rPr>
                <w:b/>
                <w:sz w:val="22"/>
                <w:szCs w:val="22"/>
              </w:rPr>
              <w:t xml:space="preserve">Internship Application</w:t>
            </w:r>
          </w:p>
        </w:tc>
      </w:tr>
      <w:tr>
        <w:trPr>
          <w:cantSplit/>
          <w:trHeight w:val="500" w:hRule="atLeast"/>
        </w:trPr>
        <w:tc>
          <w:tcPr>
            <w:tcW w:w="2888" w:type="dxa"/>
            <w:vAlign w:val="center"/>
          </w:tcPr>
          <w:p>
            <w:pPr>
              <w:spacing w:before="20" w:after="20" w:line="240" w:lineRule="auto"/>
              <w:jc w:val="center"/>
            </w:pPr>
            <w:r>
              <w:rPr>
                <w:b/>
                <w:sz w:val="22"/>
                <w:szCs w:val="22"/>
              </w:rPr>
              <w:t xml:space="preserve">Financial Accounting</w:t>
            </w:r>
          </w:p>
        </w:tc>
        <w:tc>
          <w:tcPr>
            <w:tcW w:w="5777" w:type="dxa"/>
            <w:vAlign w:val="center"/>
          </w:tcPr>
          <w:p>
            <w:pPr>
              <w:spacing w:before="20" w:after="20" w:line="240" w:lineRule="auto"/>
              <w:jc w:val="left"/>
            </w:pPr>
            <w:r>
              <w:rPr>
                <w:sz w:val="22"/>
                <w:szCs w:val="22"/>
              </w:rPr>
              <w:t xml:space="preserve">Ledger classification, voucher entry and recording of client transactions in Tally</w:t>
            </w:r>
          </w:p>
        </w:tc>
      </w:tr>
      <w:tr>
        <w:trPr>
          <w:cantSplit/>
          <w:trHeight w:val="500" w:hRule="atLeast"/>
        </w:trPr>
        <w:tc>
          <w:tcPr>
            <w:tcW w:w="2888" w:type="dxa"/>
            <w:vAlign w:val="center"/>
          </w:tcPr>
          <w:p>
            <w:pPr>
              <w:spacing w:before="20" w:after="20" w:line="240" w:lineRule="auto"/>
              <w:jc w:val="center"/>
            </w:pPr>
            <w:r>
              <w:rPr>
                <w:b/>
                <w:sz w:val="22"/>
                <w:szCs w:val="22"/>
              </w:rPr>
              <w:t xml:space="preserve">Direct Taxation</w:t>
            </w:r>
          </w:p>
        </w:tc>
        <w:tc>
          <w:tcPr>
            <w:tcW w:w="5777" w:type="dxa"/>
            <w:vAlign w:val="center"/>
          </w:tcPr>
          <w:p>
            <w:pPr>
              <w:spacing w:before="20" w:after="20" w:line="240" w:lineRule="auto"/>
              <w:jc w:val="left"/>
            </w:pPr>
            <w:r>
              <w:rPr>
                <w:sz w:val="22"/>
                <w:szCs w:val="22"/>
              </w:rPr>
              <w:t xml:space="preserve">Heads of income, Statement of Total Income, TDS provisions, Securities Transaction Tax and return filing</w:t>
            </w:r>
          </w:p>
        </w:tc>
      </w:tr>
      <w:tr>
        <w:trPr>
          <w:cantSplit/>
          <w:trHeight w:val="500" w:hRule="atLeast"/>
        </w:trPr>
        <w:tc>
          <w:tcPr>
            <w:tcW w:w="2888" w:type="dxa"/>
            <w:vAlign w:val="center"/>
          </w:tcPr>
          <w:p>
            <w:pPr>
              <w:spacing w:before="20" w:after="20" w:line="240" w:lineRule="auto"/>
              <w:jc w:val="center"/>
            </w:pPr>
            <w:r>
              <w:rPr>
                <w:b/>
                <w:sz w:val="22"/>
                <w:szCs w:val="22"/>
              </w:rPr>
              <w:t xml:space="preserve">Indirect Taxation (GST)</w:t>
            </w:r>
          </w:p>
        </w:tc>
        <w:tc>
          <w:tcPr>
            <w:tcW w:w="5777" w:type="dxa"/>
            <w:vAlign w:val="center"/>
          </w:tcPr>
          <w:p>
            <w:pPr>
              <w:spacing w:before="20" w:after="20" w:line="240" w:lineRule="auto"/>
              <w:jc w:val="left"/>
            </w:pPr>
            <w:r>
              <w:rPr>
                <w:sz w:val="22"/>
                <w:szCs w:val="22"/>
              </w:rPr>
              <w:t xml:space="preserve">GSTR-1, GSTR-2B and GSTR-3B filings and reconciliation of books with returns</w:t>
            </w:r>
          </w:p>
        </w:tc>
      </w:tr>
      <w:tr>
        <w:trPr>
          <w:cantSplit/>
          <w:trHeight w:val="500" w:hRule="atLeast"/>
        </w:trPr>
        <w:tc>
          <w:tcPr>
            <w:tcW w:w="2888" w:type="dxa"/>
            <w:vAlign w:val="center"/>
          </w:tcPr>
          <w:p>
            <w:pPr>
              <w:spacing w:before="20" w:after="20" w:line="240" w:lineRule="auto"/>
              <w:jc w:val="center"/>
            </w:pPr>
            <w:r>
              <w:rPr>
                <w:b/>
                <w:sz w:val="22"/>
                <w:szCs w:val="22"/>
              </w:rPr>
              <w:t xml:space="preserve">Auditing and Assurance</w:t>
            </w:r>
          </w:p>
        </w:tc>
        <w:tc>
          <w:tcPr>
            <w:tcW w:w="5777" w:type="dxa"/>
            <w:vAlign w:val="center"/>
          </w:tcPr>
          <w:p>
            <w:pPr>
              <w:spacing w:before="20" w:after="20" w:line="240" w:lineRule="auto"/>
              <w:jc w:val="left"/>
            </w:pPr>
            <w:r>
              <w:rPr>
                <w:sz w:val="22"/>
                <w:szCs w:val="22"/>
              </w:rPr>
              <w:t xml:space="preserve">Documentation for statutory audit assignments and verification of 26AS, AIS and TIS against the books</w:t>
            </w:r>
          </w:p>
        </w:tc>
      </w:tr>
      <w:tr>
        <w:trPr>
          <w:cantSplit/>
          <w:trHeight w:val="500" w:hRule="atLeast"/>
        </w:trPr>
        <w:tc>
          <w:tcPr>
            <w:tcW w:w="2888" w:type="dxa"/>
            <w:vAlign w:val="center"/>
          </w:tcPr>
          <w:p>
            <w:pPr>
              <w:spacing w:before="20" w:after="20" w:line="240" w:lineRule="auto"/>
              <w:jc w:val="center"/>
            </w:pPr>
            <w:r>
              <w:rPr>
                <w:b/>
                <w:sz w:val="22"/>
                <w:szCs w:val="22"/>
              </w:rPr>
              <w:t xml:space="preserve">Financial Reporting and Analysis</w:t>
            </w:r>
          </w:p>
        </w:tc>
        <w:tc>
          <w:tcPr>
            <w:tcW w:w="5777" w:type="dxa"/>
            <w:vAlign w:val="center"/>
          </w:tcPr>
          <w:p>
            <w:pPr>
              <w:spacing w:before="20" w:after="20" w:line="240" w:lineRule="auto"/>
              <w:jc w:val="left"/>
            </w:pPr>
            <w:r>
              <w:rPr>
                <w:sz w:val="22"/>
                <w:szCs w:val="22"/>
              </w:rPr>
              <w:t xml:space="preserve">Assistance in balance sheet preparation and interpretation of income and expenditure patterns</w:t>
            </w:r>
          </w:p>
        </w:tc>
      </w:tr>
      <w:tr>
        <w:trPr>
          <w:cantSplit/>
          <w:trHeight w:val="500" w:hRule="atLeast"/>
        </w:trPr>
        <w:tc>
          <w:tcPr>
            <w:tcW w:w="2888" w:type="dxa"/>
            <w:vAlign w:val="center"/>
          </w:tcPr>
          <w:p>
            <w:pPr>
              <w:spacing w:before="20" w:after="20" w:line="240" w:lineRule="auto"/>
              <w:jc w:val="center"/>
            </w:pPr>
            <w:r>
              <w:rPr>
                <w:b/>
                <w:sz w:val="22"/>
                <w:szCs w:val="22"/>
              </w:rPr>
              <w:t xml:space="preserve">Accounting Systems and ERP</w:t>
            </w:r>
          </w:p>
        </w:tc>
        <w:tc>
          <w:tcPr>
            <w:tcW w:w="5777" w:type="dxa"/>
            <w:vAlign w:val="center"/>
          </w:tcPr>
          <w:p>
            <w:pPr>
              <w:spacing w:before="20" w:after="20" w:line="240" w:lineRule="auto"/>
              <w:jc w:val="left"/>
            </w:pPr>
            <w:r>
              <w:rPr>
                <w:sz w:val="22"/>
                <w:szCs w:val="22"/>
              </w:rPr>
              <w:t xml:space="preserve">Practical work in Tally and Winman CA-ERP, including master data and ledger structure</w:t>
            </w:r>
          </w:p>
        </w:tc>
      </w:tr>
      <w:tr>
        <w:trPr>
          <w:cantSplit/>
          <w:trHeight w:val="500" w:hRule="atLeast"/>
        </w:trPr>
        <w:tc>
          <w:tcPr>
            <w:tcW w:w="2888" w:type="dxa"/>
            <w:vAlign w:val="center"/>
          </w:tcPr>
          <w:p>
            <w:pPr>
              <w:spacing w:before="20" w:after="20" w:line="240" w:lineRule="auto"/>
              <w:jc w:val="center"/>
            </w:pPr>
            <w:r>
              <w:rPr>
                <w:b/>
                <w:sz w:val="22"/>
                <w:szCs w:val="22"/>
              </w:rPr>
              <w:t xml:space="preserve">Business Communication</w:t>
            </w:r>
          </w:p>
        </w:tc>
        <w:tc>
          <w:tcPr>
            <w:tcW w:w="5777" w:type="dxa"/>
            <w:vAlign w:val="center"/>
          </w:tcPr>
          <w:p>
            <w:pPr>
              <w:spacing w:before="20" w:after="20" w:line="240" w:lineRule="auto"/>
              <w:jc w:val="left"/>
            </w:pPr>
            <w:r>
              <w:rPr>
                <w:sz w:val="22"/>
                <w:szCs w:val="22"/>
              </w:rPr>
              <w:t xml:space="preserve">Working papers, client reports for the Manager’s approval and internal queries on pending clarifications</w:t>
            </w:r>
          </w:p>
        </w:tc>
      </w:tr>
    </w:tbl>
    <w:p>
      <w:pPr>
        <w:spacing w:before="0" w:after="120" w:line="200" w:lineRule="auto"/>
      </w:pP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6"/>
          <w:szCs w:val="26"/>
        </w:rPr>
        <w:t xml:space="preserve">4.6  OVERALL REALISATIONS</w:t>
      </w:r>
    </w:p>
    <w:p>
      <w:pPr>
        <w:numPr>
          <w:ilvl w:val="0"/>
          <w:numId w:val="1"/>
        </w:numPr>
        <w:spacing w:before="0" w:after="80" w:line="360" w:lineRule="auto"/>
        <w:jc w:val="both"/>
      </w:pPr>
      <w:r>
        <w:t xml:space="preserve">Compliance work is judgement work. The software performs the arithmetic; the professional decides the treatment, and that decision is what the client is paying for.</w:t>
      </w:r>
    </w:p>
    <w:p>
      <w:pPr>
        <w:numPr>
          <w:ilvl w:val="0"/>
          <w:numId w:val="1"/>
        </w:numPr>
        <w:spacing w:before="0" w:after="80" w:line="360" w:lineRule="auto"/>
        <w:jc w:val="both"/>
      </w:pPr>
      <w:r>
        <w:t xml:space="preserve">Documentation is not administrative overhead. A working paper that shows where each figure came from is the only practical defence when a filing is questioned months later.</w:t>
      </w:r>
    </w:p>
    <w:p>
      <w:pPr>
        <w:numPr>
          <w:ilvl w:val="0"/>
          <w:numId w:val="1"/>
        </w:numPr>
        <w:spacing w:before="0" w:after="80" w:line="360" w:lineRule="auto"/>
        <w:jc w:val="both"/>
      </w:pPr>
      <w:r>
        <w:t xml:space="preserve">Deadlines in this profession are external and non-negotiable, which imposes a discipline of planning that is quite different from academic deadlines.</w:t>
      </w:r>
    </w:p>
    <w:p>
      <w:pPr>
        <w:numPr>
          <w:ilvl w:val="0"/>
          <w:numId w:val="1"/>
        </w:numPr>
        <w:spacing w:before="0" w:after="80" w:line="360" w:lineRule="auto"/>
        <w:jc w:val="both"/>
      </w:pPr>
      <w:r>
        <w:t xml:space="preserve">Accuracy is a form of respect for the client, because the consequences of an error, a notice, interest, penalty or a lost refund, fall on them and not on the person who made it.</w:t>
      </w:r>
    </w:p>
    <w:p>
      <w:pPr>
        <w:numPr>
          <w:ilvl w:val="0"/>
          <w:numId w:val="1"/>
        </w:numPr>
        <w:spacing w:before="0" w:after="80" w:line="360" w:lineRule="auto"/>
        <w:jc w:val="both"/>
      </w:pPr>
      <w:r>
        <w:t xml:space="preserve">Repetitive work is where competence is actually built. The tenth bank statement teaches more than the first, because by then the exceptions start to become visible.</w:t>
      </w:r>
    </w:p>
    <w:p>
      <w:pPr>
        <w:numPr>
          <w:ilvl w:val="0"/>
          <w:numId w:val="1"/>
        </w:numPr>
        <w:spacing w:before="0" w:after="80" w:line="360" w:lineRule="auto"/>
        <w:jc w:val="both"/>
      </w:pPr>
      <w:r>
        <w:t xml:space="preserve">A small professional firm can be an outstanding place to learn, because exposure is broad, review is immediate and responsibility arrives early.</w:t>
      </w:r>
    </w:p>
    <w:p>
      <w:pPr>
        <w:spacing w:before="0" w:after="60" w:line="120" w:lineRule="auto"/>
      </w:pPr>
    </w:p>
    <w:p>
      <w:pPr>
        <w:keepNext/>
        <w:keepLines/>
        <w:spacing w:before="240" w:after="120" w:line="360" w:lineRule="auto"/>
        <w:jc w:val="left"/>
      </w:pPr>
      <w:r>
        <w:rPr>
          <w:b/>
          <w:sz w:val="26"/>
          <w:szCs w:val="26"/>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Ms. Aruna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5</w:t>
      </w:r>
    </w:p>
    <w:p>
      <w:pPr>
        <w:spacing w:before="0" w:after="0" w:line="360" w:lineRule="auto"/>
        <w:jc w:val="center"/>
      </w:pPr>
      <w:r>
        <w:rPr>
          <w:b/>
          <w:sz w:val="28"/>
          <w:szCs w:val="28"/>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6"/>
          <w:szCs w:val="26"/>
        </w:rPr>
        <w:t xml:space="preserve">5.1  SUMMARY OF INTERNSHIP EXPERIENCE</w:t>
      </w:r>
    </w:p>
    <w:p>
      <w:pPr>
        <w:spacing w:before="0" w:after="140" w:line="360" w:lineRule="auto"/>
        <w:ind w:firstLine="720"/>
        <w:jc w:val="both"/>
      </w:pPr>
      <w:r>
        <w:t xml:space="preserve">The Summer Internship Programme was carried out at M/s S. Ravi &amp; Associates, Chartered Accountants, Mylapore, Chennai, from 12 May 2026 to 17 July 2026, on-site, in the domain of Accounting and Finance, under the guidance of Ms. A. Lakshmi,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I worked on Securities Transaction Tax and the related data entry in Winman, and then, using bank account abstracts, Tally data and reconciled Form 26AS credits,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6"/>
          <w:szCs w:val="26"/>
        </w:rPr>
        <w:t xml:space="preserve">5.2  KEY TAKEAWAYS</w:t>
      </w:r>
    </w:p>
    <w:p>
      <w:pPr>
        <w:keepNext/>
        <w:keepLines/>
        <w:spacing w:before="180" w:after="100" w:line="360" w:lineRule="auto"/>
        <w:jc w:val="left"/>
      </w:pPr>
      <w:r>
        <w:rPr>
          <w:b/>
          <w:sz w:val="24"/>
          <w:szCs w:val="24"/>
        </w:rPr>
        <w:t xml:space="preserve">5.2.1  Technical Competence in Accounting and Taxation</w:t>
      </w:r>
    </w:p>
    <w:p>
      <w:pPr>
        <w:numPr>
          <w:ilvl w:val="0"/>
          <w:numId w:val="1"/>
        </w:numPr>
        <w:spacing w:before="0" w:after="80" w:line="360" w:lineRule="auto"/>
        <w:jc w:val="both"/>
      </w:pPr>
      <w:r>
        <w:t xml:space="preserve">Acquired the ability to record accounting transactions in Tally and to prepare a bank account abstract and Statement of Total Income from primary records.</w:t>
      </w:r>
    </w:p>
    <w:p>
      <w:pPr>
        <w:numPr>
          <w:ilvl w:val="0"/>
          <w:numId w:val="1"/>
        </w:numPr>
        <w:spacing w:before="0" w:after="80" w:line="360" w:lineRule="auto"/>
        <w:jc w:val="both"/>
      </w:pPr>
      <w:r>
        <w:t xml:space="preserve">Learned to work in Winman CA-ERP across computation, portal downloads, return preparation and filing.</w:t>
      </w:r>
    </w:p>
    <w:p>
      <w:pPr>
        <w:numPr>
          <w:ilvl w:val="0"/>
          <w:numId w:val="1"/>
        </w:numPr>
        <w:spacing w:before="0" w:after="80" w:line="360" w:lineRule="auto"/>
        <w:jc w:val="both"/>
      </w:pPr>
      <w:r>
        <w:t xml:space="preserve">Gained working knowledge of TDS statement preparation through conso files and the Return Preparation Utility, and of GST return filing and reconciliation.</w:t>
      </w:r>
    </w:p>
    <w:p>
      <w:pPr>
        <w:spacing w:before="0" w:after="60" w:line="120" w:lineRule="auto"/>
      </w:pPr>
    </w:p>
    <w:p>
      <w:pPr>
        <w:keepNext/>
        <w:keepLines/>
        <w:spacing w:before="180" w:after="100" w:line="360" w:lineRule="auto"/>
        <w:jc w:val="left"/>
      </w:pPr>
      <w:r>
        <w:rPr>
          <w:b/>
          <w:sz w:val="24"/>
          <w:szCs w:val="24"/>
        </w:rPr>
        <w:t xml:space="preserve">5.2.2  Reconciliation as a Core Discipline</w:t>
      </w:r>
    </w:p>
    <w:p>
      <w:pPr>
        <w:numPr>
          <w:ilvl w:val="0"/>
          <w:numId w:val="1"/>
        </w:numPr>
        <w:spacing w:before="0" w:after="80" w:line="360" w:lineRule="auto"/>
        <w:jc w:val="both"/>
      </w:pPr>
      <w:r>
        <w:t xml:space="preserve">Understood that reconciliation, not data entry, is the central skill in modern compliance work.</w:t>
      </w:r>
    </w:p>
    <w:p>
      <w:pPr>
        <w:numPr>
          <w:ilvl w:val="0"/>
          <w:numId w:val="1"/>
        </w:numPr>
        <w:spacing w:before="0" w:after="80" w:line="360" w:lineRule="auto"/>
        <w:jc w:val="both"/>
      </w:pPr>
      <w:r>
        <w:t xml:space="preserve">Learned to reconcile books maintained in Tally with GST returns filed, and Form 26AS, AIS and TIS with the books of account.</w:t>
      </w:r>
    </w:p>
    <w:p>
      <w:pPr>
        <w:numPr>
          <w:ilvl w:val="0"/>
          <w:numId w:val="1"/>
        </w:numPr>
        <w:spacing w:before="0" w:after="80" w:line="360" w:lineRule="auto"/>
        <w:jc w:val="both"/>
      </w:pPr>
      <w:r>
        <w:t xml:space="preserve">Learned to treat a difference as a question to be answered rather than a figure to be adjusted.</w:t>
      </w:r>
    </w:p>
    <w:p>
      <w:pPr>
        <w:spacing w:before="0" w:after="60" w:line="120" w:lineRule="auto"/>
      </w:pPr>
    </w:p>
    <w:p>
      <w:pPr>
        <w:keepNext/>
        <w:keepLines/>
        <w:spacing w:before="180" w:after="100" w:line="360" w:lineRule="auto"/>
        <w:jc w:val="left"/>
      </w:pPr>
      <w:r>
        <w:rPr>
          <w:b/>
          <w:sz w:val="24"/>
          <w:szCs w:val="24"/>
        </w:rPr>
        <w:t xml:space="preserve">5.2.3  Understanding of Statutory Compliance and Deadlines</w:t>
      </w:r>
    </w:p>
    <w:p>
      <w:pPr>
        <w:numPr>
          <w:ilvl w:val="0"/>
          <w:numId w:val="1"/>
        </w:numPr>
        <w:spacing w:before="0" w:after="80" w:line="360" w:lineRule="auto"/>
        <w:jc w:val="both"/>
      </w:pPr>
      <w:r>
        <w:t xml:space="preserve">Learned the monthly, quarterly and annual compliance cycles of an Indian practice and how they overlap during the filing season.</w:t>
      </w:r>
    </w:p>
    <w:p>
      <w:pPr>
        <w:numPr>
          <w:ilvl w:val="0"/>
          <w:numId w:val="1"/>
        </w:numPr>
        <w:spacing w:before="0" w:after="80" w:line="360" w:lineRule="auto"/>
        <w:jc w:val="both"/>
      </w:pPr>
      <w:r>
        <w:t xml:space="preserve">Understood the consequences of delay and error, including notices, interest and loss of credit, and therefore why verification precedes submission.</w:t>
      </w:r>
    </w:p>
    <w:p>
      <w:pPr>
        <w:numPr>
          <w:ilvl w:val="0"/>
          <w:numId w:val="1"/>
        </w:numPr>
        <w:spacing w:before="0" w:after="80" w:line="360" w:lineRule="auto"/>
        <w:jc w:val="both"/>
      </w:pPr>
      <w:r>
        <w:t xml:space="preserve">Saw how a professional firm plans its work backwards from an external due date.</w:t>
      </w:r>
    </w:p>
    <w:p>
      <w:pPr>
        <w:spacing w:before="0" w:after="60" w:line="120" w:lineRule="auto"/>
      </w:pPr>
    </w:p>
    <w:p>
      <w:pPr>
        <w:keepNext/>
        <w:keepLines/>
        <w:spacing w:before="180" w:after="100" w:line="360" w:lineRule="auto"/>
        <w:jc w:val="left"/>
      </w:pPr>
      <w:r>
        <w:rPr>
          <w:b/>
          <w:sz w:val="24"/>
          <w:szCs w:val="24"/>
        </w:rPr>
        <w:t xml:space="preserve">5.2.4  Adaptability in a Digital Compliance Environment</w:t>
      </w:r>
    </w:p>
    <w:p>
      <w:pPr>
        <w:numPr>
          <w:ilvl w:val="0"/>
          <w:numId w:val="1"/>
        </w:numPr>
        <w:spacing w:before="0" w:after="80" w:line="360" w:lineRule="auto"/>
        <w:jc w:val="both"/>
      </w:pPr>
      <w:r>
        <w:t xml:space="preserve">Worked across Tally, Winman CA-ERP, Winman TDS, the TDS Return Preparation Utility, the income tax e-filing portal, the GST portal, Excel and Word within a single internship.</w:t>
      </w:r>
    </w:p>
    <w:p>
      <w:pPr>
        <w:numPr>
          <w:ilvl w:val="0"/>
          <w:numId w:val="1"/>
        </w:numPr>
        <w:spacing w:before="0" w:after="80" w:line="360" w:lineRule="auto"/>
        <w:jc w:val="both"/>
      </w:pPr>
      <w:r>
        <w:t xml:space="preserve">Learned how far Indian tax administration has moved towards pre-populated, data-driven assessment, and what that means for the accountant’s role.</w:t>
      </w:r>
    </w:p>
    <w:p>
      <w:pPr>
        <w:numPr>
          <w:ilvl w:val="0"/>
          <w:numId w:val="1"/>
        </w:numPr>
        <w:spacing w:before="0" w:after="80" w:line="360" w:lineRule="auto"/>
        <w:jc w:val="both"/>
      </w:pPr>
      <w:r>
        <w:t xml:space="preserve">Became comfortable learning a new system quickly by observing, noting the steps and then executing under review.</w:t>
      </w:r>
    </w:p>
    <w:p>
      <w:pPr>
        <w:spacing w:before="0" w:after="60" w:line="120" w:lineRule="auto"/>
      </w:pPr>
    </w:p>
    <w:p>
      <w:pPr>
        <w:keepNext/>
        <w:keepLines/>
        <w:spacing w:before="180" w:after="100" w:line="360" w:lineRule="auto"/>
        <w:jc w:val="left"/>
      </w:pPr>
      <w:r>
        <w:rPr>
          <w:b/>
          <w:sz w:val="24"/>
          <w:szCs w:val="24"/>
        </w:rPr>
        <w:t xml:space="preserve">5.2.5  Professional Discipline and Resilience</w:t>
      </w:r>
    </w:p>
    <w:p>
      <w:pPr>
        <w:numPr>
          <w:ilvl w:val="0"/>
          <w:numId w:val="1"/>
        </w:numPr>
        <w:spacing w:before="0" w:after="80" w:line="360" w:lineRule="auto"/>
        <w:jc w:val="both"/>
      </w:pPr>
      <w:r>
        <w:t xml:space="preserve">Sustained a demanding on-site routine, including a two-hour daily commute, for the full duration of the internship.</w:t>
      </w:r>
    </w:p>
    <w:p>
      <w:pPr>
        <w:numPr>
          <w:ilvl w:val="0"/>
          <w:numId w:val="1"/>
        </w:numPr>
        <w:spacing w:before="0" w:after="80" w:line="360" w:lineRule="auto"/>
        <w:jc w:val="both"/>
      </w:pPr>
      <w:r>
        <w:t xml:space="preserve">Learned to manage screen fatigue and the monotony of repetitive processing without allowing accuracy to slip.</w:t>
      </w:r>
    </w:p>
    <w:p>
      <w:pPr>
        <w:numPr>
          <w:ilvl w:val="0"/>
          <w:numId w:val="1"/>
        </w:numPr>
        <w:spacing w:before="0" w:after="80" w:line="360" w:lineRule="auto"/>
        <w:jc w:val="both"/>
      </w:pPr>
      <w:r>
        <w:t xml:space="preserve">Understood that consistency over ten weeks is valued more highly in a professional office than occasional brilliance.</w:t>
      </w:r>
    </w:p>
    <w:p>
      <w:pPr>
        <w:spacing w:before="0" w:after="60" w:line="120" w:lineRule="auto"/>
      </w:pPr>
    </w:p>
    <w:p>
      <w:pPr>
        <w:keepNext/>
        <w:keepLines/>
        <w:spacing w:before="180" w:after="100" w:line="360" w:lineRule="auto"/>
        <w:jc w:val="left"/>
      </w:pPr>
      <w:r>
        <w:rPr>
          <w:b/>
          <w:sz w:val="24"/>
          <w:szCs w:val="24"/>
        </w:rPr>
        <w:t xml:space="preserve">5.2.6  Teamwork and Learning from Colleagues</w:t>
      </w:r>
    </w:p>
    <w:p>
      <w:pPr>
        <w:numPr>
          <w:ilvl w:val="0"/>
          <w:numId w:val="1"/>
        </w:numPr>
        <w:spacing w:before="0" w:after="80" w:line="360" w:lineRule="auto"/>
        <w:jc w:val="both"/>
      </w:pPr>
      <w:r>
        <w:t xml:space="preserve">Learned most processes through demonstration and correction by colleagues, particularly Ms. Aruna, whose guidance and support made independent working possible.</w:t>
      </w:r>
    </w:p>
    <w:p>
      <w:pPr>
        <w:numPr>
          <w:ilvl w:val="0"/>
          <w:numId w:val="1"/>
        </w:numPr>
        <w:spacing w:before="0" w:after="80" w:line="360" w:lineRule="auto"/>
        <w:jc w:val="both"/>
      </w:pPr>
      <w:r>
        <w:t xml:space="preserve">Learned to work within a review structure, submitting work for verification and accepting correction as part of the process.</w:t>
      </w:r>
    </w:p>
    <w:p>
      <w:pPr>
        <w:numPr>
          <w:ilvl w:val="0"/>
          <w:numId w:val="1"/>
        </w:numPr>
        <w:spacing w:before="0" w:after="80" w:line="360" w:lineRule="auto"/>
        <w:jc w:val="both"/>
      </w:pPr>
      <w:r>
        <w:t xml:space="preserve">Developed the confidence to ask questions early, report status honestly and hand over a file in a state another person can continue.</w:t>
      </w:r>
    </w:p>
    <w:p>
      <w:pPr>
        <w:spacing w:before="0" w:after="60" w:line="120" w:lineRule="auto"/>
      </w:pPr>
    </w:p>
    <w:p>
      <w:pPr>
        <w:keepNext/>
        <w:keepLines/>
        <w:spacing w:before="240" w:after="120" w:line="360" w:lineRule="auto"/>
        <w:jc w:val="left"/>
      </w:pPr>
      <w:r>
        <w:rPr>
          <w:b/>
          <w:sz w:val="26"/>
          <w:szCs w:val="26"/>
        </w:rPr>
        <w:t xml:space="preserve">5.3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CA S. Ravi for the opportunity, to Ms. A. Lakshmi for her supervision and review, and to Ms. Aruna and the team for their patient guidance, and I leave the firm with both the competence and the confidence to contribute to a professional finance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1</w:t>
    </w:r>
    <w:r>
      <w:tab/>
    </w:r>
    <w:r>
      <w:rPr>
        <w:b/>
        <w:sz w:val="22"/>
        <w:szCs w:val="22"/>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2</w:t>
    </w:r>
    <w:r>
      <w:tab/>
    </w:r>
    <w:r>
      <w:rPr>
        <w:b/>
        <w:sz w:val="22"/>
        <w:szCs w:val="22"/>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3</w:t>
    </w:r>
    <w:r>
      <w:tab/>
    </w:r>
    <w:r>
      <w:rPr>
        <w:b/>
        <w:sz w:val="22"/>
        <w:szCs w:val="22"/>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4</w:t>
    </w:r>
    <w:r>
      <w:tab/>
    </w:r>
    <w:r>
      <w:rPr>
        <w:b/>
        <w:sz w:val="22"/>
        <w:szCs w:val="22"/>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5</w:t>
    </w:r>
    <w:r>
      <w:tab/>
    </w:r>
    <w:r>
      <w:rPr>
        <w:b/>
        <w:sz w:val="22"/>
        <w:szCs w:val="22"/>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r>
    <w:r>
      <w:tab/>
    </w:r>
    <w:r>
      <w:rPr>
        <w:b/>
        <w:sz w:val="22"/>
        <w:szCs w:val="22"/>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