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LINGESH K</w:t>
      </w:r>
    </w:p>
    <w:p>
      <w:pPr>
        <w:spacing w:before="0" w:after="40" w:line="360" w:lineRule="auto"/>
        <w:jc w:val="center"/>
      </w:pPr>
      <w: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82278"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8"/>
                <w:szCs w:val="28"/>
              </w:rPr>
              <w:t xml:space="preserve">-</w:t>
            </w:r>
            <w:fldSimple w:instr=" PAGEREF ch3_end \h ">
              <w:r>
                <w:rPr>
                  <w:noProof/>
                </w:rPr>
                <w:t>32</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33</w:t>
              </w:r>
            </w:fldSimple>
            <w:r>
              <w:rPr>
                <w:b/>
                <w:sz w:val="28"/>
                <w:szCs w:val="28"/>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8"/>
                <w:szCs w:val="28"/>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8"/>
                <w:szCs w:val="28"/>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ACCOUNTING AND TAXATION LANDSCAPE</w:t>
      </w:r>
    </w:p>
    <w:p>
      <w:pPr>
        <w:spacing w:before="0" w:after="140" w:line="360" w:lineRule="auto"/>
        <w:ind w:firstLine="720"/>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8"/>
          <w:szCs w:val="28"/>
        </w:rPr>
        <w:t xml:space="preserve">1.2  THE INDIAN ACCOUNTING AND TAXATION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8"/>
          <w:szCs w:val="28"/>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4"/>
                <w:szCs w:val="24"/>
              </w:rPr>
              <w:t xml:space="preserve">Service Line</w:t>
            </w:r>
          </w:p>
        </w:tc>
        <w:tc>
          <w:tcPr>
            <w:tcW w:w="3851" w:type="dxa"/>
            <w:shd w:val="clear" w:color="auto" w:fill="D9D9D9"/>
            <w:vAlign w:val="center"/>
          </w:tcPr>
          <w:p>
            <w:pPr>
              <w:spacing w:before="20" w:after="20" w:line="240" w:lineRule="auto"/>
              <w:jc w:val="center"/>
            </w:pPr>
            <w:r>
              <w:rPr>
                <w:b/>
                <w:sz w:val="24"/>
                <w:szCs w:val="24"/>
              </w:rPr>
              <w:t xml:space="preserve">Nature of Work</w:t>
            </w:r>
          </w:p>
        </w:tc>
        <w:tc>
          <w:tcPr>
            <w:tcW w:w="2888" w:type="dxa"/>
            <w:shd w:val="clear" w:color="auto" w:fill="D9D9D9"/>
            <w:vAlign w:val="center"/>
          </w:tcPr>
          <w:p>
            <w:pPr>
              <w:spacing w:before="20" w:after="20" w:line="240" w:lineRule="auto"/>
              <w:jc w:val="center"/>
            </w:pPr>
            <w:r>
              <w:rPr>
                <w:b/>
                <w:sz w:val="24"/>
                <w:szCs w:val="24"/>
              </w:rPr>
              <w:t xml:space="preserve">Typical Deliverable</w:t>
            </w:r>
          </w:p>
        </w:tc>
      </w:tr>
      <w:tr>
        <w:trPr>
          <w:cantSplit/>
        </w:trPr>
        <w:tc>
          <w:tcPr>
            <w:tcW w:w="1925" w:type="dxa"/>
            <w:vAlign w:val="center"/>
          </w:tcPr>
          <w:p>
            <w:pPr>
              <w:spacing w:before="20" w:after="20" w:line="240" w:lineRule="auto"/>
              <w:jc w:val="left"/>
            </w:pPr>
            <w:r>
              <w:rPr>
                <w:sz w:val="24"/>
                <w:szCs w:val="24"/>
              </w:rPr>
              <w:t xml:space="preserve">Audit and Assurance</w:t>
            </w:r>
          </w:p>
        </w:tc>
        <w:tc>
          <w:tcPr>
            <w:tcW w:w="3851" w:type="dxa"/>
            <w:vAlign w:val="center"/>
          </w:tcPr>
          <w:p>
            <w:pPr>
              <w:spacing w:before="20" w:after="20" w:line="240" w:lineRule="auto"/>
              <w:jc w:val="left"/>
            </w:pPr>
            <w:r>
              <w:rPr>
                <w:sz w:val="24"/>
                <w:szCs w:val="24"/>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4"/>
                <w:szCs w:val="24"/>
              </w:rPr>
              <w:t xml:space="preserve">Audit working papers, audit report, Form 3CA/3CB-3CD</w:t>
            </w:r>
          </w:p>
        </w:tc>
      </w:tr>
      <w:tr>
        <w:trPr>
          <w:cantSplit/>
        </w:trPr>
        <w:tc>
          <w:tcPr>
            <w:tcW w:w="1925" w:type="dxa"/>
            <w:vAlign w:val="center"/>
          </w:tcPr>
          <w:p>
            <w:pPr>
              <w:spacing w:before="20" w:after="20" w:line="240" w:lineRule="auto"/>
              <w:jc w:val="left"/>
            </w:pPr>
            <w:r>
              <w:rPr>
                <w:sz w:val="24"/>
                <w:szCs w:val="24"/>
              </w:rPr>
              <w:t xml:space="preserve">Direct Taxation</w:t>
            </w:r>
          </w:p>
        </w:tc>
        <w:tc>
          <w:tcPr>
            <w:tcW w:w="3851" w:type="dxa"/>
            <w:vAlign w:val="center"/>
          </w:tcPr>
          <w:p>
            <w:pPr>
              <w:spacing w:before="20" w:after="20" w:line="240" w:lineRule="auto"/>
              <w:jc w:val="left"/>
            </w:pPr>
            <w:r>
              <w:rPr>
                <w:sz w:val="24"/>
                <w:szCs w:val="24"/>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4"/>
                <w:szCs w:val="24"/>
              </w:rPr>
              <w:t xml:space="preserve">Statement of Total Income, ITR acknowledgement, TDS returns</w:t>
            </w:r>
          </w:p>
        </w:tc>
      </w:tr>
      <w:tr>
        <w:trPr>
          <w:cantSplit/>
        </w:trPr>
        <w:tc>
          <w:tcPr>
            <w:tcW w:w="1925" w:type="dxa"/>
            <w:vAlign w:val="center"/>
          </w:tcPr>
          <w:p>
            <w:pPr>
              <w:spacing w:before="20" w:after="20" w:line="240" w:lineRule="auto"/>
              <w:jc w:val="left"/>
            </w:pPr>
            <w:r>
              <w:rPr>
                <w:sz w:val="24"/>
                <w:szCs w:val="24"/>
              </w:rPr>
              <w:t xml:space="preserve">Indirect Taxation (GST)</w:t>
            </w:r>
          </w:p>
        </w:tc>
        <w:tc>
          <w:tcPr>
            <w:tcW w:w="3851" w:type="dxa"/>
            <w:vAlign w:val="center"/>
          </w:tcPr>
          <w:p>
            <w:pPr>
              <w:spacing w:before="20" w:after="20" w:line="240" w:lineRule="auto"/>
              <w:jc w:val="left"/>
            </w:pPr>
            <w:r>
              <w:rPr>
                <w:sz w:val="24"/>
                <w:szCs w:val="24"/>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4"/>
                <w:szCs w:val="24"/>
              </w:rPr>
              <w:t xml:space="preserve">GSTR-1, GSTR-3B, reconciliation statements</w:t>
            </w:r>
          </w:p>
        </w:tc>
      </w:tr>
      <w:tr>
        <w:trPr>
          <w:cantSplit/>
        </w:trPr>
        <w:tc>
          <w:tcPr>
            <w:tcW w:w="1925" w:type="dxa"/>
            <w:vAlign w:val="center"/>
          </w:tcPr>
          <w:p>
            <w:pPr>
              <w:spacing w:before="20" w:after="20" w:line="240" w:lineRule="auto"/>
              <w:jc w:val="left"/>
            </w:pPr>
            <w:r>
              <w:rPr>
                <w:sz w:val="24"/>
                <w:szCs w:val="24"/>
              </w:rPr>
              <w:t xml:space="preserve">Advisory and Litigation Support</w:t>
            </w:r>
          </w:p>
        </w:tc>
        <w:tc>
          <w:tcPr>
            <w:tcW w:w="3851" w:type="dxa"/>
            <w:vAlign w:val="center"/>
          </w:tcPr>
          <w:p>
            <w:pPr>
              <w:spacing w:before="20" w:after="20" w:line="240" w:lineRule="auto"/>
              <w:jc w:val="left"/>
            </w:pPr>
            <w:r>
              <w:rPr>
                <w:sz w:val="24"/>
                <w:szCs w:val="24"/>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4"/>
                <w:szCs w:val="24"/>
              </w:rPr>
              <w:t xml:space="preserve">Replies, submissions and advisory notes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Firm / Network</w:t>
            </w:r>
          </w:p>
        </w:tc>
        <w:tc>
          <w:tcPr>
            <w:tcW w:w="3151" w:type="dxa"/>
            <w:shd w:val="clear" w:color="auto" w:fill="D9D9D9"/>
            <w:vAlign w:val="center"/>
          </w:tcPr>
          <w:p>
            <w:pPr>
              <w:spacing w:before="20" w:after="20" w:line="240" w:lineRule="auto"/>
              <w:jc w:val="center"/>
            </w:pPr>
            <w:r>
              <w:rPr>
                <w:b/>
                <w:sz w:val="24"/>
                <w:szCs w:val="24"/>
              </w:rPr>
              <w:t xml:space="preserve">Principal Services</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Deloitte, PwC, EY and KPMG affiliates</w:t>
            </w:r>
          </w:p>
        </w:tc>
        <w:tc>
          <w:tcPr>
            <w:tcW w:w="3151" w:type="dxa"/>
            <w:vAlign w:val="center"/>
          </w:tcPr>
          <w:p>
            <w:pPr>
              <w:spacing w:before="20" w:after="20" w:line="240" w:lineRule="auto"/>
              <w:jc w:val="left"/>
            </w:pPr>
            <w:r>
              <w:rPr>
                <w:sz w:val="24"/>
                <w:szCs w:val="24"/>
              </w:rPr>
              <w:t xml:space="preserve">Statutory audit, assurance, tax and consulting</w:t>
            </w:r>
          </w:p>
        </w:tc>
        <w:tc>
          <w:tcPr>
            <w:tcW w:w="3151" w:type="dxa"/>
            <w:vAlign w:val="center"/>
          </w:tcPr>
          <w:p>
            <w:pPr>
              <w:spacing w:before="20" w:after="20" w:line="240" w:lineRule="auto"/>
              <w:jc w:val="left"/>
            </w:pPr>
            <w:r>
              <w:rPr>
                <w:sz w:val="24"/>
                <w:szCs w:val="24"/>
              </w:rPr>
              <w:t xml:space="preserve">Large corporates, listed entities and multinationals</w:t>
            </w:r>
          </w:p>
        </w:tc>
      </w:tr>
      <w:tr>
        <w:trPr>
          <w:cantSplit/>
        </w:trPr>
        <w:tc>
          <w:tcPr>
            <w:tcW w:w="2363" w:type="dxa"/>
            <w:vAlign w:val="center"/>
          </w:tcPr>
          <w:p>
            <w:pPr>
              <w:spacing w:before="20" w:after="20" w:line="240" w:lineRule="auto"/>
              <w:jc w:val="left"/>
            </w:pPr>
            <w:r>
              <w:rPr>
                <w:sz w:val="24"/>
                <w:szCs w:val="24"/>
              </w:rPr>
              <w:t xml:space="preserve">BDO India, Grant Thornton Bharat</w:t>
            </w:r>
          </w:p>
        </w:tc>
        <w:tc>
          <w:tcPr>
            <w:tcW w:w="3151" w:type="dxa"/>
            <w:vAlign w:val="center"/>
          </w:tcPr>
          <w:p>
            <w:pPr>
              <w:spacing w:before="20" w:after="20" w:line="240" w:lineRule="auto"/>
              <w:jc w:val="left"/>
            </w:pPr>
            <w:r>
              <w:rPr>
                <w:sz w:val="24"/>
                <w:szCs w:val="24"/>
              </w:rPr>
              <w:t xml:space="preserve">Audit, tax, risk advisory and transaction services</w:t>
            </w:r>
          </w:p>
        </w:tc>
        <w:tc>
          <w:tcPr>
            <w:tcW w:w="3151" w:type="dxa"/>
            <w:vAlign w:val="center"/>
          </w:tcPr>
          <w:p>
            <w:pPr>
              <w:spacing w:before="20" w:after="20" w:line="240" w:lineRule="auto"/>
              <w:jc w:val="left"/>
            </w:pPr>
            <w:r>
              <w:rPr>
                <w:sz w:val="24"/>
                <w:szCs w:val="24"/>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Firm</w:t>
            </w:r>
          </w:p>
        </w:tc>
        <w:tc>
          <w:tcPr>
            <w:tcW w:w="3151" w:type="dxa"/>
            <w:shd w:val="clear" w:color="auto" w:fill="D9D9D9"/>
            <w:vAlign w:val="center"/>
          </w:tcPr>
          <w:p>
            <w:pPr>
              <w:spacing w:before="20" w:after="20" w:line="240" w:lineRule="auto"/>
              <w:jc w:val="center"/>
            </w:pPr>
            <w:r>
              <w:rPr>
                <w:b/>
                <w:sz w:val="24"/>
                <w:szCs w:val="24"/>
              </w:rPr>
              <w:t xml:space="preserve">Principal Services</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Brahmayya &amp; Co.</w:t>
            </w:r>
          </w:p>
        </w:tc>
        <w:tc>
          <w:tcPr>
            <w:tcW w:w="3151" w:type="dxa"/>
            <w:vAlign w:val="center"/>
          </w:tcPr>
          <w:p>
            <w:pPr>
              <w:spacing w:before="20" w:after="20" w:line="240" w:lineRule="auto"/>
              <w:jc w:val="left"/>
            </w:pPr>
            <w:r>
              <w:rPr>
                <w:sz w:val="24"/>
                <w:szCs w:val="24"/>
              </w:rPr>
              <w:t xml:space="preserve">Audit, taxation and management consultancy</w:t>
            </w:r>
          </w:p>
        </w:tc>
        <w:tc>
          <w:tcPr>
            <w:tcW w:w="3151" w:type="dxa"/>
            <w:vAlign w:val="center"/>
          </w:tcPr>
          <w:p>
            <w:pPr>
              <w:spacing w:before="20" w:after="20" w:line="240" w:lineRule="auto"/>
              <w:jc w:val="left"/>
            </w:pPr>
            <w:r>
              <w:rPr>
                <w:sz w:val="24"/>
                <w:szCs w:val="24"/>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4"/>
                <w:szCs w:val="24"/>
              </w:rPr>
              <w:t xml:space="preserve">PKF Sridhar &amp; Santhanam LLP</w:t>
            </w:r>
          </w:p>
        </w:tc>
        <w:tc>
          <w:tcPr>
            <w:tcW w:w="3151" w:type="dxa"/>
            <w:vAlign w:val="center"/>
          </w:tcPr>
          <w:p>
            <w:pPr>
              <w:spacing w:before="20" w:after="20" w:line="240" w:lineRule="auto"/>
              <w:jc w:val="left"/>
            </w:pPr>
            <w:r>
              <w:rPr>
                <w:sz w:val="24"/>
                <w:szCs w:val="24"/>
              </w:rPr>
              <w:t xml:space="preserve">Audit and assurance, tax and advisory</w:t>
            </w:r>
          </w:p>
        </w:tc>
        <w:tc>
          <w:tcPr>
            <w:tcW w:w="3151" w:type="dxa"/>
            <w:vAlign w:val="center"/>
          </w:tcPr>
          <w:p>
            <w:pPr>
              <w:spacing w:before="20" w:after="20" w:line="240" w:lineRule="auto"/>
              <w:jc w:val="left"/>
            </w:pPr>
            <w:r>
              <w:rPr>
                <w:sz w:val="24"/>
                <w:szCs w:val="24"/>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4"/>
                <w:szCs w:val="24"/>
              </w:rPr>
              <w:t xml:space="preserve">Suri &amp; Co., R. Subramanian &amp; Co. and similar practices</w:t>
            </w:r>
          </w:p>
        </w:tc>
        <w:tc>
          <w:tcPr>
            <w:tcW w:w="3151" w:type="dxa"/>
            <w:vAlign w:val="center"/>
          </w:tcPr>
          <w:p>
            <w:pPr>
              <w:spacing w:before="20" w:after="20" w:line="240" w:lineRule="auto"/>
              <w:jc w:val="left"/>
            </w:pPr>
            <w:r>
              <w:rPr>
                <w:sz w:val="24"/>
                <w:szCs w:val="24"/>
              </w:rPr>
              <w:t xml:space="preserve">Statutory and tax audit, direct and indirect taxation</w:t>
            </w:r>
          </w:p>
        </w:tc>
        <w:tc>
          <w:tcPr>
            <w:tcW w:w="3151" w:type="dxa"/>
            <w:vAlign w:val="center"/>
          </w:tcPr>
          <w:p>
            <w:pPr>
              <w:spacing w:before="20" w:after="20" w:line="240" w:lineRule="auto"/>
              <w:jc w:val="left"/>
            </w:pPr>
            <w:r>
              <w:rPr>
                <w:sz w:val="24"/>
                <w:szCs w:val="24"/>
              </w:rPr>
              <w:t xml:space="preserve">Regional corporate and mid-market clients</w:t>
            </w:r>
          </w:p>
        </w:tc>
      </w:tr>
      <w:tr>
        <w:trPr>
          <w:cantSplit/>
        </w:trPr>
        <w:tc>
          <w:tcPr>
            <w:tcW w:w="2363" w:type="dxa"/>
            <w:vAlign w:val="center"/>
          </w:tcPr>
          <w:p>
            <w:pPr>
              <w:spacing w:before="20" w:after="20" w:line="240" w:lineRule="auto"/>
              <w:jc w:val="left"/>
            </w:pPr>
            <w:r>
              <w:rPr>
                <w:sz w:val="24"/>
                <w:szCs w:val="24"/>
              </w:rPr>
              <w:t xml:space="preserve">Local proprietary and small partnership firms</w:t>
            </w:r>
          </w:p>
        </w:tc>
        <w:tc>
          <w:tcPr>
            <w:tcW w:w="3151" w:type="dxa"/>
            <w:vAlign w:val="center"/>
          </w:tcPr>
          <w:p>
            <w:pPr>
              <w:spacing w:before="20" w:after="20" w:line="240" w:lineRule="auto"/>
              <w:jc w:val="left"/>
            </w:pPr>
            <w:r>
              <w:rPr>
                <w:sz w:val="24"/>
                <w:szCs w:val="24"/>
              </w:rPr>
              <w:t xml:space="preserve">Accounting, GST, TDS and income tax compliance</w:t>
            </w:r>
          </w:p>
        </w:tc>
        <w:tc>
          <w:tcPr>
            <w:tcW w:w="3151" w:type="dxa"/>
            <w:vAlign w:val="center"/>
          </w:tcPr>
          <w:p>
            <w:pPr>
              <w:spacing w:before="20" w:after="20" w:line="240" w:lineRule="auto"/>
              <w:jc w:val="left"/>
            </w:pPr>
            <w:r>
              <w:rPr>
                <w:sz w:val="24"/>
                <w:szCs w:val="24"/>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Platform</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Online tax filing portals</w:t>
            </w:r>
          </w:p>
        </w:tc>
        <w:tc>
          <w:tcPr>
            <w:tcW w:w="3151" w:type="dxa"/>
            <w:vAlign w:val="center"/>
          </w:tcPr>
          <w:p>
            <w:pPr>
              <w:spacing w:before="20" w:after="20" w:line="240" w:lineRule="auto"/>
              <w:jc w:val="left"/>
            </w:pPr>
            <w:r>
              <w:rPr>
                <w:sz w:val="24"/>
                <w:szCs w:val="24"/>
              </w:rPr>
              <w:t xml:space="preserve">Assisted and self-service income tax return filing</w:t>
            </w:r>
          </w:p>
        </w:tc>
        <w:tc>
          <w:tcPr>
            <w:tcW w:w="3151" w:type="dxa"/>
            <w:vAlign w:val="center"/>
          </w:tcPr>
          <w:p>
            <w:pPr>
              <w:spacing w:before="20" w:after="20" w:line="240" w:lineRule="auto"/>
              <w:jc w:val="left"/>
            </w:pPr>
            <w:r>
              <w:rPr>
                <w:sz w:val="24"/>
                <w:szCs w:val="24"/>
              </w:rPr>
              <w:t xml:space="preserve">Absorbs simple salaried filings at low fee points</w:t>
            </w:r>
          </w:p>
        </w:tc>
      </w:tr>
      <w:tr>
        <w:trPr>
          <w:cantSplit/>
        </w:trPr>
        <w:tc>
          <w:tcPr>
            <w:tcW w:w="2363" w:type="dxa"/>
            <w:vAlign w:val="center"/>
          </w:tcPr>
          <w:p>
            <w:pPr>
              <w:spacing w:before="20" w:after="20" w:line="240" w:lineRule="auto"/>
              <w:jc w:val="left"/>
            </w:pPr>
            <w:r>
              <w:rPr>
                <w:sz w:val="24"/>
                <w:szCs w:val="24"/>
              </w:rPr>
              <w:t xml:space="preserve">Cloud accounting and compliance suites</w:t>
            </w:r>
          </w:p>
        </w:tc>
        <w:tc>
          <w:tcPr>
            <w:tcW w:w="3151" w:type="dxa"/>
            <w:vAlign w:val="center"/>
          </w:tcPr>
          <w:p>
            <w:pPr>
              <w:spacing w:before="20" w:after="20" w:line="240" w:lineRule="auto"/>
              <w:jc w:val="left"/>
            </w:pPr>
            <w:r>
              <w:rPr>
                <w:sz w:val="24"/>
                <w:szCs w:val="24"/>
              </w:rPr>
              <w:t xml:space="preserve">Bookkeeping, GST return preparation and reconciliation tools</w:t>
            </w:r>
          </w:p>
        </w:tc>
        <w:tc>
          <w:tcPr>
            <w:tcW w:w="3151" w:type="dxa"/>
            <w:vAlign w:val="center"/>
          </w:tcPr>
          <w:p>
            <w:pPr>
              <w:spacing w:before="20" w:after="20" w:line="240" w:lineRule="auto"/>
              <w:jc w:val="left"/>
            </w:pPr>
            <w:r>
              <w:rPr>
                <w:sz w:val="24"/>
                <w:szCs w:val="24"/>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4"/>
                <w:szCs w:val="24"/>
              </w:rPr>
              <w:t xml:space="preserve">Accounting outsourcing providers</w:t>
            </w:r>
          </w:p>
        </w:tc>
        <w:tc>
          <w:tcPr>
            <w:tcW w:w="3151" w:type="dxa"/>
            <w:vAlign w:val="center"/>
          </w:tcPr>
          <w:p>
            <w:pPr>
              <w:spacing w:before="20" w:after="20" w:line="240" w:lineRule="auto"/>
              <w:jc w:val="left"/>
            </w:pPr>
            <w:r>
              <w:rPr>
                <w:sz w:val="24"/>
                <w:szCs w:val="24"/>
              </w:rPr>
              <w:t xml:space="preserve">Volume bookkeeping and back-office accounting</w:t>
            </w:r>
          </w:p>
        </w:tc>
        <w:tc>
          <w:tcPr>
            <w:tcW w:w="3151" w:type="dxa"/>
            <w:vAlign w:val="center"/>
          </w:tcPr>
          <w:p>
            <w:pPr>
              <w:spacing w:before="20" w:after="20" w:line="240" w:lineRule="auto"/>
              <w:jc w:val="left"/>
            </w:pPr>
            <w:r>
              <w:rPr>
                <w:sz w:val="24"/>
                <w:szCs w:val="24"/>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most cases the two grew together, because accuracy in this work is as much a habit as it is a technique.</w:t>
      </w:r>
    </w:p>
    <w:p>
      <w:pPr>
        <w:keepNext/>
        <w:keepLines/>
        <w:spacing w:before="180" w:after="100" w:line="360" w:lineRule="auto"/>
        <w:jc w:val="left"/>
      </w:pPr>
      <w:r>
        <w:rPr>
          <w:b/>
          <w:sz w:val="24"/>
          <w:szCs w:val="24"/>
        </w:rPr>
        <w:t xml:space="preserve">2.7.1  Classification and Documentation Skills</w:t>
      </w:r>
    </w:p>
    <w:p>
      <w:pPr>
        <w:spacing w:before="0" w:after="140" w:line="360" w:lineRule="auto"/>
        <w:jc w:val="both"/>
      </w:pPr>
      <w:r>
        <w:t xml:space="preserve">I became confident in reading a bank statement or a ledger and deciding how each entry should be treated, and in assembling the supporting downloads and working papers into a file that a reviewer could follow without explanation.</w:t>
      </w:r>
    </w:p>
    <w:p>
      <w:pPr>
        <w:keepNext/>
        <w:keepLines/>
        <w:spacing w:before="180" w:after="100" w:line="360" w:lineRule="auto"/>
        <w:jc w:val="left"/>
      </w:pPr>
      <w:r>
        <w:rPr>
          <w:b/>
          <w:sz w:val="24"/>
          <w:szCs w:val="24"/>
        </w:rPr>
        <w:t xml:space="preserve">2.7.2  Attention to Detail</w:t>
      </w:r>
    </w:p>
    <w:p>
      <w:pPr>
        <w:spacing w:before="0" w:after="140" w:line="360" w:lineRule="auto"/>
        <w:jc w:val="both"/>
      </w:pPr>
      <w:r>
        <w:t xml:space="preserve">Tax work punishes carelessness. Checking a figure against its source before accepting it, and flagging what could not be verified, became automatic by the later weeks of the internship.</w:t>
      </w:r>
    </w:p>
    <w:p>
      <w:pPr>
        <w:keepNext/>
        <w:keepLines/>
        <w:spacing w:before="180" w:after="100" w:line="360" w:lineRule="auto"/>
        <w:jc w:val="left"/>
      </w:pPr>
      <w:r>
        <w:rPr>
          <w:b/>
          <w:sz w:val="24"/>
          <w:szCs w:val="24"/>
        </w:rPr>
        <w:t xml:space="preserve">2.7.3  Software Proficiency</w:t>
      </w:r>
    </w:p>
    <w:p>
      <w:pPr>
        <w:spacing w:before="0" w:after="140" w:line="360" w:lineRule="auto"/>
        <w:jc w:val="both"/>
      </w:pPr>
      <w:r>
        <w:t xml:space="preserve">I moved from being a beginner to working independently in Tally and Winman CA-ERP, and gained working familiarity with Winman TDS, the TDS Return Preparation Utility, the income tax e-filing portal and the GST portal.</w:t>
      </w:r>
    </w:p>
    <w:p>
      <w:pPr>
        <w:keepNext/>
        <w:keepLines/>
        <w:spacing w:before="180" w:after="100" w:line="360" w:lineRule="auto"/>
        <w:jc w:val="left"/>
      </w:pPr>
      <w:r>
        <w:rPr>
          <w:b/>
          <w:sz w:val="24"/>
          <w:szCs w:val="24"/>
        </w:rPr>
        <w:t xml:space="preserve">2.7.4  Time Management</w:t>
      </w:r>
    </w:p>
    <w:p>
      <w:pPr>
        <w:spacing w:before="0" w:after="140" w:line="360" w:lineRule="auto"/>
        <w:jc w:val="both"/>
      </w:pPr>
      <w:r>
        <w:t xml:space="preserve">With several client files open at once during filing season, I learned to sequence work by due date rather than by convenience, and to finish one file completely before starting the next.</w:t>
      </w:r>
    </w:p>
    <w:p>
      <w:pPr>
        <w:keepNext/>
        <w:keepLines/>
        <w:spacing w:before="180" w:after="100" w:line="360" w:lineRule="auto"/>
        <w:jc w:val="left"/>
      </w:pPr>
      <w:r>
        <w:rPr>
          <w:b/>
          <w:sz w:val="24"/>
          <w:szCs w:val="24"/>
        </w:rPr>
        <w:t xml:space="preserve">2.7.5  Organizational Skills</w:t>
      </w:r>
    </w:p>
    <w:p>
      <w:pPr>
        <w:spacing w:before="0" w:after="140" w:line="360" w:lineRule="auto"/>
        <w:jc w:val="both"/>
      </w:pPr>
      <w:r>
        <w:t xml:space="preserve">Maintaining client-wise folders, naming downloaded statements consistently and keeping a written list of pending clarifications improved the way I organise my own work.</w:t>
      </w:r>
    </w:p>
    <w:p>
      <w:pPr>
        <w:keepNext/>
        <w:keepLines/>
        <w:spacing w:before="180" w:after="100" w:line="360" w:lineRule="auto"/>
        <w:jc w:val="left"/>
      </w:pPr>
      <w:r>
        <w:rPr>
          <w:b/>
          <w:sz w:val="24"/>
          <w:szCs w:val="24"/>
        </w:rPr>
        <w:t xml:space="preserve">2.7.6  Teamwork</w:t>
      </w:r>
    </w:p>
    <w:p>
      <w:pPr>
        <w:spacing w:before="0" w:after="140" w:line="360" w:lineRule="auto"/>
        <w:jc w:val="both"/>
      </w:pPr>
      <w:r>
        <w:t xml:space="preserve">Working under Ms. A. Lakshmi and alongside Ms. Aruna taught me how a small professional team divides work, reviews it and covers for each other during deadline periods.</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Handling client bank statements, portal credentials and digital signature tokens taught me that discretion is part of the job and not an optional courtesy.</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I learned to pick up an unfamiliar process by watching it once, noting the steps, attempting it under supervision and then performing it independently.</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compliance work rests on the quality of the underlying records. Where a client maintained proper books and gave prompt clarifications, a return could be prepared and filed quickly; where records were incomplete, most of the effort went into establishing what had actually happened before any computation could begin.</w:t>
      </w:r>
    </w:p>
    <w:p>
      <w:pPr>
        <w:spacing w:before="0" w:after="140" w:line="360" w:lineRule="auto"/>
        <w:jc w:val="both"/>
      </w:pPr>
      <w:r>
        <w:t xml:space="preserve">A second observation is that the tax administration now holds a great deal of information independently of the assessee. Form 26AS, the Annual Information Statement, the Taxpayer Information Summary and GSTR-2B all arrive before the return is filed, which means the professional’s task is to reconcile and explain rather than merely to report.</w:t>
      </w:r>
    </w:p>
    <w:p>
      <w:pPr>
        <w:spacing w:before="0" w:after="140" w:line="360" w:lineRule="auto"/>
        <w:jc w:val="both"/>
      </w:pPr>
      <w:r>
        <w:t xml:space="preserve">A third observation concerns interdependence. A deduction reported incorrectly by a deductor becomes a missing credit for a client of the firm; an input tax credit depends on a supplier’s own filing. Much of the work therefore involves chasing information that sits outside the firm’s control.</w:t>
      </w:r>
    </w:p>
    <w:p>
      <w:pPr>
        <w:spacing w:before="0" w:after="140" w:line="360" w:lineRule="auto"/>
        <w:jc w:val="both"/>
      </w:pPr>
      <w:r>
        <w:t xml:space="preserve">Finally, I observed that a professional office runs on review. No figure leaves the firm on the strength of one person’s work, and that discipline, rather than individual brilliance, is what keeps the error rate low.</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was demanding in ways that had little to do with accounting, and it would be dishonest to present it otherwise. Each of the following difficulties contributed something to the experience.</w:t>
      </w:r>
    </w:p>
    <w:p>
      <w:pPr>
        <w:keepNext/>
        <w:keepLines/>
        <w:spacing w:before="180" w:after="100" w:line="360" w:lineRule="auto"/>
        <w:jc w:val="left"/>
      </w:pPr>
      <w:r>
        <w:rPr>
          <w:b/>
          <w:sz w:val="24"/>
          <w:szCs w:val="24"/>
        </w:rPr>
        <w:t xml:space="preserve">2.9.1  Daily Travel</w:t>
      </w:r>
    </w:p>
    <w:p>
      <w:pPr>
        <w:spacing w:before="0" w:after="140" w:line="360" w:lineRule="auto"/>
        <w:jc w:val="both"/>
      </w:pPr>
      <w:r>
        <w:t xml:space="preserve">The internship was on-site at the firm’s Mylapore office and I commuted by bus for about an hour each way, in crowded conditions, every working day for a little over two months. The first fortnight was genuinely tiring. I managed it by leaving early enough to avoid the worst of the rush and by treating the journey as fixed personal time rather than lost time. By the second month the routine had become normal, and punctuality became a matter of professional commitment rather than effort.</w:t>
      </w:r>
    </w:p>
    <w:p>
      <w:pPr>
        <w:keepNext/>
        <w:keepLines/>
        <w:spacing w:before="180" w:after="100" w:line="360" w:lineRule="auto"/>
        <w:jc w:val="left"/>
      </w:pPr>
      <w:r>
        <w:rPr>
          <w:b/>
          <w:sz w:val="24"/>
          <w:szCs w:val="24"/>
        </w:rPr>
        <w:t xml:space="preserve">2.9.2  Screen Fatigue</w:t>
      </w:r>
    </w:p>
    <w:p>
      <w:pPr>
        <w:spacing w:before="0" w:after="140" w:line="360" w:lineRule="auto"/>
        <w:jc w:val="both"/>
      </w:pPr>
      <w:r>
        <w:t xml:space="preserve">The work is almost entirely computer-based, and after long stretches of classifying entries and reading statements my eyes would burn by the end of the day. I learned to alternate between on-screen data entry and paper-based verification, to look away periodically, and to schedule the most detailed reconciliation work for the earlier part of the day when concentration was highest.</w:t>
      </w:r>
    </w:p>
    <w:p>
      <w:pPr>
        <w:keepNext/>
        <w:keepLines/>
        <w:spacing w:before="180" w:after="100" w:line="360" w:lineRule="auto"/>
        <w:jc w:val="left"/>
      </w:pPr>
      <w:r>
        <w:rPr>
          <w:b/>
          <w:sz w:val="24"/>
          <w:szCs w:val="24"/>
        </w:rPr>
        <w:t xml:space="preserve">2.9.3  Repetitive Work and Monotony</w:t>
      </w:r>
    </w:p>
    <w:p>
      <w:pPr>
        <w:spacing w:before="0" w:after="140" w:line="360" w:lineRule="auto"/>
        <w:jc w:val="both"/>
      </w:pPr>
      <w:r>
        <w:t xml:space="preserve">A compliance practice involves performing the same process across many client files, and there were days when the repetition became tiring and my interest dipped. What helped was changing my frame of reference: instead of counting files, I treated each client as a different set of facts, looked for what was unusual in that particular statement and tried to reduce the time I took per file. Setting small internal targets made the routine much easier to sustain, and I came to see that accuracy maintained through monotony is itself a professional skill.</w:t>
      </w:r>
    </w:p>
    <w:p>
      <w:pPr>
        <w:keepNext/>
        <w:keepLines/>
        <w:spacing w:before="180" w:after="100" w:line="360" w:lineRule="auto"/>
        <w:jc w:val="left"/>
      </w:pPr>
      <w:r>
        <w:rPr>
          <w:b/>
          <w:sz w:val="24"/>
          <w:szCs w:val="24"/>
        </w:rPr>
        <w:t xml:space="preserve">2.9.4  Unfamiliar Statutory Processes</w:t>
      </w:r>
    </w:p>
    <w:p>
      <w:pPr>
        <w:spacing w:before="0" w:after="140" w:line="360" w:lineRule="auto"/>
        <w:jc w:val="both"/>
      </w:pPr>
      <w:r>
        <w:t xml:space="preserve">Conso files, the Return Preparation Utility, quarterly TDS statements and the mechanics of GST authentication were entirely new to me and are not covered in detail in coursework. Repetition under supervision, and written notes taken immediately after each demonstration, were what eventually made them routine.</w:t>
      </w:r>
    </w:p>
    <w:p>
      <w:pPr>
        <w:keepNext/>
        <w:keepLines/>
        <w:spacing w:before="180" w:after="100" w:line="360" w:lineRule="auto"/>
        <w:jc w:val="left"/>
      </w:pPr>
      <w:r>
        <w:rPr>
          <w:b/>
          <w:sz w:val="24"/>
          <w:szCs w:val="24"/>
        </w:rPr>
        <w:t xml:space="preserve">2.9.5  Incomplete Client Information</w:t>
      </w:r>
    </w:p>
    <w:p>
      <w:pPr>
        <w:spacing w:before="0" w:after="140" w:line="360" w:lineRule="auto"/>
        <w:jc w:val="both"/>
      </w:pPr>
      <w:r>
        <w:t xml:space="preserve">Bank statements frequently contained entries with no usable narration, and the correct treatment could not be settled without the client’s explanation. I learned to list such items for clarification instead of deciding them myself, which was the single most useful correction I received during the internship.</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width of a compliance practice rather than depth in a single task. I worked on bank statement analysis, accounting in Tally, GST returns, TDS statements, Securities Transaction Tax data, the Statement of Total Income, return filing and audit documentation, and I could see how each of these fed into the others.</w:t>
      </w:r>
    </w:p>
    <w:p>
      <w:pPr>
        <w:spacing w:before="0" w:after="140" w:line="360" w:lineRule="auto"/>
        <w:jc w:val="both"/>
      </w:pPr>
      <w:r>
        <w:t xml:space="preserve">The experience also changed how I understand finance as a career. Before the internship I thought of accounting largely as record-keeping and of taxation as a set of rules to be learned. The work showed me that both are exercises in evidence: the figure matters less than the ability to demonstrate where it came from. That shift in perspective is probably the most durable thing I take away from the two months.</w:t>
      </w:r>
    </w:p>
    <w:p>
      <w:pPr>
        <w:spacing w:before="0" w:after="140" w:line="360" w:lineRule="auto"/>
        <w:jc w:val="both"/>
      </w:pPr>
      <w:r>
        <w:t xml:space="preserve">The progression from observation to independent filing within ten weeks was possible only because responsibility was handed over gradually and every piece of work was reviewed. By the final week I was completing filings end to end, which gave me a realistic sense of what an entry-level role in a practice actually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Bank Statement Analysis</w:t>
            </w:r>
          </w:p>
        </w:tc>
        <w:tc>
          <w:tcPr>
            <w:tcW w:w="5199" w:type="dxa"/>
            <w:vAlign w:val="center"/>
          </w:tcPr>
          <w:p>
            <w:pPr>
              <w:spacing w:before="20" w:after="20" w:line="240" w:lineRule="auto"/>
              <w:jc w:val="left"/>
            </w:pPr>
            <w:r>
              <w:rPr>
                <w:sz w:val="24"/>
                <w:szCs w:val="24"/>
              </w:rPr>
              <w:t xml:space="preserve">Classification of individual and corporate bank entries into income, expenditure, drawings and transfers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Real-Time Accounting</w:t>
            </w:r>
          </w:p>
        </w:tc>
        <w:tc>
          <w:tcPr>
            <w:tcW w:w="5199" w:type="dxa"/>
            <w:vAlign w:val="center"/>
          </w:tcPr>
          <w:p>
            <w:pPr>
              <w:spacing w:before="20" w:after="20" w:line="240" w:lineRule="auto"/>
              <w:jc w:val="left"/>
            </w:pPr>
            <w:r>
              <w:rPr>
                <w:sz w:val="24"/>
                <w:szCs w:val="24"/>
              </w:rPr>
              <w:t xml:space="preserve">Recording client transactions in Tally with correct ledgers and narrations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Portal Downloads</w:t>
            </w:r>
          </w:p>
        </w:tc>
        <w:tc>
          <w:tcPr>
            <w:tcW w:w="5199" w:type="dxa"/>
            <w:vAlign w:val="center"/>
          </w:tcPr>
          <w:p>
            <w:pPr>
              <w:spacing w:before="20" w:after="20" w:line="240" w:lineRule="auto"/>
              <w:jc w:val="left"/>
            </w:pPr>
            <w:r>
              <w:rPr>
                <w:sz w:val="24"/>
                <w:szCs w:val="24"/>
              </w:rPr>
              <w:t xml:space="preserve">Retrieval of Form 26AS, AIS and TIS through Winman CA-ERP</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GST Compliance</w:t>
            </w:r>
          </w:p>
        </w:tc>
        <w:tc>
          <w:tcPr>
            <w:tcW w:w="5199" w:type="dxa"/>
            <w:vAlign w:val="center"/>
          </w:tcPr>
          <w:p>
            <w:pPr>
              <w:spacing w:before="20" w:after="20" w:line="240" w:lineRule="auto"/>
              <w:jc w:val="left"/>
            </w:pPr>
            <w:r>
              <w:rPr>
                <w:sz w:val="24"/>
                <w:szCs w:val="24"/>
              </w:rPr>
              <w:t xml:space="preserve">GSTR-1, GSTR-2B and GSTR-3B support, acknowledgements, file requests and DSC authentication</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GST Reconciliation</w:t>
            </w:r>
          </w:p>
        </w:tc>
        <w:tc>
          <w:tcPr>
            <w:tcW w:w="5199" w:type="dxa"/>
            <w:vAlign w:val="center"/>
          </w:tcPr>
          <w:p>
            <w:pPr>
              <w:spacing w:before="20" w:after="20" w:line="240" w:lineRule="auto"/>
              <w:jc w:val="left"/>
            </w:pPr>
            <w:r>
              <w:rPr>
                <w:sz w:val="24"/>
                <w:szCs w:val="24"/>
              </w:rPr>
              <w:t xml:space="preserve">Matching books maintained in Tally with the GST returns filed</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TDS Compliance</w:t>
            </w:r>
          </w:p>
        </w:tc>
        <w:tc>
          <w:tcPr>
            <w:tcW w:w="5199" w:type="dxa"/>
            <w:vAlign w:val="center"/>
          </w:tcPr>
          <w:p>
            <w:pPr>
              <w:spacing w:before="20" w:after="20" w:line="240" w:lineRule="auto"/>
              <w:jc w:val="left"/>
            </w:pPr>
            <w:r>
              <w:rPr>
                <w:sz w:val="24"/>
                <w:szCs w:val="24"/>
              </w:rPr>
              <w:t xml:space="preserve">Conso files from TRACES and quarter-wise data entry through the Return Preparation Utility</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Securities Transaction Tax</w:t>
            </w:r>
          </w:p>
        </w:tc>
        <w:tc>
          <w:tcPr>
            <w:tcW w:w="5199" w:type="dxa"/>
            <w:vAlign w:val="center"/>
          </w:tcPr>
          <w:p>
            <w:pPr>
              <w:spacing w:before="20" w:after="20" w:line="240" w:lineRule="auto"/>
              <w:jc w:val="left"/>
            </w:pPr>
            <w:r>
              <w:rPr>
                <w:sz w:val="24"/>
                <w:szCs w:val="24"/>
              </w:rPr>
              <w:t xml:space="preserve">Tracing securities transactions and STT from AIS and broker statements into the computation</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Bank Account Abstract</w:t>
            </w:r>
          </w:p>
        </w:tc>
        <w:tc>
          <w:tcPr>
            <w:tcW w:w="5199" w:type="dxa"/>
            <w:vAlign w:val="center"/>
          </w:tcPr>
          <w:p>
            <w:pPr>
              <w:spacing w:before="20" w:after="20" w:line="240" w:lineRule="auto"/>
              <w:jc w:val="left"/>
            </w:pPr>
            <w:r>
              <w:rPr>
                <w:sz w:val="24"/>
                <w:szCs w:val="24"/>
              </w:rPr>
              <w:t xml:space="preserve">Preparation of bank abstracts as working papers for computation</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Statement of Total Income</w:t>
            </w:r>
          </w:p>
        </w:tc>
        <w:tc>
          <w:tcPr>
            <w:tcW w:w="5199" w:type="dxa"/>
            <w:vAlign w:val="center"/>
          </w:tcPr>
          <w:p>
            <w:pPr>
              <w:spacing w:before="20" w:after="20" w:line="240" w:lineRule="auto"/>
              <w:jc w:val="left"/>
            </w:pPr>
            <w:r>
              <w:rPr>
                <w:sz w:val="24"/>
                <w:szCs w:val="24"/>
              </w:rPr>
              <w:t xml:space="preserve">Computation of total income and verification of taxes paid against taxes payable</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Return Filing</w:t>
            </w:r>
          </w:p>
        </w:tc>
        <w:tc>
          <w:tcPr>
            <w:tcW w:w="5199" w:type="dxa"/>
            <w:vAlign w:val="center"/>
          </w:tcPr>
          <w:p>
            <w:pPr>
              <w:spacing w:before="20" w:after="20" w:line="240" w:lineRule="auto"/>
              <w:jc w:val="left"/>
            </w:pPr>
            <w:r>
              <w:rPr>
                <w:sz w:val="24"/>
                <w:szCs w:val="24"/>
              </w:rPr>
              <w:t xml:space="preserve">Preparation and upload of income tax returns, including three filings completed independently</w:t>
            </w:r>
          </w:p>
        </w:tc>
      </w:tr>
      <w:tr>
        <w:trPr>
          <w:cantSplit/>
        </w:trPr>
        <w:tc>
          <w:tcPr>
            <w:tcW w:w="866" w:type="dxa"/>
            <w:vAlign w:val="center"/>
          </w:tcPr>
          <w:p>
            <w:pPr>
              <w:spacing w:before="20" w:after="20" w:line="240" w:lineRule="auto"/>
              <w:jc w:val="center"/>
            </w:pPr>
            <w:r>
              <w:rPr>
                <w:b/>
                <w:sz w:val="24"/>
                <w:szCs w:val="24"/>
              </w:rPr>
              <w:t xml:space="preserve">11</w:t>
            </w:r>
          </w:p>
        </w:tc>
        <w:tc>
          <w:tcPr>
            <w:tcW w:w="2599" w:type="dxa"/>
            <w:vAlign w:val="center"/>
          </w:tcPr>
          <w:p>
            <w:pPr>
              <w:spacing w:before="20" w:after="20" w:line="240" w:lineRule="auto"/>
              <w:jc w:val="left"/>
            </w:pPr>
            <w:r>
              <w:rPr>
                <w:b/>
                <w:sz w:val="24"/>
                <w:szCs w:val="24"/>
              </w:rPr>
              <w:t xml:space="preserve">Audit Documentation</w:t>
            </w:r>
          </w:p>
        </w:tc>
        <w:tc>
          <w:tcPr>
            <w:tcW w:w="5199" w:type="dxa"/>
            <w:vAlign w:val="center"/>
          </w:tcPr>
          <w:p>
            <w:pPr>
              <w:spacing w:before="20" w:after="20" w:line="240" w:lineRule="auto"/>
              <w:jc w:val="left"/>
            </w:pPr>
            <w:r>
              <w:rPr>
                <w:sz w:val="24"/>
                <w:szCs w:val="24"/>
              </w:rPr>
              <w:t xml:space="preserve">Assembly of ledgers, reconciliations and portal statements for statutory audit assignments</w:t>
            </w:r>
          </w:p>
        </w:tc>
      </w:tr>
      <w:tr>
        <w:trPr>
          <w:cantSplit/>
        </w:trPr>
        <w:tc>
          <w:tcPr>
            <w:tcW w:w="866" w:type="dxa"/>
            <w:vAlign w:val="center"/>
          </w:tcPr>
          <w:p>
            <w:pPr>
              <w:spacing w:before="20" w:after="20" w:line="240" w:lineRule="auto"/>
              <w:jc w:val="center"/>
            </w:pPr>
            <w:r>
              <w:rPr>
                <w:b/>
                <w:sz w:val="24"/>
                <w:szCs w:val="24"/>
              </w:rPr>
              <w:t xml:space="preserve">12</w:t>
            </w:r>
          </w:p>
        </w:tc>
        <w:tc>
          <w:tcPr>
            <w:tcW w:w="2599" w:type="dxa"/>
            <w:vAlign w:val="center"/>
          </w:tcPr>
          <w:p>
            <w:pPr>
              <w:spacing w:before="20" w:after="20" w:line="240" w:lineRule="auto"/>
              <w:jc w:val="left"/>
            </w:pPr>
            <w:r>
              <w:rPr>
                <w:b/>
                <w:sz w:val="24"/>
                <w:szCs w:val="24"/>
              </w:rPr>
              <w:t xml:space="preserve">Reporting</w:t>
            </w:r>
          </w:p>
        </w:tc>
        <w:tc>
          <w:tcPr>
            <w:tcW w:w="5199" w:type="dxa"/>
            <w:vAlign w:val="center"/>
          </w:tcPr>
          <w:p>
            <w:pPr>
              <w:spacing w:before="20" w:after="20" w:line="240" w:lineRule="auto"/>
              <w:jc w:val="left"/>
            </w:pPr>
            <w:r>
              <w:rPr>
                <w:sz w:val="24"/>
                <w:szCs w:val="24"/>
              </w:rPr>
              <w:t xml:space="preserve">Client reports prepared for the Manager’s verification and approval</w:t>
            </w:r>
          </w:p>
        </w:tc>
      </w:tr>
    </w:tbl>
    <w:p>
      <w:pPr>
        <w:spacing w:before="0" w:after="120" w:line="200" w:lineRule="auto"/>
      </w:pPr>
    </w:p>
    <w:p>
      <w:pPr>
        <w:spacing w:before="0" w:after="140" w:line="360" w:lineRule="auto"/>
        <w:jc w:val="both"/>
      </w:pPr>
      <w:r>
        <w:t xml:space="preserve">These responsibilities provided exposure to several connected compliance processes and made their interdependence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entire sequence of a compliance assignment in a chartered accountancy practice: collection of records and portal data, classification and recording, reconciliation against departmental information, computation, review and filing.</w:t>
      </w:r>
    </w:p>
    <w:p>
      <w:pPr>
        <w:spacing w:before="0" w:after="140" w:line="360" w:lineRule="auto"/>
        <w:jc w:val="both"/>
      </w:pPr>
      <w:r>
        <w:t xml:space="preserve">It also allowed me to apply concepts from financial accounting, direct taxation, indirect taxation, accounting systems and financial reporting to live client files, and to learn the software on which Indian practice actually runs. The tasks were routine in form but consequential in effect, since each one ended in a filing that carried a statutory deadline and a client’s liability.</w:t>
      </w:r>
    </w:p>
    <w:p>
      <w:pPr>
        <w:spacing w:before="0" w:after="140" w:line="360" w:lineRule="auto"/>
        <w:jc w:val="both"/>
      </w:pPr>
      <w:r>
        <w:t xml:space="preserve">Most importantly, the chapter reflects a progression. The work I was given in the first week required supervision at every step; the work I completed in the last week was carried out independently and was approved with only minor observations.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firm expected of an intern, and in the closing weeks slightly beyond it. Work on bank statement analysis, accounting in Tally, GST returns, TDS statements, Securities Transaction Tax data, the Statement of Total Income and audit documentation was completed and accepted, the client reports I prepared were verified and approved by my Manager, and three returns were filed independently after review.</w:t>
      </w:r>
    </w:p>
    <w:p>
      <w:pPr>
        <w:spacing w:before="0" w:after="140" w:line="360" w:lineRule="auto"/>
        <w:jc w:val="both"/>
      </w:pPr>
      <w:r>
        <w:t xml:space="preserve">The clearest evidence of progress is the fall in corrections. In the first fortnight my classification of bank entries was frequently amended; by the final phase computations were approved with only minor observations. I also maintained full attendance and met every deadline given to me, which in a filing season matters as much as technical accuracy.</w:t>
      </w:r>
    </w:p>
    <w:p>
      <w:pPr>
        <w:spacing w:before="0" w:after="140" w:line="360" w:lineRule="auto"/>
        <w:jc w:val="both"/>
      </w:pPr>
      <w:r>
        <w:t xml:space="preserve">Where I fell short was speed and statutory depth, and both are addressed in the previous section. Taken together, the performance gave me a realistic picture of what a practice expects: consistent accuracy, honest reporting of what is pending, and the willingness to be corrected. The internship has provided a solid foundation for further development in accounting, taxation and audit work.</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8"/>
          <w:szCs w:val="28"/>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Ledger classification, voucher entry and recording of client transactions in Tally</w:t>
            </w:r>
          </w:p>
        </w:tc>
      </w:tr>
      <w:tr>
        <w:trPr>
          <w:cantSplit/>
          <w:trHeight w:val="500" w:hRule="atLeast"/>
        </w:trPr>
        <w:tc>
          <w:tcPr>
            <w:tcW w:w="2888" w:type="dxa"/>
            <w:vAlign w:val="center"/>
          </w:tcPr>
          <w:p>
            <w:pPr>
              <w:spacing w:before="20" w:after="20" w:line="240" w:lineRule="auto"/>
              <w:jc w:val="center"/>
            </w:pPr>
            <w:r>
              <w:rPr>
                <w:b/>
                <w:sz w:val="24"/>
                <w:szCs w:val="24"/>
              </w:rPr>
              <w:t xml:space="preserve">Direct Taxation</w:t>
            </w:r>
          </w:p>
        </w:tc>
        <w:tc>
          <w:tcPr>
            <w:tcW w:w="5777" w:type="dxa"/>
            <w:vAlign w:val="center"/>
          </w:tcPr>
          <w:p>
            <w:pPr>
              <w:spacing w:before="20" w:after="20" w:line="240" w:lineRule="auto"/>
              <w:jc w:val="left"/>
            </w:pPr>
            <w:r>
              <w:rPr>
                <w:sz w:val="24"/>
                <w:szCs w:val="24"/>
              </w:rPr>
              <w:t xml:space="preserve">Heads of income, Statement of Total Income, TDS provisions, Securities Transaction Tax and return filing</w:t>
            </w:r>
          </w:p>
        </w:tc>
      </w:tr>
      <w:tr>
        <w:trPr>
          <w:cantSplit/>
          <w:trHeight w:val="500" w:hRule="atLeast"/>
        </w:trPr>
        <w:tc>
          <w:tcPr>
            <w:tcW w:w="2888" w:type="dxa"/>
            <w:vAlign w:val="center"/>
          </w:tcPr>
          <w:p>
            <w:pPr>
              <w:spacing w:before="20" w:after="20" w:line="240" w:lineRule="auto"/>
              <w:jc w:val="center"/>
            </w:pPr>
            <w:r>
              <w:rPr>
                <w:b/>
                <w:sz w:val="24"/>
                <w:szCs w:val="24"/>
              </w:rPr>
              <w:t xml:space="preserve">Indirect Taxation (GST)</w:t>
            </w:r>
          </w:p>
        </w:tc>
        <w:tc>
          <w:tcPr>
            <w:tcW w:w="5777" w:type="dxa"/>
            <w:vAlign w:val="center"/>
          </w:tcPr>
          <w:p>
            <w:pPr>
              <w:spacing w:before="20" w:after="20" w:line="240" w:lineRule="auto"/>
              <w:jc w:val="left"/>
            </w:pPr>
            <w:r>
              <w:rPr>
                <w:sz w:val="24"/>
                <w:szCs w:val="24"/>
              </w:rPr>
              <w:t xml:space="preserve">GSTR-1, GSTR-2B and GSTR-3B filings and reconciliation of books with returns</w:t>
            </w:r>
          </w:p>
        </w:tc>
      </w:tr>
      <w:tr>
        <w:trPr>
          <w:cantSplit/>
          <w:trHeight w:val="500" w:hRule="atLeas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Documentation for statutory audit assignments and verification of 26AS, AIS and TIS against the books</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Reporting and Analysis</w:t>
            </w:r>
          </w:p>
        </w:tc>
        <w:tc>
          <w:tcPr>
            <w:tcW w:w="5777" w:type="dxa"/>
            <w:vAlign w:val="center"/>
          </w:tcPr>
          <w:p>
            <w:pPr>
              <w:spacing w:before="20" w:after="20" w:line="240" w:lineRule="auto"/>
              <w:jc w:val="left"/>
            </w:pPr>
            <w:r>
              <w:rPr>
                <w:sz w:val="24"/>
                <w:szCs w:val="24"/>
              </w:rPr>
              <w:t xml:space="preserve">Assistance in balance sheet preparation and interpretation of income and expenditure patterns</w:t>
            </w:r>
          </w:p>
        </w:tc>
      </w:tr>
      <w:tr>
        <w:trPr>
          <w:cantSplit/>
          <w:trHeight w:val="500" w:hRule="atLeast"/>
        </w:trPr>
        <w:tc>
          <w:tcPr>
            <w:tcW w:w="2888" w:type="dxa"/>
            <w:vAlign w:val="center"/>
          </w:tcPr>
          <w:p>
            <w:pPr>
              <w:spacing w:before="20" w:after="20" w:line="240" w:lineRule="auto"/>
              <w:jc w:val="center"/>
            </w:pPr>
            <w:r>
              <w:rPr>
                <w:b/>
                <w:sz w:val="24"/>
                <w:szCs w:val="24"/>
              </w:rPr>
              <w:t xml:space="preserve">Accounting Systems and ERP</w:t>
            </w:r>
          </w:p>
        </w:tc>
        <w:tc>
          <w:tcPr>
            <w:tcW w:w="5777" w:type="dxa"/>
            <w:vAlign w:val="center"/>
          </w:tcPr>
          <w:p>
            <w:pPr>
              <w:spacing w:before="20" w:after="20" w:line="240" w:lineRule="auto"/>
              <w:jc w:val="left"/>
            </w:pPr>
            <w:r>
              <w:rPr>
                <w:sz w:val="24"/>
                <w:szCs w:val="24"/>
              </w:rPr>
              <w:t xml:space="preserve">Practical work in Tally and Winman CA-ERP, including master data and ledger structure</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Working papers, client reports for the Manager’s approval and internal queries on pending clarifications</w:t>
            </w:r>
          </w:p>
        </w:tc>
      </w:tr>
    </w:tbl>
    <w:p>
      <w:pPr>
        <w:spacing w:before="0" w:after="120" w:line="200" w:lineRule="auto"/>
      </w:pP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