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sz w:val="28"/>
          <w:szCs w:val="28"/>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sz w:val="28"/>
          <w:szCs w:val="28"/>
        </w:rPr>
        <w:t xml:space="preserve">MASTER OF BUSINESS ADMINISTRATION</w:t>
      </w: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sz w:val="24"/>
          <w:szCs w:val="24"/>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73129"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sz w:val="28"/>
          <w:szCs w:val="28"/>
        </w:rPr>
        <w:t xml:space="preserve">Indian School of Science and Management</w:t>
      </w:r>
    </w:p>
    <w:p>
      <w:pPr>
        <w:spacing w:before="0" w:after="40" w:line="360" w:lineRule="auto"/>
        <w:jc w:val="center"/>
      </w:pPr>
      <w:r>
        <w:rPr>
          <w:b/>
          <w:sz w:val="28"/>
          <w:szCs w:val="28"/>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rPr>
          <w:b/>
          <w:sz w:val="28"/>
          <w:szCs w:val="28"/>
        </w:rPr>
        <w:t xml:space="preserve">Mrs.Kavitha Manikandan</w:t>
      </w:r>
    </w:p>
    <w:p>
      <w:pPr>
        <w:spacing w:before="0" w:after="140" w:line="360" w:lineRule="auto"/>
        <w:jc w:val="both"/>
      </w:pPr>
      <w:r>
        <w:rPr>
          <w:sz w:val="28"/>
          <w:szCs w:val="28"/>
        </w:rP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rPr>
          <w:b/>
        </w:rPr>
        <w:t xml:space="preserve">Internal Examiner</w:t>
      </w:r>
      <w:r>
        <w:tab/>
      </w:r>
      <w:r>
        <w:rPr>
          <w:b/>
        </w:rP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52"/>
          <w:szCs w:val="52"/>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w:t>
      </w:r>
      <w:r>
        <w:rPr>
          <w:b/>
        </w:rPr>
        <w:t xml:space="preserve">Mr. KATHIRVEL GANAPATHIAPPAN</w:t>
      </w:r>
      <w:r>
        <w:t xml:space="preserve">,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w:t>
      </w:r>
      <w:r>
        <w:rPr>
          <w:b/>
        </w:rPr>
        <w:t xml:space="preserve">Mrs. KAVITHA MANIKANDAN</w:t>
      </w:r>
      <w:r>
        <w:t xml:space="preserve">,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4"/>
          <w:szCs w:val="24"/>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8"/>
                <w:szCs w:val="28"/>
              </w:rPr>
              <w:t xml:space="preserve">SL.NO</w:t>
            </w:r>
          </w:p>
        </w:tc>
        <w:tc>
          <w:tcPr>
            <w:tcW w:w="5514" w:type="dxa"/>
            <w:vAlign w:val="center"/>
          </w:tcPr>
          <w:p>
            <w:pPr>
              <w:spacing w:before="20" w:after="20" w:line="240" w:lineRule="auto"/>
              <w:jc w:val="center"/>
            </w:pPr>
            <w:r>
              <w:rPr>
                <w:b/>
                <w:sz w:val="28"/>
                <w:szCs w:val="28"/>
              </w:rPr>
              <w:t xml:space="preserve">CHAPTER</w:t>
            </w:r>
          </w:p>
        </w:tc>
        <w:tc>
          <w:tcPr>
            <w:tcW w:w="1575" w:type="dxa"/>
            <w:vAlign w:val="center"/>
          </w:tcPr>
          <w:p>
            <w:pPr>
              <w:spacing w:before="20" w:after="20" w:line="240" w:lineRule="auto"/>
              <w:jc w:val="center"/>
            </w:pPr>
            <w:r>
              <w:rPr>
                <w:b/>
                <w:sz w:val="28"/>
                <w:szCs w:val="28"/>
              </w:rPr>
              <w:t xml:space="preserve">PAGE NO.</w:t>
            </w:r>
          </w:p>
        </w:tc>
      </w:tr>
      <w:tr>
        <w:trPr>
          <w:cantSplit/>
          <w:trHeight w:val="640" w:hRule="atLeast"/>
        </w:trPr>
        <w:tc>
          <w:tcPr>
            <w:tcW w:w="1575" w:type="dxa"/>
            <w:vAlign w:val="center"/>
          </w:tcPr>
          <w:p>
            <w:pPr>
              <w:spacing w:before="20" w:after="20" w:line="240" w:lineRule="auto"/>
              <w:jc w:val="center"/>
            </w:pPr>
            <w:r>
              <w:rPr>
                <w:b/>
                <w:sz w:val="28"/>
                <w:szCs w:val="28"/>
              </w:rPr>
              <w:t xml:space="preserve">1</w:t>
            </w:r>
          </w:p>
        </w:tc>
        <w:tc>
          <w:tcPr>
            <w:tcW w:w="5514" w:type="dxa"/>
            <w:vAlign w:val="center"/>
          </w:tcPr>
          <w:p>
            <w:pPr>
              <w:spacing w:before="20" w:after="20" w:line="240" w:lineRule="auto"/>
              <w:jc w:val="center"/>
            </w:pPr>
            <w:r>
              <w:rPr>
                <w:b/>
                <w:sz w:val="28"/>
                <w:szCs w:val="28"/>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8"/>
                <w:szCs w:val="28"/>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2</w:t>
            </w:r>
          </w:p>
        </w:tc>
        <w:tc>
          <w:tcPr>
            <w:tcW w:w="5514" w:type="dxa"/>
            <w:vAlign w:val="center"/>
          </w:tcPr>
          <w:p>
            <w:pPr>
              <w:spacing w:before="20" w:after="20" w:line="240" w:lineRule="auto"/>
              <w:jc w:val="center"/>
            </w:pPr>
            <w:r>
              <w:rPr>
                <w:b/>
                <w:sz w:val="28"/>
                <w:szCs w:val="28"/>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8"/>
                <w:szCs w:val="28"/>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3</w:t>
            </w:r>
          </w:p>
        </w:tc>
        <w:tc>
          <w:tcPr>
            <w:tcW w:w="5514" w:type="dxa"/>
            <w:vAlign w:val="center"/>
          </w:tcPr>
          <w:p>
            <w:pPr>
              <w:spacing w:before="20" w:after="20" w:line="240" w:lineRule="auto"/>
              <w:jc w:val="center"/>
            </w:pPr>
            <w:r>
              <w:rPr>
                <w:b/>
                <w:sz w:val="28"/>
                <w:szCs w:val="28"/>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8"/>
                <w:szCs w:val="28"/>
              </w:rPr>
              <w:t xml:space="preserve">-</w:t>
            </w:r>
            <w:fldSimple w:instr=" PAGEREF ch3_end \h ">
              <w:r>
                <w:rPr>
                  <w:noProof/>
                </w:rPr>
                <w:t>32</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4</w:t>
            </w:r>
          </w:p>
        </w:tc>
        <w:tc>
          <w:tcPr>
            <w:tcW w:w="5514" w:type="dxa"/>
            <w:vAlign w:val="center"/>
          </w:tcPr>
          <w:p>
            <w:pPr>
              <w:spacing w:before="20" w:after="20" w:line="240" w:lineRule="auto"/>
              <w:jc w:val="center"/>
            </w:pPr>
            <w:r>
              <w:rPr>
                <w:b/>
                <w:sz w:val="28"/>
                <w:szCs w:val="28"/>
              </w:rPr>
              <w:t xml:space="preserve">LEARNING OUTCOMES</w:t>
            </w:r>
          </w:p>
        </w:tc>
        <w:tc>
          <w:tcPr>
            <w:tcW w:w="1575" w:type="dxa"/>
            <w:vAlign w:val="center"/>
          </w:tcPr>
          <w:p>
            <w:pPr>
              <w:spacing w:before="20" w:after="20" w:line="240" w:lineRule="auto"/>
              <w:jc w:val="center"/>
            </w:pPr>
            <w:fldSimple w:instr=" PAGEREF ch4_start \h ">
              <w:r>
                <w:rPr>
                  <w:noProof/>
                </w:rPr>
                <w:t>33</w:t>
              </w:r>
            </w:fldSimple>
            <w:r>
              <w:rPr>
                <w:b/>
                <w:sz w:val="28"/>
                <w:szCs w:val="28"/>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5</w:t>
            </w:r>
          </w:p>
        </w:tc>
        <w:tc>
          <w:tcPr>
            <w:tcW w:w="5514" w:type="dxa"/>
            <w:vAlign w:val="center"/>
          </w:tcPr>
          <w:p>
            <w:pPr>
              <w:spacing w:before="20" w:after="20" w:line="240" w:lineRule="auto"/>
              <w:jc w:val="center"/>
            </w:pPr>
            <w:r>
              <w:rPr>
                <w:b/>
                <w:sz w:val="28"/>
                <w:szCs w:val="28"/>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8"/>
                <w:szCs w:val="28"/>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8"/>
                <w:szCs w:val="28"/>
              </w:rPr>
              <w:t xml:space="preserve">6</w:t>
            </w:r>
          </w:p>
        </w:tc>
        <w:tc>
          <w:tcPr>
            <w:tcW w:w="5514" w:type="dxa"/>
            <w:vAlign w:val="center"/>
          </w:tcPr>
          <w:p>
            <w:pPr>
              <w:spacing w:before="20" w:after="20" w:line="240" w:lineRule="auto"/>
              <w:jc w:val="center"/>
            </w:pPr>
            <w:r>
              <w:rPr>
                <w:b/>
                <w:sz w:val="28"/>
                <w:szCs w:val="28"/>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8"/>
                <w:szCs w:val="28"/>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8"/>
          <w:szCs w:val="28"/>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8"/>
          <w:szCs w:val="28"/>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8"/>
          <w:szCs w:val="28"/>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4"/>
                <w:szCs w:val="24"/>
              </w:rPr>
              <w:t xml:space="preserve">Service Line</w:t>
            </w:r>
          </w:p>
        </w:tc>
        <w:tc>
          <w:tcPr>
            <w:tcW w:w="3851" w:type="dxa"/>
            <w:shd w:val="clear" w:color="auto" w:fill="D9D9D9"/>
            <w:vAlign w:val="center"/>
          </w:tcPr>
          <w:p>
            <w:pPr>
              <w:spacing w:before="20" w:after="20" w:line="240" w:lineRule="auto"/>
              <w:jc w:val="center"/>
            </w:pPr>
            <w:r>
              <w:rPr>
                <w:b/>
                <w:sz w:val="24"/>
                <w:szCs w:val="24"/>
              </w:rPr>
              <w:t xml:space="preserve">Nature of Work</w:t>
            </w:r>
          </w:p>
        </w:tc>
        <w:tc>
          <w:tcPr>
            <w:tcW w:w="2888" w:type="dxa"/>
            <w:shd w:val="clear" w:color="auto" w:fill="D9D9D9"/>
            <w:vAlign w:val="center"/>
          </w:tcPr>
          <w:p>
            <w:pPr>
              <w:spacing w:before="20" w:after="20" w:line="240" w:lineRule="auto"/>
              <w:jc w:val="center"/>
            </w:pPr>
            <w:r>
              <w:rPr>
                <w:b/>
                <w:sz w:val="24"/>
                <w:szCs w:val="24"/>
              </w:rPr>
              <w:t xml:space="preserve">Typical Deliverable</w:t>
            </w:r>
          </w:p>
        </w:tc>
      </w:tr>
      <w:tr>
        <w:trPr>
          <w:cantSplit/>
        </w:trPr>
        <w:tc>
          <w:tcPr>
            <w:tcW w:w="1925" w:type="dxa"/>
            <w:vAlign w:val="center"/>
          </w:tcPr>
          <w:p>
            <w:pPr>
              <w:spacing w:before="20" w:after="20" w:line="240" w:lineRule="auto"/>
              <w:jc w:val="left"/>
            </w:pPr>
            <w:r>
              <w:rPr>
                <w:sz w:val="24"/>
                <w:szCs w:val="24"/>
              </w:rPr>
              <w:t xml:space="preserve">Audit and Assurance</w:t>
            </w:r>
          </w:p>
        </w:tc>
        <w:tc>
          <w:tcPr>
            <w:tcW w:w="3851" w:type="dxa"/>
            <w:vAlign w:val="center"/>
          </w:tcPr>
          <w:p>
            <w:pPr>
              <w:spacing w:before="20" w:after="20" w:line="240" w:lineRule="auto"/>
              <w:jc w:val="left"/>
            </w:pPr>
            <w:r>
              <w:rPr>
                <w:sz w:val="24"/>
                <w:szCs w:val="24"/>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4"/>
                <w:szCs w:val="24"/>
              </w:rPr>
              <w:t xml:space="preserve">Audit working papers, audit report, Form 3CA/3CB-3CD</w:t>
            </w:r>
          </w:p>
        </w:tc>
      </w:tr>
      <w:tr>
        <w:trPr>
          <w:cantSplit/>
        </w:trPr>
        <w:tc>
          <w:tcPr>
            <w:tcW w:w="1925" w:type="dxa"/>
            <w:vAlign w:val="center"/>
          </w:tcPr>
          <w:p>
            <w:pPr>
              <w:spacing w:before="20" w:after="20" w:line="240" w:lineRule="auto"/>
              <w:jc w:val="left"/>
            </w:pPr>
            <w:r>
              <w:rPr>
                <w:sz w:val="24"/>
                <w:szCs w:val="24"/>
              </w:rPr>
              <w:t xml:space="preserve">Direct Taxation</w:t>
            </w:r>
          </w:p>
        </w:tc>
        <w:tc>
          <w:tcPr>
            <w:tcW w:w="3851" w:type="dxa"/>
            <w:vAlign w:val="center"/>
          </w:tcPr>
          <w:p>
            <w:pPr>
              <w:spacing w:before="20" w:after="20" w:line="240" w:lineRule="auto"/>
              <w:jc w:val="left"/>
            </w:pPr>
            <w:r>
              <w:rPr>
                <w:sz w:val="24"/>
                <w:szCs w:val="24"/>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4"/>
                <w:szCs w:val="24"/>
              </w:rPr>
              <w:t xml:space="preserve">Statement of Total Income, ITR acknowledgement, TDS returns</w:t>
            </w:r>
          </w:p>
        </w:tc>
      </w:tr>
      <w:tr>
        <w:trPr>
          <w:cantSplit/>
        </w:trPr>
        <w:tc>
          <w:tcPr>
            <w:tcW w:w="1925" w:type="dxa"/>
            <w:vAlign w:val="center"/>
          </w:tcPr>
          <w:p>
            <w:pPr>
              <w:spacing w:before="20" w:after="20" w:line="240" w:lineRule="auto"/>
              <w:jc w:val="left"/>
            </w:pPr>
            <w:r>
              <w:rPr>
                <w:sz w:val="24"/>
                <w:szCs w:val="24"/>
              </w:rPr>
              <w:t xml:space="preserve">Indirect Taxation (GST)</w:t>
            </w:r>
          </w:p>
        </w:tc>
        <w:tc>
          <w:tcPr>
            <w:tcW w:w="3851" w:type="dxa"/>
            <w:vAlign w:val="center"/>
          </w:tcPr>
          <w:p>
            <w:pPr>
              <w:spacing w:before="20" w:after="20" w:line="240" w:lineRule="auto"/>
              <w:jc w:val="left"/>
            </w:pPr>
            <w:r>
              <w:rPr>
                <w:sz w:val="24"/>
                <w:szCs w:val="24"/>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4"/>
                <w:szCs w:val="24"/>
              </w:rPr>
              <w:t xml:space="preserve">GSTR-1, GSTR-3B, reconciliation statements</w:t>
            </w:r>
          </w:p>
        </w:tc>
      </w:tr>
      <w:tr>
        <w:trPr>
          <w:cantSplit/>
        </w:trPr>
        <w:tc>
          <w:tcPr>
            <w:tcW w:w="1925" w:type="dxa"/>
            <w:vAlign w:val="center"/>
          </w:tcPr>
          <w:p>
            <w:pPr>
              <w:spacing w:before="20" w:after="20" w:line="240" w:lineRule="auto"/>
              <w:jc w:val="left"/>
            </w:pPr>
            <w:r>
              <w:rPr>
                <w:sz w:val="24"/>
                <w:szCs w:val="24"/>
              </w:rPr>
              <w:t xml:space="preserve">Advisory and Litigation Support</w:t>
            </w:r>
          </w:p>
        </w:tc>
        <w:tc>
          <w:tcPr>
            <w:tcW w:w="3851" w:type="dxa"/>
            <w:vAlign w:val="center"/>
          </w:tcPr>
          <w:p>
            <w:pPr>
              <w:spacing w:before="20" w:after="20" w:line="240" w:lineRule="auto"/>
              <w:jc w:val="left"/>
            </w:pPr>
            <w:r>
              <w:rPr>
                <w:sz w:val="24"/>
                <w:szCs w:val="24"/>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4"/>
                <w:szCs w:val="24"/>
              </w:rPr>
              <w:t xml:space="preserve">Replies, submissions and advisory notes</w:t>
            </w:r>
          </w:p>
        </w:tc>
      </w:tr>
    </w:tbl>
    <w:p>
      <w:pPr>
        <w:spacing w:before="0" w:after="120" w:line="200" w:lineRule="auto"/>
      </w:pPr>
    </w:p>
    <w:p>
      <w:pPr>
        <w:keepNext/>
        <w:keepLines/>
        <w:spacing w:before="240" w:after="120" w:line="360" w:lineRule="auto"/>
        <w:jc w:val="left"/>
      </w:pPr>
      <w:r>
        <w:rPr>
          <w:b/>
          <w:sz w:val="28"/>
          <w:szCs w:val="28"/>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8"/>
          <w:szCs w:val="28"/>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8"/>
          <w:szCs w:val="28"/>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Firm / Network</w:t>
            </w:r>
          </w:p>
        </w:tc>
        <w:tc>
          <w:tcPr>
            <w:tcW w:w="3151" w:type="dxa"/>
            <w:shd w:val="clear" w:color="auto" w:fill="D9D9D9"/>
            <w:vAlign w:val="center"/>
          </w:tcPr>
          <w:p>
            <w:pPr>
              <w:spacing w:before="20" w:after="20" w:line="240" w:lineRule="auto"/>
              <w:jc w:val="center"/>
            </w:pPr>
            <w:r>
              <w:rPr>
                <w:b/>
                <w:sz w:val="24"/>
                <w:szCs w:val="24"/>
              </w:rPr>
              <w:t xml:space="preserve">Principal Services</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Deloitte, PwC, EY and KPMG affiliates</w:t>
            </w:r>
          </w:p>
        </w:tc>
        <w:tc>
          <w:tcPr>
            <w:tcW w:w="3151" w:type="dxa"/>
            <w:vAlign w:val="center"/>
          </w:tcPr>
          <w:p>
            <w:pPr>
              <w:spacing w:before="20" w:after="20" w:line="240" w:lineRule="auto"/>
              <w:jc w:val="left"/>
            </w:pPr>
            <w:r>
              <w:rPr>
                <w:sz w:val="24"/>
                <w:szCs w:val="24"/>
              </w:rPr>
              <w:t xml:space="preserve">Statutory audit, assurance, tax and consulting</w:t>
            </w:r>
          </w:p>
        </w:tc>
        <w:tc>
          <w:tcPr>
            <w:tcW w:w="3151" w:type="dxa"/>
            <w:vAlign w:val="center"/>
          </w:tcPr>
          <w:p>
            <w:pPr>
              <w:spacing w:before="20" w:after="20" w:line="240" w:lineRule="auto"/>
              <w:jc w:val="left"/>
            </w:pPr>
            <w:r>
              <w:rPr>
                <w:sz w:val="24"/>
                <w:szCs w:val="24"/>
              </w:rPr>
              <w:t xml:space="preserve">Large corporates, listed entities and multinationals</w:t>
            </w:r>
          </w:p>
        </w:tc>
      </w:tr>
      <w:tr>
        <w:trPr>
          <w:cantSplit/>
        </w:trPr>
        <w:tc>
          <w:tcPr>
            <w:tcW w:w="2363" w:type="dxa"/>
            <w:vAlign w:val="center"/>
          </w:tcPr>
          <w:p>
            <w:pPr>
              <w:spacing w:before="20" w:after="20" w:line="240" w:lineRule="auto"/>
              <w:jc w:val="left"/>
            </w:pPr>
            <w:r>
              <w:rPr>
                <w:sz w:val="24"/>
                <w:szCs w:val="24"/>
              </w:rPr>
              <w:t xml:space="preserve">BDO India, Grant Thornton Bharat</w:t>
            </w:r>
          </w:p>
        </w:tc>
        <w:tc>
          <w:tcPr>
            <w:tcW w:w="3151" w:type="dxa"/>
            <w:vAlign w:val="center"/>
          </w:tcPr>
          <w:p>
            <w:pPr>
              <w:spacing w:before="20" w:after="20" w:line="240" w:lineRule="auto"/>
              <w:jc w:val="left"/>
            </w:pPr>
            <w:r>
              <w:rPr>
                <w:sz w:val="24"/>
                <w:szCs w:val="24"/>
              </w:rPr>
              <w:t xml:space="preserve">Audit, tax, risk advisory and transaction services</w:t>
            </w:r>
          </w:p>
        </w:tc>
        <w:tc>
          <w:tcPr>
            <w:tcW w:w="3151" w:type="dxa"/>
            <w:vAlign w:val="center"/>
          </w:tcPr>
          <w:p>
            <w:pPr>
              <w:spacing w:before="20" w:after="20" w:line="240" w:lineRule="auto"/>
              <w:jc w:val="left"/>
            </w:pPr>
            <w:r>
              <w:rPr>
                <w:sz w:val="24"/>
                <w:szCs w:val="24"/>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Firm</w:t>
            </w:r>
          </w:p>
        </w:tc>
        <w:tc>
          <w:tcPr>
            <w:tcW w:w="3151" w:type="dxa"/>
            <w:shd w:val="clear" w:color="auto" w:fill="D9D9D9"/>
            <w:vAlign w:val="center"/>
          </w:tcPr>
          <w:p>
            <w:pPr>
              <w:spacing w:before="20" w:after="20" w:line="240" w:lineRule="auto"/>
              <w:jc w:val="center"/>
            </w:pPr>
            <w:r>
              <w:rPr>
                <w:b/>
                <w:sz w:val="24"/>
                <w:szCs w:val="24"/>
              </w:rPr>
              <w:t xml:space="preserve">Principal Services</w:t>
            </w:r>
          </w:p>
        </w:tc>
        <w:tc>
          <w:tcPr>
            <w:tcW w:w="3151" w:type="dxa"/>
            <w:shd w:val="clear" w:color="auto" w:fill="D9D9D9"/>
            <w:vAlign w:val="center"/>
          </w:tcPr>
          <w:p>
            <w:pPr>
              <w:spacing w:before="20" w:after="20" w:line="240" w:lineRule="auto"/>
              <w:jc w:val="center"/>
            </w:pPr>
            <w:r>
              <w:rPr>
                <w:b/>
                <w:sz w:val="24"/>
                <w:szCs w:val="24"/>
              </w:rPr>
              <w:t xml:space="preserve">Key Focus Area</w:t>
            </w:r>
          </w:p>
        </w:tc>
      </w:tr>
      <w:tr>
        <w:trPr>
          <w:cantSplit/>
        </w:trPr>
        <w:tc>
          <w:tcPr>
            <w:tcW w:w="2363" w:type="dxa"/>
            <w:vAlign w:val="center"/>
          </w:tcPr>
          <w:p>
            <w:pPr>
              <w:spacing w:before="20" w:after="20" w:line="240" w:lineRule="auto"/>
              <w:jc w:val="left"/>
            </w:pPr>
            <w:r>
              <w:rPr>
                <w:sz w:val="24"/>
                <w:szCs w:val="24"/>
              </w:rPr>
              <w:t xml:space="preserve">Brahmayya &amp; Co.</w:t>
            </w:r>
          </w:p>
        </w:tc>
        <w:tc>
          <w:tcPr>
            <w:tcW w:w="3151" w:type="dxa"/>
            <w:vAlign w:val="center"/>
          </w:tcPr>
          <w:p>
            <w:pPr>
              <w:spacing w:before="20" w:after="20" w:line="240" w:lineRule="auto"/>
              <w:jc w:val="left"/>
            </w:pPr>
            <w:r>
              <w:rPr>
                <w:sz w:val="24"/>
                <w:szCs w:val="24"/>
              </w:rPr>
              <w:t xml:space="preserve">Audit, taxation and management consultancy</w:t>
            </w:r>
          </w:p>
        </w:tc>
        <w:tc>
          <w:tcPr>
            <w:tcW w:w="3151" w:type="dxa"/>
            <w:vAlign w:val="center"/>
          </w:tcPr>
          <w:p>
            <w:pPr>
              <w:spacing w:before="20" w:after="20" w:line="240" w:lineRule="auto"/>
              <w:jc w:val="left"/>
            </w:pPr>
            <w:r>
              <w:rPr>
                <w:sz w:val="24"/>
                <w:szCs w:val="24"/>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4"/>
                <w:szCs w:val="24"/>
              </w:rPr>
              <w:t xml:space="preserve">PKF Sridhar &amp; Santhanam LLP</w:t>
            </w:r>
          </w:p>
        </w:tc>
        <w:tc>
          <w:tcPr>
            <w:tcW w:w="3151" w:type="dxa"/>
            <w:vAlign w:val="center"/>
          </w:tcPr>
          <w:p>
            <w:pPr>
              <w:spacing w:before="20" w:after="20" w:line="240" w:lineRule="auto"/>
              <w:jc w:val="left"/>
            </w:pPr>
            <w:r>
              <w:rPr>
                <w:sz w:val="24"/>
                <w:szCs w:val="24"/>
              </w:rPr>
              <w:t xml:space="preserve">Audit and assurance, tax and advisory</w:t>
            </w:r>
          </w:p>
        </w:tc>
        <w:tc>
          <w:tcPr>
            <w:tcW w:w="3151" w:type="dxa"/>
            <w:vAlign w:val="center"/>
          </w:tcPr>
          <w:p>
            <w:pPr>
              <w:spacing w:before="20" w:after="20" w:line="240" w:lineRule="auto"/>
              <w:jc w:val="left"/>
            </w:pPr>
            <w:r>
              <w:rPr>
                <w:sz w:val="24"/>
                <w:szCs w:val="24"/>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4"/>
                <w:szCs w:val="24"/>
              </w:rPr>
              <w:t xml:space="preserve">Suri &amp; Co., R. Subramanian &amp; Co. and similar practices</w:t>
            </w:r>
          </w:p>
        </w:tc>
        <w:tc>
          <w:tcPr>
            <w:tcW w:w="3151" w:type="dxa"/>
            <w:vAlign w:val="center"/>
          </w:tcPr>
          <w:p>
            <w:pPr>
              <w:spacing w:before="20" w:after="20" w:line="240" w:lineRule="auto"/>
              <w:jc w:val="left"/>
            </w:pPr>
            <w:r>
              <w:rPr>
                <w:sz w:val="24"/>
                <w:szCs w:val="24"/>
              </w:rPr>
              <w:t xml:space="preserve">Statutory and tax audit, direct and indirect taxation</w:t>
            </w:r>
          </w:p>
        </w:tc>
        <w:tc>
          <w:tcPr>
            <w:tcW w:w="3151" w:type="dxa"/>
            <w:vAlign w:val="center"/>
          </w:tcPr>
          <w:p>
            <w:pPr>
              <w:spacing w:before="20" w:after="20" w:line="240" w:lineRule="auto"/>
              <w:jc w:val="left"/>
            </w:pPr>
            <w:r>
              <w:rPr>
                <w:sz w:val="24"/>
                <w:szCs w:val="24"/>
              </w:rPr>
              <w:t xml:space="preserve">Regional corporate and mid-market clients</w:t>
            </w:r>
          </w:p>
        </w:tc>
      </w:tr>
      <w:tr>
        <w:trPr>
          <w:cantSplit/>
        </w:trPr>
        <w:tc>
          <w:tcPr>
            <w:tcW w:w="2363" w:type="dxa"/>
            <w:vAlign w:val="center"/>
          </w:tcPr>
          <w:p>
            <w:pPr>
              <w:spacing w:before="20" w:after="20" w:line="240" w:lineRule="auto"/>
              <w:jc w:val="left"/>
            </w:pPr>
            <w:r>
              <w:rPr>
                <w:sz w:val="24"/>
                <w:szCs w:val="24"/>
              </w:rPr>
              <w:t xml:space="preserve">Local proprietary and small partnership firms</w:t>
            </w:r>
          </w:p>
        </w:tc>
        <w:tc>
          <w:tcPr>
            <w:tcW w:w="3151" w:type="dxa"/>
            <w:vAlign w:val="center"/>
          </w:tcPr>
          <w:p>
            <w:pPr>
              <w:spacing w:before="20" w:after="20" w:line="240" w:lineRule="auto"/>
              <w:jc w:val="left"/>
            </w:pPr>
            <w:r>
              <w:rPr>
                <w:sz w:val="24"/>
                <w:szCs w:val="24"/>
              </w:rPr>
              <w:t xml:space="preserve">Accounting, GST, TDS and income tax compliance</w:t>
            </w:r>
          </w:p>
        </w:tc>
        <w:tc>
          <w:tcPr>
            <w:tcW w:w="3151" w:type="dxa"/>
            <w:vAlign w:val="center"/>
          </w:tcPr>
          <w:p>
            <w:pPr>
              <w:spacing w:before="20" w:after="20" w:line="240" w:lineRule="auto"/>
              <w:jc w:val="left"/>
            </w:pPr>
            <w:r>
              <w:rPr>
                <w:sz w:val="24"/>
                <w:szCs w:val="24"/>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4"/>
                <w:szCs w:val="24"/>
              </w:rPr>
              <w:t xml:space="preserve">Platform</w:t>
            </w:r>
          </w:p>
        </w:tc>
        <w:tc>
          <w:tcPr>
            <w:tcW w:w="3151" w:type="dxa"/>
            <w:shd w:val="clear" w:color="auto" w:fill="D9D9D9"/>
            <w:vAlign w:val="center"/>
          </w:tcPr>
          <w:p>
            <w:pPr>
              <w:spacing w:before="20" w:after="20" w:line="240" w:lineRule="auto"/>
              <w:jc w:val="center"/>
            </w:pPr>
            <w:r>
              <w:rPr>
                <w:b/>
                <w:sz w:val="24"/>
                <w:szCs w:val="24"/>
              </w:rPr>
              <w:t xml:space="preserve">Offering</w:t>
            </w:r>
          </w:p>
        </w:tc>
        <w:tc>
          <w:tcPr>
            <w:tcW w:w="3151" w:type="dxa"/>
            <w:shd w:val="clear" w:color="auto" w:fill="D9D9D9"/>
            <w:vAlign w:val="center"/>
          </w:tcPr>
          <w:p>
            <w:pPr>
              <w:spacing w:before="20" w:after="20" w:line="240" w:lineRule="auto"/>
              <w:jc w:val="center"/>
            </w:pPr>
            <w:r>
              <w:rPr>
                <w:b/>
                <w:sz w:val="24"/>
                <w:szCs w:val="24"/>
              </w:rPr>
              <w:t xml:space="preserve">Competitive Effect</w:t>
            </w:r>
          </w:p>
        </w:tc>
      </w:tr>
      <w:tr>
        <w:trPr>
          <w:cantSplit/>
        </w:trPr>
        <w:tc>
          <w:tcPr>
            <w:tcW w:w="2363" w:type="dxa"/>
            <w:vAlign w:val="center"/>
          </w:tcPr>
          <w:p>
            <w:pPr>
              <w:spacing w:before="20" w:after="20" w:line="240" w:lineRule="auto"/>
              <w:jc w:val="left"/>
            </w:pPr>
            <w:r>
              <w:rPr>
                <w:sz w:val="24"/>
                <w:szCs w:val="24"/>
              </w:rPr>
              <w:t xml:space="preserve">Online tax filing portals</w:t>
            </w:r>
          </w:p>
        </w:tc>
        <w:tc>
          <w:tcPr>
            <w:tcW w:w="3151" w:type="dxa"/>
            <w:vAlign w:val="center"/>
          </w:tcPr>
          <w:p>
            <w:pPr>
              <w:spacing w:before="20" w:after="20" w:line="240" w:lineRule="auto"/>
              <w:jc w:val="left"/>
            </w:pPr>
            <w:r>
              <w:rPr>
                <w:sz w:val="24"/>
                <w:szCs w:val="24"/>
              </w:rPr>
              <w:t xml:space="preserve">Assisted and self-service income tax return filing</w:t>
            </w:r>
          </w:p>
        </w:tc>
        <w:tc>
          <w:tcPr>
            <w:tcW w:w="3151" w:type="dxa"/>
            <w:vAlign w:val="center"/>
          </w:tcPr>
          <w:p>
            <w:pPr>
              <w:spacing w:before="20" w:after="20" w:line="240" w:lineRule="auto"/>
              <w:jc w:val="left"/>
            </w:pPr>
            <w:r>
              <w:rPr>
                <w:sz w:val="24"/>
                <w:szCs w:val="24"/>
              </w:rPr>
              <w:t xml:space="preserve">Absorbs simple salaried filings at low fee points</w:t>
            </w:r>
          </w:p>
        </w:tc>
      </w:tr>
      <w:tr>
        <w:trPr>
          <w:cantSplit/>
        </w:trPr>
        <w:tc>
          <w:tcPr>
            <w:tcW w:w="2363" w:type="dxa"/>
            <w:vAlign w:val="center"/>
          </w:tcPr>
          <w:p>
            <w:pPr>
              <w:spacing w:before="20" w:after="20" w:line="240" w:lineRule="auto"/>
              <w:jc w:val="left"/>
            </w:pPr>
            <w:r>
              <w:rPr>
                <w:sz w:val="24"/>
                <w:szCs w:val="24"/>
              </w:rPr>
              <w:t xml:space="preserve">Cloud accounting and compliance suites</w:t>
            </w:r>
          </w:p>
        </w:tc>
        <w:tc>
          <w:tcPr>
            <w:tcW w:w="3151" w:type="dxa"/>
            <w:vAlign w:val="center"/>
          </w:tcPr>
          <w:p>
            <w:pPr>
              <w:spacing w:before="20" w:after="20" w:line="240" w:lineRule="auto"/>
              <w:jc w:val="left"/>
            </w:pPr>
            <w:r>
              <w:rPr>
                <w:sz w:val="24"/>
                <w:szCs w:val="24"/>
              </w:rPr>
              <w:t xml:space="preserve">Bookkeeping, GST return preparation and reconciliation tools</w:t>
            </w:r>
          </w:p>
        </w:tc>
        <w:tc>
          <w:tcPr>
            <w:tcW w:w="3151" w:type="dxa"/>
            <w:vAlign w:val="center"/>
          </w:tcPr>
          <w:p>
            <w:pPr>
              <w:spacing w:before="20" w:after="20" w:line="240" w:lineRule="auto"/>
              <w:jc w:val="left"/>
            </w:pPr>
            <w:r>
              <w:rPr>
                <w:sz w:val="24"/>
                <w:szCs w:val="24"/>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4"/>
                <w:szCs w:val="24"/>
              </w:rPr>
              <w:t xml:space="preserve">Accounting outsourcing providers</w:t>
            </w:r>
          </w:p>
        </w:tc>
        <w:tc>
          <w:tcPr>
            <w:tcW w:w="3151" w:type="dxa"/>
            <w:vAlign w:val="center"/>
          </w:tcPr>
          <w:p>
            <w:pPr>
              <w:spacing w:before="20" w:after="20" w:line="240" w:lineRule="auto"/>
              <w:jc w:val="left"/>
            </w:pPr>
            <w:r>
              <w:rPr>
                <w:sz w:val="24"/>
                <w:szCs w:val="24"/>
              </w:rPr>
              <w:t xml:space="preserve">Volume bookkeeping and back-office accounting</w:t>
            </w:r>
          </w:p>
        </w:tc>
        <w:tc>
          <w:tcPr>
            <w:tcW w:w="3151" w:type="dxa"/>
            <w:vAlign w:val="center"/>
          </w:tcPr>
          <w:p>
            <w:pPr>
              <w:spacing w:before="20" w:after="20" w:line="240" w:lineRule="auto"/>
              <w:jc w:val="left"/>
            </w:pPr>
            <w:r>
              <w:rPr>
                <w:sz w:val="24"/>
                <w:szCs w:val="24"/>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8"/>
          <w:szCs w:val="28"/>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8"/>
          <w:szCs w:val="28"/>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8"/>
          <w:szCs w:val="28"/>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8"/>
          <w:szCs w:val="28"/>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8"/>
          <w:szCs w:val="28"/>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8"/>
          <w:szCs w:val="28"/>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8"/>
          <w:szCs w:val="28"/>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8"/>
          <w:szCs w:val="28"/>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keepNext/>
        <w:keepLines/>
        <w:spacing w:before="240" w:after="120" w:line="360" w:lineRule="auto"/>
        <w:jc w:val="left"/>
      </w:pPr>
      <w:r>
        <w:rPr>
          <w:b/>
          <w:sz w:val="28"/>
          <w:szCs w:val="28"/>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Ms. A. Lakshmi and alongside Ms. Aruna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8"/>
          <w:szCs w:val="28"/>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8"/>
          <w:szCs w:val="28"/>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8"/>
          <w:szCs w:val="28"/>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8"/>
          <w:szCs w:val="28"/>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4"/>
                <w:szCs w:val="24"/>
              </w:rPr>
              <w:t xml:space="preserve">S. No.</w:t>
            </w:r>
          </w:p>
        </w:tc>
        <w:tc>
          <w:tcPr>
            <w:tcW w:w="2599" w:type="dxa"/>
            <w:shd w:val="clear" w:color="auto" w:fill="D9D9D9"/>
            <w:vAlign w:val="center"/>
          </w:tcPr>
          <w:p>
            <w:pPr>
              <w:spacing w:before="20" w:after="20" w:line="240" w:lineRule="auto"/>
              <w:jc w:val="center"/>
            </w:pPr>
            <w:r>
              <w:rPr>
                <w:b/>
                <w:sz w:val="24"/>
                <w:szCs w:val="24"/>
              </w:rPr>
              <w:t xml:space="preserve">Area of Work</w:t>
            </w:r>
          </w:p>
        </w:tc>
        <w:tc>
          <w:tcPr>
            <w:tcW w:w="5199" w:type="dxa"/>
            <w:shd w:val="clear" w:color="auto" w:fill="D9D9D9"/>
            <w:vAlign w:val="center"/>
          </w:tcPr>
          <w:p>
            <w:pPr>
              <w:spacing w:before="20" w:after="20" w:line="240" w:lineRule="auto"/>
              <w:jc w:val="center"/>
            </w:pPr>
            <w:r>
              <w:rPr>
                <w:b/>
                <w:sz w:val="24"/>
                <w:szCs w:val="24"/>
              </w:rPr>
              <w:t xml:space="preserve">Major Responsibility</w:t>
            </w:r>
          </w:p>
        </w:tc>
      </w:tr>
      <w:tr>
        <w:trPr>
          <w:cantSplit/>
        </w:trPr>
        <w:tc>
          <w:tcPr>
            <w:tcW w:w="866" w:type="dxa"/>
            <w:vAlign w:val="center"/>
          </w:tcPr>
          <w:p>
            <w:pPr>
              <w:spacing w:before="20" w:after="20" w:line="240" w:lineRule="auto"/>
              <w:jc w:val="center"/>
            </w:pPr>
            <w:r>
              <w:rPr>
                <w:b/>
                <w:sz w:val="24"/>
                <w:szCs w:val="24"/>
              </w:rPr>
              <w:t xml:space="preserve">1</w:t>
            </w:r>
          </w:p>
        </w:tc>
        <w:tc>
          <w:tcPr>
            <w:tcW w:w="2599" w:type="dxa"/>
            <w:vAlign w:val="center"/>
          </w:tcPr>
          <w:p>
            <w:pPr>
              <w:spacing w:before="20" w:after="20" w:line="240" w:lineRule="auto"/>
              <w:jc w:val="left"/>
            </w:pPr>
            <w:r>
              <w:rPr>
                <w:b/>
                <w:sz w:val="24"/>
                <w:szCs w:val="24"/>
              </w:rPr>
              <w:t xml:space="preserve">Bank Statement Analysis</w:t>
            </w:r>
          </w:p>
        </w:tc>
        <w:tc>
          <w:tcPr>
            <w:tcW w:w="5199" w:type="dxa"/>
            <w:vAlign w:val="center"/>
          </w:tcPr>
          <w:p>
            <w:pPr>
              <w:spacing w:before="20" w:after="20" w:line="240" w:lineRule="auto"/>
              <w:jc w:val="left"/>
            </w:pPr>
            <w:r>
              <w:rPr>
                <w:sz w:val="24"/>
                <w:szCs w:val="24"/>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4"/>
                <w:szCs w:val="24"/>
              </w:rPr>
              <w:t xml:space="preserve">2</w:t>
            </w:r>
          </w:p>
        </w:tc>
        <w:tc>
          <w:tcPr>
            <w:tcW w:w="2599" w:type="dxa"/>
            <w:vAlign w:val="center"/>
          </w:tcPr>
          <w:p>
            <w:pPr>
              <w:spacing w:before="20" w:after="20" w:line="240" w:lineRule="auto"/>
              <w:jc w:val="left"/>
            </w:pPr>
            <w:r>
              <w:rPr>
                <w:b/>
                <w:sz w:val="24"/>
                <w:szCs w:val="24"/>
              </w:rPr>
              <w:t xml:space="preserve">Real-Time Accounting</w:t>
            </w:r>
          </w:p>
        </w:tc>
        <w:tc>
          <w:tcPr>
            <w:tcW w:w="5199" w:type="dxa"/>
            <w:vAlign w:val="center"/>
          </w:tcPr>
          <w:p>
            <w:pPr>
              <w:spacing w:before="20" w:after="20" w:line="240" w:lineRule="auto"/>
              <w:jc w:val="left"/>
            </w:pPr>
            <w:r>
              <w:rPr>
                <w:sz w:val="24"/>
                <w:szCs w:val="24"/>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4"/>
                <w:szCs w:val="24"/>
              </w:rPr>
              <w:t xml:space="preserve">3</w:t>
            </w:r>
          </w:p>
        </w:tc>
        <w:tc>
          <w:tcPr>
            <w:tcW w:w="2599" w:type="dxa"/>
            <w:vAlign w:val="center"/>
          </w:tcPr>
          <w:p>
            <w:pPr>
              <w:spacing w:before="20" w:after="20" w:line="240" w:lineRule="auto"/>
              <w:jc w:val="left"/>
            </w:pPr>
            <w:r>
              <w:rPr>
                <w:b/>
                <w:sz w:val="24"/>
                <w:szCs w:val="24"/>
              </w:rPr>
              <w:t xml:space="preserve">Portal Downloads</w:t>
            </w:r>
          </w:p>
        </w:tc>
        <w:tc>
          <w:tcPr>
            <w:tcW w:w="5199" w:type="dxa"/>
            <w:vAlign w:val="center"/>
          </w:tcPr>
          <w:p>
            <w:pPr>
              <w:spacing w:before="20" w:after="20" w:line="240" w:lineRule="auto"/>
              <w:jc w:val="left"/>
            </w:pPr>
            <w:r>
              <w:rPr>
                <w:sz w:val="24"/>
                <w:szCs w:val="24"/>
              </w:rPr>
              <w:t xml:space="preserve">Retrieval of Form 26AS, AIS and TIS through Winman CA-ERP</w:t>
            </w:r>
          </w:p>
        </w:tc>
      </w:tr>
      <w:tr>
        <w:trPr>
          <w:cantSplit/>
        </w:trPr>
        <w:tc>
          <w:tcPr>
            <w:tcW w:w="866" w:type="dxa"/>
            <w:vAlign w:val="center"/>
          </w:tcPr>
          <w:p>
            <w:pPr>
              <w:spacing w:before="20" w:after="20" w:line="240" w:lineRule="auto"/>
              <w:jc w:val="center"/>
            </w:pPr>
            <w:r>
              <w:rPr>
                <w:b/>
                <w:sz w:val="24"/>
                <w:szCs w:val="24"/>
              </w:rPr>
              <w:t xml:space="preserve">4</w:t>
            </w:r>
          </w:p>
        </w:tc>
        <w:tc>
          <w:tcPr>
            <w:tcW w:w="2599" w:type="dxa"/>
            <w:vAlign w:val="center"/>
          </w:tcPr>
          <w:p>
            <w:pPr>
              <w:spacing w:before="20" w:after="20" w:line="240" w:lineRule="auto"/>
              <w:jc w:val="left"/>
            </w:pPr>
            <w:r>
              <w:rPr>
                <w:b/>
                <w:sz w:val="24"/>
                <w:szCs w:val="24"/>
              </w:rPr>
              <w:t xml:space="preserve">GST Compliance</w:t>
            </w:r>
          </w:p>
        </w:tc>
        <w:tc>
          <w:tcPr>
            <w:tcW w:w="5199" w:type="dxa"/>
            <w:vAlign w:val="center"/>
          </w:tcPr>
          <w:p>
            <w:pPr>
              <w:spacing w:before="20" w:after="20" w:line="240" w:lineRule="auto"/>
              <w:jc w:val="left"/>
            </w:pPr>
            <w:r>
              <w:rPr>
                <w:sz w:val="24"/>
                <w:szCs w:val="24"/>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4"/>
                <w:szCs w:val="24"/>
              </w:rPr>
              <w:t xml:space="preserve">5</w:t>
            </w:r>
          </w:p>
        </w:tc>
        <w:tc>
          <w:tcPr>
            <w:tcW w:w="2599" w:type="dxa"/>
            <w:vAlign w:val="center"/>
          </w:tcPr>
          <w:p>
            <w:pPr>
              <w:spacing w:before="20" w:after="20" w:line="240" w:lineRule="auto"/>
              <w:jc w:val="left"/>
            </w:pPr>
            <w:r>
              <w:rPr>
                <w:b/>
                <w:sz w:val="24"/>
                <w:szCs w:val="24"/>
              </w:rPr>
              <w:t xml:space="preserve">GST Reconciliation</w:t>
            </w:r>
          </w:p>
        </w:tc>
        <w:tc>
          <w:tcPr>
            <w:tcW w:w="5199" w:type="dxa"/>
            <w:vAlign w:val="center"/>
          </w:tcPr>
          <w:p>
            <w:pPr>
              <w:spacing w:before="20" w:after="20" w:line="240" w:lineRule="auto"/>
              <w:jc w:val="left"/>
            </w:pPr>
            <w:r>
              <w:rPr>
                <w:sz w:val="24"/>
                <w:szCs w:val="24"/>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4"/>
                <w:szCs w:val="24"/>
              </w:rPr>
              <w:t xml:space="preserve">6</w:t>
            </w:r>
          </w:p>
        </w:tc>
        <w:tc>
          <w:tcPr>
            <w:tcW w:w="2599" w:type="dxa"/>
            <w:vAlign w:val="center"/>
          </w:tcPr>
          <w:p>
            <w:pPr>
              <w:spacing w:before="20" w:after="20" w:line="240" w:lineRule="auto"/>
              <w:jc w:val="left"/>
            </w:pPr>
            <w:r>
              <w:rPr>
                <w:b/>
                <w:sz w:val="24"/>
                <w:szCs w:val="24"/>
              </w:rPr>
              <w:t xml:space="preserve">TDS Compliance</w:t>
            </w:r>
          </w:p>
        </w:tc>
        <w:tc>
          <w:tcPr>
            <w:tcW w:w="5199" w:type="dxa"/>
            <w:vAlign w:val="center"/>
          </w:tcPr>
          <w:p>
            <w:pPr>
              <w:spacing w:before="20" w:after="20" w:line="240" w:lineRule="auto"/>
              <w:jc w:val="left"/>
            </w:pPr>
            <w:r>
              <w:rPr>
                <w:sz w:val="24"/>
                <w:szCs w:val="24"/>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4"/>
                <w:szCs w:val="24"/>
              </w:rPr>
              <w:t xml:space="preserve">7</w:t>
            </w:r>
          </w:p>
        </w:tc>
        <w:tc>
          <w:tcPr>
            <w:tcW w:w="2599" w:type="dxa"/>
            <w:vAlign w:val="center"/>
          </w:tcPr>
          <w:p>
            <w:pPr>
              <w:spacing w:before="20" w:after="20" w:line="240" w:lineRule="auto"/>
              <w:jc w:val="left"/>
            </w:pPr>
            <w:r>
              <w:rPr>
                <w:b/>
                <w:sz w:val="24"/>
                <w:szCs w:val="24"/>
              </w:rPr>
              <w:t xml:space="preserve">Securities Transaction Tax</w:t>
            </w:r>
          </w:p>
        </w:tc>
        <w:tc>
          <w:tcPr>
            <w:tcW w:w="5199" w:type="dxa"/>
            <w:vAlign w:val="center"/>
          </w:tcPr>
          <w:p>
            <w:pPr>
              <w:spacing w:before="20" w:after="20" w:line="240" w:lineRule="auto"/>
              <w:jc w:val="left"/>
            </w:pPr>
            <w:r>
              <w:rPr>
                <w:sz w:val="24"/>
                <w:szCs w:val="24"/>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4"/>
                <w:szCs w:val="24"/>
              </w:rPr>
              <w:t xml:space="preserve">8</w:t>
            </w:r>
          </w:p>
        </w:tc>
        <w:tc>
          <w:tcPr>
            <w:tcW w:w="2599" w:type="dxa"/>
            <w:vAlign w:val="center"/>
          </w:tcPr>
          <w:p>
            <w:pPr>
              <w:spacing w:before="20" w:after="20" w:line="240" w:lineRule="auto"/>
              <w:jc w:val="left"/>
            </w:pPr>
            <w:r>
              <w:rPr>
                <w:b/>
                <w:sz w:val="24"/>
                <w:szCs w:val="24"/>
              </w:rPr>
              <w:t xml:space="preserve">Bank Account Abstract</w:t>
            </w:r>
          </w:p>
        </w:tc>
        <w:tc>
          <w:tcPr>
            <w:tcW w:w="5199" w:type="dxa"/>
            <w:vAlign w:val="center"/>
          </w:tcPr>
          <w:p>
            <w:pPr>
              <w:spacing w:before="20" w:after="20" w:line="240" w:lineRule="auto"/>
              <w:jc w:val="left"/>
            </w:pPr>
            <w:r>
              <w:rPr>
                <w:sz w:val="24"/>
                <w:szCs w:val="24"/>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4"/>
                <w:szCs w:val="24"/>
              </w:rPr>
              <w:t xml:space="preserve">9</w:t>
            </w:r>
          </w:p>
        </w:tc>
        <w:tc>
          <w:tcPr>
            <w:tcW w:w="2599" w:type="dxa"/>
            <w:vAlign w:val="center"/>
          </w:tcPr>
          <w:p>
            <w:pPr>
              <w:spacing w:before="20" w:after="20" w:line="240" w:lineRule="auto"/>
              <w:jc w:val="left"/>
            </w:pPr>
            <w:r>
              <w:rPr>
                <w:b/>
                <w:sz w:val="24"/>
                <w:szCs w:val="24"/>
              </w:rPr>
              <w:t xml:space="preserve">Statement of Total Income</w:t>
            </w:r>
          </w:p>
        </w:tc>
        <w:tc>
          <w:tcPr>
            <w:tcW w:w="5199" w:type="dxa"/>
            <w:vAlign w:val="center"/>
          </w:tcPr>
          <w:p>
            <w:pPr>
              <w:spacing w:before="20" w:after="20" w:line="240" w:lineRule="auto"/>
              <w:jc w:val="left"/>
            </w:pPr>
            <w:r>
              <w:rPr>
                <w:sz w:val="24"/>
                <w:szCs w:val="24"/>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4"/>
                <w:szCs w:val="24"/>
              </w:rPr>
              <w:t xml:space="preserve">10</w:t>
            </w:r>
          </w:p>
        </w:tc>
        <w:tc>
          <w:tcPr>
            <w:tcW w:w="2599" w:type="dxa"/>
            <w:vAlign w:val="center"/>
          </w:tcPr>
          <w:p>
            <w:pPr>
              <w:spacing w:before="20" w:after="20" w:line="240" w:lineRule="auto"/>
              <w:jc w:val="left"/>
            </w:pPr>
            <w:r>
              <w:rPr>
                <w:b/>
                <w:sz w:val="24"/>
                <w:szCs w:val="24"/>
              </w:rPr>
              <w:t xml:space="preserve">Return Filing</w:t>
            </w:r>
          </w:p>
        </w:tc>
        <w:tc>
          <w:tcPr>
            <w:tcW w:w="5199" w:type="dxa"/>
            <w:vAlign w:val="center"/>
          </w:tcPr>
          <w:p>
            <w:pPr>
              <w:spacing w:before="20" w:after="20" w:line="240" w:lineRule="auto"/>
              <w:jc w:val="left"/>
            </w:pPr>
            <w:r>
              <w:rPr>
                <w:sz w:val="24"/>
                <w:szCs w:val="24"/>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4"/>
                <w:szCs w:val="24"/>
              </w:rPr>
              <w:t xml:space="preserve">11</w:t>
            </w:r>
          </w:p>
        </w:tc>
        <w:tc>
          <w:tcPr>
            <w:tcW w:w="2599" w:type="dxa"/>
            <w:vAlign w:val="center"/>
          </w:tcPr>
          <w:p>
            <w:pPr>
              <w:spacing w:before="20" w:after="20" w:line="240" w:lineRule="auto"/>
              <w:jc w:val="left"/>
            </w:pPr>
            <w:r>
              <w:rPr>
                <w:b/>
                <w:sz w:val="24"/>
                <w:szCs w:val="24"/>
              </w:rPr>
              <w:t xml:space="preserve">Audit Documentation</w:t>
            </w:r>
          </w:p>
        </w:tc>
        <w:tc>
          <w:tcPr>
            <w:tcW w:w="5199" w:type="dxa"/>
            <w:vAlign w:val="center"/>
          </w:tcPr>
          <w:p>
            <w:pPr>
              <w:spacing w:before="20" w:after="20" w:line="240" w:lineRule="auto"/>
              <w:jc w:val="left"/>
            </w:pPr>
            <w:r>
              <w:rPr>
                <w:sz w:val="24"/>
                <w:szCs w:val="24"/>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4"/>
                <w:szCs w:val="24"/>
              </w:rPr>
              <w:t xml:space="preserve">12</w:t>
            </w:r>
          </w:p>
        </w:tc>
        <w:tc>
          <w:tcPr>
            <w:tcW w:w="2599" w:type="dxa"/>
            <w:vAlign w:val="center"/>
          </w:tcPr>
          <w:p>
            <w:pPr>
              <w:spacing w:before="20" w:after="20" w:line="240" w:lineRule="auto"/>
              <w:jc w:val="left"/>
            </w:pPr>
            <w:r>
              <w:rPr>
                <w:b/>
                <w:sz w:val="24"/>
                <w:szCs w:val="24"/>
              </w:rPr>
              <w:t xml:space="preserve">Reporting</w:t>
            </w:r>
          </w:p>
        </w:tc>
        <w:tc>
          <w:tcPr>
            <w:tcW w:w="5199" w:type="dxa"/>
            <w:vAlign w:val="center"/>
          </w:tcPr>
          <w:p>
            <w:pPr>
              <w:spacing w:before="20" w:after="20" w:line="240" w:lineRule="auto"/>
              <w:jc w:val="left"/>
            </w:pPr>
            <w:r>
              <w:rPr>
                <w:sz w:val="24"/>
                <w:szCs w:val="24"/>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8"/>
          <w:szCs w:val="28"/>
        </w:rPr>
        <w:t xml:space="preserve">2.12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8"/>
          <w:szCs w:val="28"/>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8"/>
          <w:szCs w:val="28"/>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8"/>
          <w:szCs w:val="28"/>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8"/>
          <w:szCs w:val="28"/>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8"/>
          <w:szCs w:val="28"/>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8"/>
          <w:szCs w:val="28"/>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8"/>
          <w:szCs w:val="28"/>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The clearest evidence of progress is the fall in corrections. In the first fortnight my classification of bank entries was frequently amended; by the final phase computations were approved with only minor observations. I also maintained full attendance and met every deadline given to me, which in a filing season matters as much as technical accuracy.</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8"/>
          <w:szCs w:val="28"/>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8"/>
          <w:szCs w:val="28"/>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8"/>
          <w:szCs w:val="28"/>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8"/>
          <w:szCs w:val="28"/>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8"/>
          <w:szCs w:val="28"/>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4"/>
                <w:szCs w:val="24"/>
              </w:rPr>
              <w:t xml:space="preserve">Academic Subject</w:t>
            </w:r>
          </w:p>
        </w:tc>
        <w:tc>
          <w:tcPr>
            <w:tcW w:w="5777" w:type="dxa"/>
            <w:shd w:val="clear" w:color="auto" w:fill="D9D9D9"/>
            <w:vAlign w:val="center"/>
          </w:tcPr>
          <w:p>
            <w:pPr>
              <w:spacing w:before="20" w:after="20" w:line="240" w:lineRule="auto"/>
              <w:jc w:val="center"/>
            </w:pPr>
            <w:r>
              <w:rPr>
                <w:b/>
                <w:sz w:val="24"/>
                <w:szCs w:val="24"/>
              </w:rPr>
              <w:t xml:space="preserve">Internship Application</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Accounting</w:t>
            </w:r>
          </w:p>
        </w:tc>
        <w:tc>
          <w:tcPr>
            <w:tcW w:w="5777" w:type="dxa"/>
            <w:vAlign w:val="center"/>
          </w:tcPr>
          <w:p>
            <w:pPr>
              <w:spacing w:before="20" w:after="20" w:line="240" w:lineRule="auto"/>
              <w:jc w:val="left"/>
            </w:pPr>
            <w:r>
              <w:rPr>
                <w:sz w:val="24"/>
                <w:szCs w:val="24"/>
              </w:rPr>
              <w:t xml:space="preserve">Ledger classification, voucher entry and recording of client transactions in Tally</w:t>
            </w:r>
          </w:p>
        </w:tc>
      </w:tr>
      <w:tr>
        <w:trPr>
          <w:cantSplit/>
          <w:trHeight w:val="500" w:hRule="atLeast"/>
        </w:trPr>
        <w:tc>
          <w:tcPr>
            <w:tcW w:w="2888" w:type="dxa"/>
            <w:vAlign w:val="center"/>
          </w:tcPr>
          <w:p>
            <w:pPr>
              <w:spacing w:before="20" w:after="20" w:line="240" w:lineRule="auto"/>
              <w:jc w:val="center"/>
            </w:pPr>
            <w:r>
              <w:rPr>
                <w:b/>
                <w:sz w:val="24"/>
                <w:szCs w:val="24"/>
              </w:rPr>
              <w:t xml:space="preserve">Direct Taxation</w:t>
            </w:r>
          </w:p>
        </w:tc>
        <w:tc>
          <w:tcPr>
            <w:tcW w:w="5777" w:type="dxa"/>
            <w:vAlign w:val="center"/>
          </w:tcPr>
          <w:p>
            <w:pPr>
              <w:spacing w:before="20" w:after="20" w:line="240" w:lineRule="auto"/>
              <w:jc w:val="left"/>
            </w:pPr>
            <w:r>
              <w:rPr>
                <w:sz w:val="24"/>
                <w:szCs w:val="24"/>
              </w:rPr>
              <w:t xml:space="preserve">Heads of income, Statement of Total Income, TDS provisions, Securities Transaction Tax and return filing</w:t>
            </w:r>
          </w:p>
        </w:tc>
      </w:tr>
      <w:tr>
        <w:trPr>
          <w:cantSplit/>
          <w:trHeight w:val="500" w:hRule="atLeast"/>
        </w:trPr>
        <w:tc>
          <w:tcPr>
            <w:tcW w:w="2888" w:type="dxa"/>
            <w:vAlign w:val="center"/>
          </w:tcPr>
          <w:p>
            <w:pPr>
              <w:spacing w:before="20" w:after="20" w:line="240" w:lineRule="auto"/>
              <w:jc w:val="center"/>
            </w:pPr>
            <w:r>
              <w:rPr>
                <w:b/>
                <w:sz w:val="24"/>
                <w:szCs w:val="24"/>
              </w:rPr>
              <w:t xml:space="preserve">Indirect Taxation (GST)</w:t>
            </w:r>
          </w:p>
        </w:tc>
        <w:tc>
          <w:tcPr>
            <w:tcW w:w="5777" w:type="dxa"/>
            <w:vAlign w:val="center"/>
          </w:tcPr>
          <w:p>
            <w:pPr>
              <w:spacing w:before="20" w:after="20" w:line="240" w:lineRule="auto"/>
              <w:jc w:val="left"/>
            </w:pPr>
            <w:r>
              <w:rPr>
                <w:sz w:val="24"/>
                <w:szCs w:val="24"/>
              </w:rPr>
              <w:t xml:space="preserve">GSTR-1, GSTR-2B and GSTR-3B filings and reconciliation of books with returns</w:t>
            </w:r>
          </w:p>
        </w:tc>
      </w:tr>
      <w:tr>
        <w:trPr>
          <w:cantSplit/>
          <w:trHeight w:val="500" w:hRule="atLeast"/>
        </w:trPr>
        <w:tc>
          <w:tcPr>
            <w:tcW w:w="2888" w:type="dxa"/>
            <w:vAlign w:val="center"/>
          </w:tcPr>
          <w:p>
            <w:pPr>
              <w:spacing w:before="20" w:after="20" w:line="240" w:lineRule="auto"/>
              <w:jc w:val="center"/>
            </w:pPr>
            <w:r>
              <w:rPr>
                <w:b/>
                <w:sz w:val="24"/>
                <w:szCs w:val="24"/>
              </w:rPr>
              <w:t xml:space="preserve">Auditing and Assurance</w:t>
            </w:r>
          </w:p>
        </w:tc>
        <w:tc>
          <w:tcPr>
            <w:tcW w:w="5777" w:type="dxa"/>
            <w:vAlign w:val="center"/>
          </w:tcPr>
          <w:p>
            <w:pPr>
              <w:spacing w:before="20" w:after="20" w:line="240" w:lineRule="auto"/>
              <w:jc w:val="left"/>
            </w:pPr>
            <w:r>
              <w:rPr>
                <w:sz w:val="24"/>
                <w:szCs w:val="24"/>
              </w:rPr>
              <w:t xml:space="preserve">Documentation for statutory audit assignments and verification of 26AS, AIS and TIS against the books</w:t>
            </w:r>
          </w:p>
        </w:tc>
      </w:tr>
      <w:tr>
        <w:trPr>
          <w:cantSplit/>
          <w:trHeight w:val="500" w:hRule="atLeast"/>
        </w:trPr>
        <w:tc>
          <w:tcPr>
            <w:tcW w:w="2888" w:type="dxa"/>
            <w:vAlign w:val="center"/>
          </w:tcPr>
          <w:p>
            <w:pPr>
              <w:spacing w:before="20" w:after="20" w:line="240" w:lineRule="auto"/>
              <w:jc w:val="center"/>
            </w:pPr>
            <w:r>
              <w:rPr>
                <w:b/>
                <w:sz w:val="24"/>
                <w:szCs w:val="24"/>
              </w:rPr>
              <w:t xml:space="preserve">Financial Reporting and Analysis</w:t>
            </w:r>
          </w:p>
        </w:tc>
        <w:tc>
          <w:tcPr>
            <w:tcW w:w="5777" w:type="dxa"/>
            <w:vAlign w:val="center"/>
          </w:tcPr>
          <w:p>
            <w:pPr>
              <w:spacing w:before="20" w:after="20" w:line="240" w:lineRule="auto"/>
              <w:jc w:val="left"/>
            </w:pPr>
            <w:r>
              <w:rPr>
                <w:sz w:val="24"/>
                <w:szCs w:val="24"/>
              </w:rPr>
              <w:t xml:space="preserve">Assistance in balance sheet preparation and interpretation of income and expenditure patterns</w:t>
            </w:r>
          </w:p>
        </w:tc>
      </w:tr>
      <w:tr>
        <w:trPr>
          <w:cantSplit/>
          <w:trHeight w:val="500" w:hRule="atLeast"/>
        </w:trPr>
        <w:tc>
          <w:tcPr>
            <w:tcW w:w="2888" w:type="dxa"/>
            <w:vAlign w:val="center"/>
          </w:tcPr>
          <w:p>
            <w:pPr>
              <w:spacing w:before="20" w:after="20" w:line="240" w:lineRule="auto"/>
              <w:jc w:val="center"/>
            </w:pPr>
            <w:r>
              <w:rPr>
                <w:b/>
                <w:sz w:val="24"/>
                <w:szCs w:val="24"/>
              </w:rPr>
              <w:t xml:space="preserve">Accounting Systems and ERP</w:t>
            </w:r>
          </w:p>
        </w:tc>
        <w:tc>
          <w:tcPr>
            <w:tcW w:w="5777" w:type="dxa"/>
            <w:vAlign w:val="center"/>
          </w:tcPr>
          <w:p>
            <w:pPr>
              <w:spacing w:before="20" w:after="20" w:line="240" w:lineRule="auto"/>
              <w:jc w:val="left"/>
            </w:pPr>
            <w:r>
              <w:rPr>
                <w:sz w:val="24"/>
                <w:szCs w:val="24"/>
              </w:rPr>
              <w:t xml:space="preserve">Practical work in Tally and Winman CA-ERP, including master data and ledger structure</w:t>
            </w:r>
          </w:p>
        </w:tc>
      </w:tr>
      <w:tr>
        <w:trPr>
          <w:cantSplit/>
          <w:trHeight w:val="500" w:hRule="atLeast"/>
        </w:trPr>
        <w:tc>
          <w:tcPr>
            <w:tcW w:w="2888" w:type="dxa"/>
            <w:vAlign w:val="center"/>
          </w:tcPr>
          <w:p>
            <w:pPr>
              <w:spacing w:before="20" w:after="20" w:line="240" w:lineRule="auto"/>
              <w:jc w:val="center"/>
            </w:pPr>
            <w:r>
              <w:rPr>
                <w:b/>
                <w:sz w:val="24"/>
                <w:szCs w:val="24"/>
              </w:rPr>
              <w:t xml:space="preserve">Business Communication</w:t>
            </w:r>
          </w:p>
        </w:tc>
        <w:tc>
          <w:tcPr>
            <w:tcW w:w="5777" w:type="dxa"/>
            <w:vAlign w:val="center"/>
          </w:tcPr>
          <w:p>
            <w:pPr>
              <w:spacing w:before="20" w:after="20" w:line="240" w:lineRule="auto"/>
              <w:jc w:val="left"/>
            </w:pPr>
            <w:r>
              <w:rPr>
                <w:sz w:val="24"/>
                <w:szCs w:val="24"/>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8"/>
          <w:szCs w:val="28"/>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8"/>
          <w:szCs w:val="28"/>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32"/>
          <w:szCs w:val="32"/>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8"/>
          <w:szCs w:val="28"/>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8"/>
          <w:szCs w:val="28"/>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8"/>
          <w:szCs w:val="28"/>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32"/>
          <w:szCs w:val="32"/>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4"/>
        <w:szCs w:val="24"/>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1</w:t>
    </w:r>
    <w:r>
      <w:tab/>
    </w:r>
    <w:r>
      <w:rPr>
        <w:b/>
        <w:sz w:val="24"/>
        <w:szCs w:val="24"/>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2</w:t>
    </w:r>
    <w:r>
      <w:tab/>
    </w:r>
    <w:r>
      <w:rPr>
        <w:b/>
        <w:sz w:val="24"/>
        <w:szCs w:val="24"/>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3</w:t>
    </w:r>
    <w:r>
      <w:tab/>
    </w:r>
    <w:r>
      <w:rPr>
        <w:b/>
        <w:sz w:val="24"/>
        <w:szCs w:val="24"/>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4</w:t>
    </w:r>
    <w:r>
      <w:tab/>
    </w:r>
    <w:r>
      <w:rPr>
        <w:b/>
        <w:sz w:val="24"/>
        <w:szCs w:val="24"/>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t xml:space="preserve">CHAPTER 5</w:t>
    </w:r>
    <w:r>
      <w:tab/>
    </w:r>
    <w:r>
      <w:rPr>
        <w:b/>
        <w:sz w:val="24"/>
        <w:szCs w:val="24"/>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4"/>
        <w:szCs w:val="24"/>
      </w:rPr>
    </w:r>
    <w:r>
      <w:tab/>
    </w:r>
    <w:r>
      <w:rPr>
        <w:b/>
        <w:sz w:val="24"/>
        <w:szCs w:val="24"/>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