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0"/>
      </w:pPr>
      <w:r>
        <w:t>MONETIZATION ONE-PAGER</w:t>
      </w:r>
    </w:p>
    <w:p>
      <w:pPr>
        <w:spacing w:before="0" w:after="20" w:line="240" w:lineRule="auto"/>
      </w:pPr>
      <w:r>
        <w:rPr>
          <w:rFonts w:ascii="Arial" w:hAnsi="Arial"/>
          <w:b/>
          <w:sz w:val="16"/>
        </w:rPr>
        <w:t>Nguyễn Khánh Linh</w:t>
      </w:r>
      <w:r>
        <w:rPr>
          <w:rFonts w:ascii="Arial" w:hAnsi="Arial"/>
          <w:sz w:val="16"/>
        </w:rPr>
        <w:t xml:space="preserve">  ·  AI invoice intake → MISA AMIS draft purchase voucher  ·  Prepared 07/10/2026</w:t>
      </w:r>
    </w:p>
    <w:p>
      <w:pPr>
        <w:spacing w:before="0" w:after="20" w:line="240" w:lineRule="auto"/>
      </w:pPr>
      <w:r>
        <w:rPr>
          <w:rFonts w:ascii="Arial" w:hAnsi="Arial"/>
          <w:color w:val="8B1E16"/>
          <w:sz w:val="16"/>
        </w:rPr>
        <w:t>Planning model: 70% containment and unit economics are estimates, not Eval/Pilot results. MISA has not been contacted.</w:t>
      </w:r>
    </w:p>
    <w:p>
      <w:pPr>
        <w:pStyle w:val="Heading1"/>
        <w:keepNext/>
      </w:pPr>
      <w:r>
        <w:t>1 · PRICING</w:t>
      </w:r>
    </w:p>
    <w:p>
      <w:pPr>
        <w:spacing w:before="0" w:after="20" w:line="240" w:lineRule="auto"/>
      </w:pPr>
      <w:r>
        <w:rPr>
          <w:rFonts w:ascii="Arial" w:hAnsi="Arial"/>
          <w:sz w:val="16"/>
        </w:rPr>
        <w:t>Positioning A (tool): “AI nhập hóa đơn vào MISA AMIS nhanh hơn.”  |  B (job): “Xử lý hóa đơn thành chứng từ mua hàng nháp đã đối chiếu, sẵn sàng ghi sổ.” Chọn B: ngân sách vận hành/kế toán; kế toán trưởng đề xuất, chủ DN/Giám đốc ký. Job = 1 hóa đơn hợp lệ thành chứng từ nháp đủ trường và đối chiếu, không cần sửa tay.</w:t>
      </w:r>
    </w:p>
    <w:p>
      <w:pPr>
        <w:spacing w:before="0" w:after="20" w:line="240" w:lineRule="auto"/>
      </w:pPr>
      <w:r>
        <w:rPr>
          <w:rFonts w:ascii="Arial" w:hAnsi="Arial"/>
          <w:sz w:val="16"/>
        </w:rPr>
        <w:t>Value Metric: Hybrid — $9/tháng/workspace cho workspace và lịch sử, + $1.05 cho mỗi hóa đơn hợp lệ đã chạy OCR+LLM. Phí tính cho xử lý, không cam kết tự động ghi sổ: ca cần người xử lý vẫn tính; hóa đơn trùng, lỗi hệ thống và retry không tính. Attribution 2/10; Autonomy 1/10; containment 70% chỉ là ước tính. Chấp nhận phí ca escalate cần kiểm chứng trong pilot.</w:t>
      </w:r>
    </w:p>
    <w:p>
      <w:pPr>
        <w:spacing w:before="0" w:after="20" w:line="240" w:lineRule="auto"/>
      </w:pPr>
      <w:r>
        <w:rPr>
          <w:rFonts w:ascii="Arial" w:hAnsi="Arial"/>
          <w:sz w:val="16"/>
        </w:rPr>
        <w:t xml:space="preserve">Benchmark (giá ghi nhận 07/10/2026): MISA meInvoice — ₫390.000/300 lượt + ₫500.000/năm; đối thủ trực tiếp. Dext Business — $25.21/tháng khi thanh toán năm, 250 docs, 5 users. Nguồn: </w:t>
      </w:r>
      <w:hyperlink r:id="rId9">
        <w:r>
          <w:rPr>
            <w:color w:val="0563C1"/>
            <w:u w:val="single"/>
            <w:sz w:val="16"/>
          </w:rPr>
          <w:t>MISA pricing</w:t>
        </w:r>
      </w:hyperlink>
      <w:r>
        <w:rPr>
          <w:sz w:val="16"/>
        </w:rPr>
        <w:t xml:space="preserve"> · </w:t>
      </w:r>
      <w:hyperlink r:id="rId10">
        <w:r>
          <w:rPr>
            <w:color w:val="0563C1"/>
            <w:u w:val="single"/>
            <w:sz w:val="16"/>
          </w:rPr>
          <w:t>Dext pricing</w:t>
        </w:r>
      </w:hyperlink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66"/>
        <w:gridCol w:w="3566"/>
        <w:gridCol w:w="3566"/>
      </w:tblGrid>
      <w:tr>
        <w:trPr>
          <w:tblHeader w:val="true"/>
        </w:trPr>
        <w:tc>
          <w:tcPr>
            <w:tcW w:type="dxa" w:w="2261"/>
            <w:shd w:fill="26364F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Chỉ số</w:t>
            </w:r>
          </w:p>
        </w:tc>
        <w:tc>
          <w:tcPr>
            <w:tcW w:type="dxa" w:w="2333"/>
            <w:shd w:fill="26364F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Kết quả</w:t>
            </w:r>
          </w:p>
        </w:tc>
        <w:tc>
          <w:tcPr>
            <w:tcW w:type="dxa" w:w="6106"/>
            <w:shd w:fill="26364F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Cơ sở / ô workbook</w:t>
            </w:r>
          </w:p>
        </w:tc>
      </w:tr>
      <w:tr>
        <w:tc>
          <w:tcPr>
            <w:tcW w:type="dxa" w:w="2261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1E2228"/>
                <w:sz w:val="15"/>
              </w:rPr>
              <w:t>Cost/Job hoàn thành (có overhead)</w:t>
            </w:r>
          </w:p>
        </w:tc>
        <w:tc>
          <w:tcPr>
            <w:tcW w:type="dxa" w:w="2333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1E2228"/>
                <w:sz w:val="15"/>
              </w:rPr>
              <w:t>$0.343 · ₫8,973</w:t>
            </w:r>
          </w:p>
        </w:tc>
        <w:tc>
          <w:tcPr>
            <w:tcW w:type="dxa" w:w="6106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1E2228"/>
                <w:sz w:val="15"/>
              </w:rPr>
              <w:t>$48.004 COGS ÷ 140 completed jobs · 1_Cost_Job!B63 ÷ B11 → B65; FX B66</w:t>
            </w:r>
          </w:p>
        </w:tc>
      </w:tr>
      <w:tr>
        <w:tc>
          <w:tcPr>
            <w:tcW w:type="dxa" w:w="2261"/>
            <w:vAlign w:val="center"/>
            <w:shd w:fill="F2F4F7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1E2228"/>
                <w:sz w:val="15"/>
              </w:rPr>
              <w:t>Giá sàn (3× Cost/Job)</w:t>
            </w:r>
          </w:p>
        </w:tc>
        <w:tc>
          <w:tcPr>
            <w:tcW w:type="dxa" w:w="2333"/>
            <w:vAlign w:val="center"/>
            <w:shd w:fill="F2F4F7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1E2228"/>
                <w:sz w:val="15"/>
              </w:rPr>
              <w:t>$1.029 / completed job</w:t>
            </w:r>
          </w:p>
        </w:tc>
        <w:tc>
          <w:tcPr>
            <w:tcW w:type="dxa" w:w="6106"/>
            <w:vAlign w:val="center"/>
            <w:shd w:fill="F2F4F7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1E2228"/>
                <w:sz w:val="15"/>
              </w:rPr>
              <w:t>2_Pricing!B7</w:t>
            </w:r>
          </w:p>
        </w:tc>
      </w:tr>
      <w:tr>
        <w:tc>
          <w:tcPr>
            <w:tcW w:type="dxa" w:w="2261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1E2228"/>
                <w:sz w:val="15"/>
              </w:rPr>
              <w:t>Giá đề xuất</w:t>
            </w:r>
          </w:p>
        </w:tc>
        <w:tc>
          <w:tcPr>
            <w:tcW w:type="dxa" w:w="2333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1E2228"/>
                <w:sz w:val="15"/>
              </w:rPr>
              <w:t>$1.05 / processed invoice + $9/mo</w:t>
            </w:r>
          </w:p>
        </w:tc>
        <w:tc>
          <w:tcPr>
            <w:tcW w:type="dxa" w:w="6106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1E2228"/>
                <w:sz w:val="15"/>
              </w:rPr>
              <w:t>2_Pricing!B19 + 4_Channel_Fit!B5</w:t>
            </w:r>
          </w:p>
        </w:tc>
      </w:tr>
      <w:tr>
        <w:tc>
          <w:tcPr>
            <w:tcW w:type="dxa" w:w="2261"/>
            <w:vAlign w:val="center"/>
            <w:shd w:fill="F2F4F7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1E2228"/>
                <w:sz w:val="15"/>
              </w:rPr>
              <w:t>Doanh thu hiệu dụng / completed job</w:t>
            </w:r>
          </w:p>
        </w:tc>
        <w:tc>
          <w:tcPr>
            <w:tcW w:type="dxa" w:w="2333"/>
            <w:vAlign w:val="center"/>
            <w:shd w:fill="F2F4F7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1E2228"/>
                <w:sz w:val="15"/>
              </w:rPr>
              <w:t>$1.564 · 4.56× Cost/Job</w:t>
            </w:r>
          </w:p>
        </w:tc>
        <w:tc>
          <w:tcPr>
            <w:tcW w:type="dxa" w:w="6106"/>
            <w:vAlign w:val="center"/>
            <w:shd w:fill="F2F4F7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1E2228"/>
                <w:sz w:val="15"/>
              </w:rPr>
              <w:t>$219 MRR ÷ 140 completed jobs: 4_Channel_Fit!B5 ÷ 1_Cost_Job!B11; 4.56× at 2_Pricing!B20</w:t>
            </w:r>
          </w:p>
        </w:tc>
      </w:tr>
      <w:tr>
        <w:tc>
          <w:tcPr>
            <w:tcW w:type="dxa" w:w="2261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1E2228"/>
                <w:sz w:val="15"/>
              </w:rPr>
              <w:t>GM blended · ARPU</w:t>
            </w:r>
          </w:p>
        </w:tc>
        <w:tc>
          <w:tcPr>
            <w:tcW w:type="dxa" w:w="2333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1E2228"/>
                <w:sz w:val="15"/>
              </w:rPr>
              <w:t>78.1% · $219/mo</w:t>
            </w:r>
          </w:p>
        </w:tc>
        <w:tc>
          <w:tcPr>
            <w:tcW w:type="dxa" w:w="6106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1E2228"/>
                <w:sz w:val="15"/>
              </w:rPr>
              <w:t>COGS $48.004/mo ÷ MRR $219 · 1_Cost_Job!B63; 4_Channel_Fit!B5; GM 2_Pricing!B21</w:t>
            </w:r>
          </w:p>
        </w:tc>
      </w:tr>
      <w:tr>
        <w:tc>
          <w:tcPr>
            <w:tcW w:type="dxa" w:w="2261"/>
            <w:vAlign w:val="center"/>
            <w:shd w:fill="F2F4F7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1E2228"/>
                <w:sz w:val="15"/>
              </w:rPr>
              <w:t>Containment threshold</w:t>
            </w:r>
          </w:p>
        </w:tc>
        <w:tc>
          <w:tcPr>
            <w:tcW w:type="dxa" w:w="2333"/>
            <w:vAlign w:val="center"/>
            <w:shd w:fill="F2F4F7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1E2228"/>
                <w:sz w:val="15"/>
              </w:rPr>
              <w:t>57.1%* · 70% est.</w:t>
            </w:r>
          </w:p>
        </w:tc>
        <w:tc>
          <w:tcPr>
            <w:tcW w:type="dxa" w:w="6106"/>
            <w:vAlign w:val="center"/>
            <w:shd w:fill="F2F4F7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1E2228"/>
                <w:sz w:val="15"/>
              </w:rPr>
              <w:t>*Outcome-only, no $9 base; 70% unverified · 2_Pricing!B33 / 1_Cost_Job!B10</w:t>
            </w:r>
          </w:p>
        </w:tc>
      </w:tr>
    </w:tbl>
    <w:p>
      <w:pPr>
        <w:spacing w:after="20" w:line="120" w:lineRule="auto"/>
      </w:pPr>
    </w:p>
    <w:p>
      <w:pPr>
        <w:spacing w:before="0" w:after="20" w:line="240" w:lineRule="auto"/>
      </w:pPr>
      <w:r>
        <w:rPr>
          <w:rFonts w:ascii="Arial" w:hAnsi="Arial"/>
          <w:sz w:val="15"/>
        </w:rPr>
        <w:t>Cost build: Variant A; customer handles escalations, our internal QA is included. API $1.30/mo + infra $6.60 + retry $0.10 + QA $10 + overhead $30 = $48.004/mo. Retry estimate covers LLM only; OCR/infra reruns are unverified, and $30 overhead is an allocation. Measure both in pilot. Inputs: 4k fresh + 500 output tokens/invoice, 8% retry, 20% QA × 5 phút × $3/h. Base excludes Batch; async LLM scenario is $0.00325/job, pending latency/SLA check.</w:t>
      </w:r>
    </w:p>
    <w:p>
      <w:pPr>
        <w:spacing w:before="0" w:after="20" w:line="240" w:lineRule="auto"/>
      </w:pPr>
      <w:r>
        <w:rPr>
          <w:rFonts w:ascii="Arial" w:hAnsi="Arial"/>
          <w:sz w:val="15"/>
        </w:rPr>
        <w:t>Pricing anchor: salary proxy $334.72/mo; 50–70% ÷ 200 invoices = $0.84–$1.17/invoice. $1.05 is a premium hypothesis, not measured savings. At 200 billable invoices, $219/month = $9 + 200 × $1.05; this is the customer break-even savings hurdle ($1.095/invoice), not proven savings. Hybrid GM falls below 50% if monthly COGS exceeds $109.50. API/source date: 07/10/2026; FX: VCB sell ₫26,170/USD.</w:t>
      </w:r>
    </w:p>
    <w:p>
      <w:pPr>
        <w:pStyle w:val="Heading1"/>
        <w:keepNext/>
      </w:pPr>
      <w:r>
        <w:t>2 · GO-TO-MARKET</w:t>
      </w:r>
    </w:p>
    <w:p>
      <w:pPr>
        <w:spacing w:before="0" w:after="20" w:line="240" w:lineRule="auto"/>
      </w:pPr>
      <w:r>
        <w:rPr>
          <w:rFonts w:ascii="Arial" w:hAnsi="Arial"/>
          <w:sz w:val="15"/>
        </w:rPr>
        <w:t>One 90-day channel hypothesis: Partner-Led — MISA JSC integration program; not contacted, partner access and API sandbox not secured. First test: request a named contact and written requirements within 2 weeks; if there is no path, revisit before the pilot. Value hypothesis: handle invoices outside meInvoice workflow; partner incentives and CAC are unverified. Sales-Led stress test: 0.152 deals/day, but proxy CAC $25,200–$44,800 vs $2,052 allowed makes it unviable; benchmarks are not Vietnam SMB actuals.</w:t>
      </w:r>
    </w:p>
    <w:p>
      <w:pPr>
        <w:spacing w:before="0" w:after="20" w:line="240" w:lineRule="auto"/>
      </w:pPr>
      <w:r>
        <w:rPr>
          <w:rFonts w:ascii="Arial" w:hAnsi="Arial"/>
          <w:sz w:val="15"/>
        </w:rPr>
        <w:t>Pain Moment (hypothesis): 16:00–18:00 in the last 5 working days of month; accountant checks supplier invoices before closing books, in MISA AMIS Kế toán → Mua hàng/chứng từ mua hàng. Target inputs: supplier email, manual upload, or other providers; meInvoice already auto-syncs its own supported flow. Embed: MISA AMIS Kế toán Doanh nghiệp Open API → create draft purchase voucher from validated fields; sandbox/access not secured.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66"/>
        <w:gridCol w:w="3566"/>
        <w:gridCol w:w="3566"/>
      </w:tblGrid>
      <w:tr>
        <w:trPr>
          <w:tblHeader w:val="true"/>
        </w:trPr>
        <w:tc>
          <w:tcPr>
            <w:tcW w:type="dxa" w:w="3528"/>
            <w:shd w:fill="26364F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Tháng 1 — Học</w:t>
            </w:r>
          </w:p>
        </w:tc>
        <w:tc>
          <w:tcPr>
            <w:tcW w:type="dxa" w:w="3600"/>
            <w:shd w:fill="26364F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Tháng 2–3 — Pilot</w:t>
            </w:r>
          </w:p>
        </w:tc>
        <w:tc>
          <w:tcPr>
            <w:tcW w:type="dxa" w:w="3571"/>
            <w:shd w:fill="26364F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Tháng 4+ — Mở rộng</w:t>
            </w:r>
          </w:p>
        </w:tc>
      </w:tr>
      <w:tr>
        <w:tc>
          <w:tcPr>
            <w:tcW w:type="dxa" w:w="3528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1E2228"/>
                <w:sz w:val="15"/>
              </w:rPr>
              <w:t>5 interviews; 2 written pilot commitments; 100-invoice eval set; record baseline minutes/invoice.</w:t>
            </w:r>
          </w:p>
        </w:tc>
        <w:tc>
          <w:tcPr>
            <w:tcW w:type="dxa" w:w="3600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1E2228"/>
                <w:sz w:val="15"/>
              </w:rPr>
              <w:t>3 SMB × 200 invoices; measure verified containment ≥70%, critical-field exactness ≥98%, GM ≥60%, price accepted by ≥2/3.</w:t>
            </w:r>
          </w:p>
        </w:tc>
        <w:tc>
          <w:tcPr>
            <w:tcW w:type="dxa" w:w="3571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1E2228"/>
                <w:sz w:val="15"/>
              </w:rPr>
              <w:t>Target 10 paying SMBs by month 6 only after integration, quality, margin and price gates pass.</w:t>
            </w:r>
          </w:p>
        </w:tc>
      </w:tr>
    </w:tbl>
    <w:p>
      <w:pPr>
        <w:spacing w:after="20" w:line="120" w:lineRule="auto"/>
      </w:pPr>
    </w:p>
    <w:p>
      <w:pPr>
        <w:spacing w:before="0" w:after="20" w:line="240" w:lineRule="auto"/>
      </w:pPr>
      <w:r>
        <w:rPr>
          <w:rFonts w:ascii="Arial" w:hAnsi="Arial"/>
          <w:sz w:val="15"/>
        </w:rPr>
        <w:t>Owner all phases: Khanh Linh (Product/GTM). Fast falsification: within 2 weeks, request named MISA partner/API contact and written requirements; no owner/path → reconsider Partner-Led.</w:t>
      </w:r>
    </w:p>
    <w:p>
      <w:pPr>
        <w:pStyle w:val="Heading1"/>
        <w:keepNext/>
      </w:pPr>
      <w:r>
        <w:t>3 · EVIDENCE PACK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66"/>
        <w:gridCol w:w="3566"/>
        <w:gridCol w:w="3566"/>
      </w:tblGrid>
      <w:tr>
        <w:trPr>
          <w:tblHeader w:val="true"/>
        </w:trPr>
        <w:tc>
          <w:tcPr>
            <w:tcW w:type="dxa" w:w="1699"/>
            <w:shd w:fill="26364F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Asset</w:t>
            </w:r>
          </w:p>
        </w:tc>
        <w:tc>
          <w:tcPr>
            <w:tcW w:type="dxa" w:w="6552"/>
            <w:shd w:fill="26364F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Status and next evidence</w:t>
            </w:r>
          </w:p>
        </w:tc>
        <w:tc>
          <w:tcPr>
            <w:tcW w:type="dxa" w:w="2448"/>
            <w:shd w:fill="26364F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Owner · deadline</w:t>
            </w:r>
          </w:p>
        </w:tc>
      </w:tr>
      <w:tr>
        <w:tc>
          <w:tcPr>
            <w:tcW w:type="dxa" w:w="1699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1E2228"/>
                <w:sz w:val="14"/>
              </w:rPr>
              <w:t>Eval Results</w:t>
            </w:r>
          </w:p>
        </w:tc>
        <w:tc>
          <w:tcPr>
            <w:tcW w:type="dxa" w:w="6552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1E2228"/>
                <w:sz w:val="14"/>
              </w:rPr>
              <w:t>Not run. Need product/API + 100 anonymized invoices and gold labels; report exactness, verified completion, false accepts, retry and QA.</w:t>
            </w:r>
          </w:p>
        </w:tc>
        <w:tc>
          <w:tcPr>
            <w:tcW w:type="dxa" w:w="2448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1E2228"/>
                <w:sz w:val="14"/>
              </w:rPr>
              <w:t>Khanh Linh · 09/11/2026</w:t>
            </w:r>
          </w:p>
        </w:tc>
      </w:tr>
      <w:tr>
        <w:tc>
          <w:tcPr>
            <w:tcW w:type="dxa" w:w="1699"/>
            <w:vAlign w:val="center"/>
            <w:shd w:fill="F2F4F7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1E2228"/>
                <w:sz w:val="14"/>
              </w:rPr>
              <w:t>Procurement Q&amp;A</w:t>
            </w:r>
          </w:p>
        </w:tc>
        <w:tc>
          <w:tcPr>
            <w:tcW w:type="dxa" w:w="6552"/>
            <w:vAlign w:val="center"/>
            <w:shd w:fill="F2F4F7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1E2228"/>
                <w:sz w:val="14"/>
              </w:rPr>
              <w:t>Draft: draft-only, field/total/VAT checks and escalation; no Eval proof. If direct Anthropic API: no training by default, standard API retention up to 30 days; actual provider/config unverified. Startup exit export/delete plan not designed.</w:t>
            </w:r>
          </w:p>
        </w:tc>
        <w:tc>
          <w:tcPr>
            <w:tcW w:type="dxa" w:w="2448"/>
            <w:vAlign w:val="center"/>
            <w:shd w:fill="F2F4F7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1E2228"/>
                <w:sz w:val="14"/>
              </w:rPr>
              <w:t>Khanh Linh · 09/11/2026</w:t>
            </w:r>
          </w:p>
        </w:tc>
      </w:tr>
      <w:tr>
        <w:tc>
          <w:tcPr>
            <w:tcW w:type="dxa" w:w="1699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1E2228"/>
                <w:sz w:val="14"/>
              </w:rPr>
              <w:t>Pilot Report</w:t>
            </w:r>
          </w:p>
        </w:tc>
        <w:tc>
          <w:tcPr>
            <w:tcW w:type="dxa" w:w="6552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1E2228"/>
                <w:sz w:val="14"/>
              </w:rPr>
              <w:t>0 pilots. After 3 SMB × 200 invoices over 4 weeks, report corrections, time saved, HITL/retry/infra cost and willingness-to-pay.</w:t>
            </w:r>
          </w:p>
        </w:tc>
        <w:tc>
          <w:tcPr>
            <w:tcW w:type="dxa" w:w="2448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1E2228"/>
                <w:sz w:val="14"/>
              </w:rPr>
              <w:t>Khanh Linh · 15/12/2026</w:t>
            </w:r>
          </w:p>
        </w:tc>
      </w:tr>
    </w:tbl>
    <w:p>
      <w:pPr>
        <w:spacing w:after="20" w:line="120" w:lineRule="auto"/>
      </w:pPr>
    </w:p>
    <w:p>
      <w:pPr>
        <w:spacing w:before="0" w:after="20" w:line="240" w:lineRule="auto"/>
      </w:pPr>
      <w:r>
        <w:rPr>
          <w:rFonts w:ascii="Arial" w:hAnsi="Arial"/>
          <w:sz w:val="14"/>
        </w:rPr>
        <w:t xml:space="preserve">Q&amp;A sources: Anthropic data/retention policy · Vietnam Personal Data Protection Law 91/2025. Integration evidence: </w:t>
      </w:r>
      <w:hyperlink r:id="rId11">
        <w:r>
          <w:rPr>
            <w:color w:val="0563C1"/>
            <w:u w:val="single"/>
            <w:sz w:val="14.4"/>
          </w:rPr>
          <w:t>MISA Developer Portal</w:t>
        </w:r>
      </w:hyperlink>
      <w:r>
        <w:rPr>
          <w:sz w:val="14"/>
        </w:rPr>
        <w:t xml:space="preserve"> · </w:t>
      </w:r>
      <w:hyperlink r:id="rId12">
        <w:r>
          <w:rPr>
            <w:color w:val="0563C1"/>
            <w:u w:val="single"/>
            <w:sz w:val="14.4"/>
          </w:rPr>
          <w:t>meInvoice → AMIS auto-sync help</w:t>
        </w:r>
      </w:hyperlink>
    </w:p>
    <w:p>
      <w:pPr>
        <w:spacing w:before="0" w:after="20" w:line="240" w:lineRule="auto"/>
      </w:pPr>
      <w:r>
        <w:rPr>
          <w:rFonts w:ascii="Arial" w:hAnsi="Arial"/>
          <w:sz w:val="15"/>
        </w:rPr>
        <w:t>Stranger Test: not run with an independent reader; follow up after a 2-minute read and record answers to the three checklist questions plus the actual number of questions asked (target ≤3).</w:t>
      </w:r>
    </w:p>
    <w:sectPr w:rsidR="00FC693F" w:rsidRPr="0006063C" w:rsidSect="00034616">
      <w:pgSz w:w="11909" w:h="16834"/>
      <w:pgMar w:top="461" w:right="605" w:bottom="461" w:left="60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20" w:line="240" w:lineRule="auto"/>
    </w:pPr>
    <w:rPr>
      <w:rFonts w:ascii="Arial" w:hAnsi="Arial" w:eastAsia="Arial"/>
      <w:color w:val="1C2026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4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4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1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40" w:line="240" w:lineRule="auto" w:before="80"/>
      <w:contextualSpacing/>
    </w:pPr>
    <w:rPr>
      <w:rFonts w:asciiTheme="majorHAnsi" w:eastAsiaTheme="majorEastAsia" w:hAnsiTheme="majorHAnsi" w:cstheme="majorBidi" w:ascii="Arial" w:hAnsi="Arial" w:eastAsia="Arial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tore.misa.vn/v3/quote?lang=vi&amp;pid=424" TargetMode="External"/><Relationship Id="rId10" Type="http://schemas.openxmlformats.org/officeDocument/2006/relationships/hyperlink" Target="https://dext.com/en/business/pricing" TargetMode="External"/><Relationship Id="rId11" Type="http://schemas.openxmlformats.org/officeDocument/2006/relationships/hyperlink" Target="https://developer.misa.vn/" TargetMode="External"/><Relationship Id="rId12" Type="http://schemas.openxmlformats.org/officeDocument/2006/relationships/hyperlink" Target="https://helpv4.meinvoice.vn/kb/inbot-dong-bo-hoa-don-len-phan-mem-ke-toa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Day 22 Monetization One-Pager</dc:title>
  <dc:subject>Pricing, GTM, and Evidence Pack; operating estimates explicitly marked</dc:subject>
  <dc:creator>Nguyễn Khánh Linh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