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EVATRACK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Streamlined Evacuation Processes and Coordination Platform Integrating SafeTrack Demographics and ResQperation Response Support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Proponents: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Klint M. Ruales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Danica Gelbolingo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Anna Rhea Villadolid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Vhenz Cernal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MUST-HAVES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System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Retrieves household demographic data from SafeTrack for identification and verification during evacuation; this data is not visible to households and is used only for verification purposes. </w:t>
        <w:tab/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Vhenz Cernal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Tracks household evacuation status as Evacuated or Not Evacuated.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Vhenz Cernal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Automatically updates evacuation center capacity when a household is verified at that center.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           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Vhenz Cernal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Computes evacuation analytics from demographic data captured through personnel updates, including age distribution (children, adults, elderly), pregnant women count, PWD count, gender distribution, and total affected population.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Klint M. Ruales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Routes alerts and assistance requests to households and to ResQperation.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Anna Rhea Villadolid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Evacuation Personnel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Log in (evacuation personnel role).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Anna Rhea Villadolid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Verify evacuated households on arrival at evacuation centers, via QR code scanning or manual household input if the QR code is unavailable.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Klint Ruales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Update household information post-verification: assign rooms (where available), monitor household stay within the center, and update evacuation status.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Danica Gelbolingo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Report in-center needs, including shortages of essential resources and requests for additional response personnel.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Anna Rhea Villadolid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Request resources and personnel assistance from ResQperation.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Anna Rhea Villadolid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Evacuation Admin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Log in (evacuation admin role).</w:t>
      </w:r>
    </w:p>
    <w:p w:rsidR="00000000" w:rsidDel="00000000" w:rsidP="00000000" w:rsidRDefault="00000000" w:rsidRPr="00000000" w14:paraId="00000022">
      <w:pPr>
        <w:ind w:firstLine="72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Anna Rhea Villadolid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Create and configure evacuation centers.</w:t>
      </w:r>
    </w:p>
    <w:p w:rsidR="00000000" w:rsidDel="00000000" w:rsidP="00000000" w:rsidRDefault="00000000" w:rsidRPr="00000000" w14:paraId="00000024">
      <w:pPr>
        <w:ind w:firstLine="72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Vhenz Cernal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Create and configure rooms within an evacuation center.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Danica Gelbolingo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Monitor ongoing evacuations across centers, including status, occupancy, and personnel activity.</w:t>
        <w:br w:type="textWrapping"/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Klint Ruales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Monitor ongoing requests per evacuation centers.</w:t>
      </w:r>
    </w:p>
    <w:p w:rsidR="00000000" w:rsidDel="00000000" w:rsidP="00000000" w:rsidRDefault="00000000" w:rsidRPr="00000000" w14:paraId="00000029">
      <w:pPr>
        <w:ind w:firstLine="72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Anna Rhea Villadolid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Send evacuation alerts to households — SMS for those without internet access, push notification via ResQperation for those with the app.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Klint Ruales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Assign personnel, edit household/room records, check evacuation statuses.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Danica Gelbolingo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Super Admin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Log in (super admin role).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Anna Rhea Villadolid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Generate and retrieve system-wide reports (e.g., evacuation analytics, center-level and system-wide summaries).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Klint Ruales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Full oversight of all system operations across all centers and roles.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Hold override access to all Evacuation Admin and Evacuation Personnel actions, for emergency intervention or troubleshooting rather than routine use.</w:t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Klint Ruales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Households/Residents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(secondary — no direct system access)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Receive evacuation alerts via SMS or ResQperation push notification.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Klint Ruales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Are verified by QR or manual and tracked by evacuation personnel rather than acting on the system themselves.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] : Klint Ruales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PROJECT ADVISOR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Mr. Stefan A.D. Flores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PROJECT COORDINATOR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Mr. Roderick A. Bandalan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PANEL CHAIR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Mr. Eric Magto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PANELIST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Ms. Khiara Danielle Rubia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17"/>
        <w:szCs w:val="17"/>
        <w:lang w:val="en-HK"/>
      </w:rPr>
    </w:rPrDefault>
    <w:pPrDefault>
      <w:pPr>
        <w:widowControl w:val="0"/>
        <w:spacing w:after="16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400" w:line="24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b01513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4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b01513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300" w:lineRule="auto"/>
      <w:ind w:left="0" w:right="0" w:firstLine="0"/>
      <w:jc w:val="left"/>
    </w:pPr>
    <w:rPr>
      <w:rFonts w:ascii="Century Gothic" w:cs="Century Gothic" w:eastAsia="Century Gothic" w:hAnsi="Century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30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300" w:lineRule="auto"/>
      <w:ind w:left="0" w:right="0" w:firstLine="0"/>
      <w:jc w:val="left"/>
    </w:pPr>
    <w:rPr>
      <w:rFonts w:ascii="Century Gothic" w:cs="Century Gothic" w:eastAsia="Century Gothic" w:hAnsi="Century Gothic"/>
      <w:b w:val="1"/>
      <w:bCs w:val="1"/>
      <w:i w:val="1"/>
      <w:iCs w:val="1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bCs w:val="1"/>
      <w:i w:val="0"/>
      <w:iCs w:val="0"/>
      <w:smallCaps w:val="0"/>
      <w:strike w:val="0"/>
      <w:color w:val="b01513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30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zBN5VqSQOkka6UeHNOj45qz7yw==">CgMxLjA4AHIhMVBzYnBnYXlIOUhscHg5UmVvRUFOaC04RkNBQUtJTDlt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