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DUOC UC</w:t>
        <w:br/>
      </w:r>
      <w:r>
        <w:rPr>
          <w:sz w:val="24"/>
        </w:rPr>
        <w:t>Ingeniería en Informática – Sede Viña del Mar</w:t>
      </w:r>
    </w:p>
    <w:p/>
    <w:p>
      <w:pPr>
        <w:jc w:val="center"/>
      </w:pPr>
      <w:r>
        <w:rPr>
          <w:b/>
          <w:sz w:val="44"/>
        </w:rPr>
        <w:t>INFORME TÉCNICO</w:t>
        <w:br/>
        <w:t>DEFINICIÓN PROYECTO APT</w:t>
      </w:r>
    </w:p>
    <w:p>
      <w:pPr>
        <w:jc w:val="center"/>
      </w:pPr>
      <w:r>
        <w:rPr>
          <w:b/>
          <w:sz w:val="56"/>
        </w:rPr>
        <w:t>KlinyShield</w:t>
      </w:r>
    </w:p>
    <w:p>
      <w:pPr>
        <w:jc w:val="center"/>
      </w:pPr>
      <w:r>
        <w:rPr>
          <w:i/>
        </w:rPr>
        <w:t>Plataforma SaaS multi-tenant de gestión clínica y recepción inteligente asistida por IA</w:t>
      </w:r>
    </w:p>
    <w:p/>
    <w:tbl>
      <w:tblPr>
        <w:tblStyle w:val="TableGrid"/>
        <w:tblW w:type="auto" w:w="0"/>
        <w:jc w:val="center"/>
        <w:tblLook w:firstColumn="1" w:firstRow="1" w:lastColumn="0" w:lastRow="0" w:noHBand="0" w:noVBand="1" w:val="04A0"/>
      </w:tblPr>
      <w:tblGrid>
        <w:gridCol w:w="4703"/>
        <w:gridCol w:w="4703"/>
      </w:tblGrid>
      <w:tr>
        <w:trPr>
          <w:cantSplit/>
        </w:trPr>
        <w:tc>
          <w:tcPr>
            <w:tcW w:type="dxa" w:w="4703"/>
            <w:shd w:fill="D9EAF7"/>
            <w:vAlign w:val="center"/>
          </w:tcPr>
          <w:p>
            <w:r>
              <w:rPr>
                <w:rFonts w:ascii="Calibri" w:hAnsi="Calibri"/>
                <w:b/>
                <w:sz w:val="20"/>
              </w:rPr>
              <w:t>Asignatura</w:t>
            </w:r>
          </w:p>
        </w:tc>
        <w:tc>
          <w:tcPr>
            <w:tcW w:type="dxa" w:w="4703"/>
            <w:vAlign w:val="center"/>
          </w:tcPr>
          <w:p>
            <w:r>
              <w:rPr>
                <w:rFonts w:ascii="Calibri" w:hAnsi="Calibri"/>
                <w:sz w:val="20"/>
              </w:rPr>
              <w:t>Capstone (PTY4614)</w:t>
            </w:r>
          </w:p>
        </w:tc>
      </w:tr>
      <w:tr>
        <w:trPr>
          <w:cantSplit/>
        </w:trPr>
        <w:tc>
          <w:tcPr>
            <w:tcW w:type="dxa" w:w="4703"/>
            <w:shd w:fill="D9EAF7"/>
            <w:vAlign w:val="center"/>
          </w:tcPr>
          <w:p>
            <w:r>
              <w:rPr>
                <w:rFonts w:ascii="Calibri" w:hAnsi="Calibri"/>
                <w:b/>
                <w:sz w:val="20"/>
              </w:rPr>
              <w:t>Integrantes</w:t>
            </w:r>
          </w:p>
        </w:tc>
        <w:tc>
          <w:tcPr>
            <w:tcW w:type="dxa" w:w="4703"/>
            <w:vAlign w:val="center"/>
          </w:tcPr>
          <w:p>
            <w:r>
              <w:rPr>
                <w:rFonts w:ascii="Calibri" w:hAnsi="Calibri"/>
                <w:sz w:val="20"/>
              </w:rPr>
              <w:t>Felipe Urbina</w:t>
              <w:br/>
              <w:t>Maximiliano Duran</w:t>
              <w:br/>
              <w:t>Vicente Solorza</w:t>
            </w:r>
          </w:p>
        </w:tc>
      </w:tr>
      <w:tr>
        <w:trPr>
          <w:cantSplit/>
        </w:trPr>
        <w:tc>
          <w:tcPr>
            <w:tcW w:type="dxa" w:w="4703"/>
            <w:shd w:fill="D9EAF7"/>
            <w:vAlign w:val="center"/>
          </w:tcPr>
          <w:p>
            <w:r>
              <w:rPr>
                <w:rFonts w:ascii="Calibri" w:hAnsi="Calibri"/>
                <w:b/>
                <w:sz w:val="20"/>
              </w:rPr>
              <w:t>Carrera</w:t>
            </w:r>
          </w:p>
        </w:tc>
        <w:tc>
          <w:tcPr>
            <w:tcW w:type="dxa" w:w="4703"/>
            <w:vAlign w:val="center"/>
          </w:tcPr>
          <w:p>
            <w:r>
              <w:rPr>
                <w:rFonts w:ascii="Calibri" w:hAnsi="Calibri"/>
                <w:sz w:val="20"/>
              </w:rPr>
              <w:t>Ingeniería en Informática</w:t>
            </w:r>
          </w:p>
        </w:tc>
      </w:tr>
      <w:tr>
        <w:trPr>
          <w:cantSplit/>
        </w:trPr>
        <w:tc>
          <w:tcPr>
            <w:tcW w:type="dxa" w:w="4703"/>
            <w:shd w:fill="D9EAF7"/>
            <w:vAlign w:val="center"/>
          </w:tcPr>
          <w:p>
            <w:r>
              <w:rPr>
                <w:rFonts w:ascii="Calibri" w:hAnsi="Calibri"/>
                <w:b/>
                <w:sz w:val="20"/>
              </w:rPr>
              <w:t>Sede</w:t>
            </w:r>
          </w:p>
        </w:tc>
        <w:tc>
          <w:tcPr>
            <w:tcW w:type="dxa" w:w="4703"/>
            <w:vAlign w:val="center"/>
          </w:tcPr>
          <w:p>
            <w:r>
              <w:rPr>
                <w:rFonts w:ascii="Calibri" w:hAnsi="Calibri"/>
                <w:sz w:val="20"/>
              </w:rPr>
              <w:t>Viña del Mar</w:t>
            </w:r>
          </w:p>
        </w:tc>
      </w:tr>
      <w:tr>
        <w:trPr>
          <w:cantSplit/>
        </w:trPr>
        <w:tc>
          <w:tcPr>
            <w:tcW w:type="dxa" w:w="4703"/>
            <w:shd w:fill="D9EAF7"/>
            <w:vAlign w:val="center"/>
          </w:tcPr>
          <w:p>
            <w:r>
              <w:rPr>
                <w:rFonts w:ascii="Calibri" w:hAnsi="Calibri"/>
                <w:b/>
                <w:sz w:val="20"/>
              </w:rPr>
              <w:t>Fase</w:t>
            </w:r>
          </w:p>
        </w:tc>
        <w:tc>
          <w:tcPr>
            <w:tcW w:type="dxa" w:w="4703"/>
            <w:vAlign w:val="center"/>
          </w:tcPr>
          <w:p>
            <w:r>
              <w:rPr>
                <w:rFonts w:ascii="Calibri" w:hAnsi="Calibri"/>
                <w:sz w:val="20"/>
              </w:rPr>
              <w:t>Fase 1 – Definición Proyecto APT</w:t>
            </w:r>
          </w:p>
        </w:tc>
      </w:tr>
    </w:tbl>
    <w:p/>
    <w:p>
      <w:pPr>
        <w:jc w:val="center"/>
      </w:pPr>
      <w:r>
        <w:t>Septiembre de 2026</w:t>
      </w:r>
    </w:p>
    <w:p>
      <w:r>
        <w:br w:type="page"/>
      </w:r>
    </w:p>
    <w:p>
      <w:pPr>
        <w:pStyle w:val="Heading1"/>
        <w:keepNext/>
      </w:pPr>
      <w:r>
        <w:t>Índice</w:t>
      </w:r>
    </w:p>
    <w:p>
      <w:pPr>
        <w:ind w:left="170"/>
      </w:pPr>
      <w:r>
        <w:t>Abstract</w:t>
      </w:r>
      <w:r>
        <w:rPr>
          <w:sz w:val="16"/>
        </w:rPr>
        <w:t>..............................................................</w:t>
      </w:r>
      <w:r>
        <w:t>3</w:t>
      </w:r>
    </w:p>
    <w:p>
      <w:pPr>
        <w:ind w:left="170"/>
      </w:pPr>
      <w:r>
        <w:t>Resumen</w:t>
      </w:r>
      <w:r>
        <w:rPr>
          <w:sz w:val="16"/>
        </w:rPr>
        <w:t>...............................................................</w:t>
      </w:r>
      <w:r>
        <w:t>3</w:t>
      </w:r>
    </w:p>
    <w:p>
      <w:pPr>
        <w:ind w:left="170"/>
      </w:pPr>
      <w:r>
        <w:t>1. Desarrollo de ingeniería</w:t>
      </w:r>
      <w:r>
        <w:rPr>
          <w:sz w:val="16"/>
        </w:rPr>
        <w:t>...........................................</w:t>
      </w:r>
      <w:r>
        <w:t>4</w:t>
      </w:r>
    </w:p>
    <w:p>
      <w:pPr>
        <w:ind w:left="170"/>
      </w:pPr>
      <w:r>
        <w:t>1.1 Descripción y relevancia del Proyecto APT</w:t>
      </w:r>
      <w:r>
        <w:rPr>
          <w:sz w:val="16"/>
        </w:rPr>
        <w:t>.........................</w:t>
      </w:r>
      <w:r>
        <w:t>4</w:t>
      </w:r>
    </w:p>
    <w:p>
      <w:pPr>
        <w:ind w:left="170"/>
      </w:pPr>
      <w:r>
        <w:t>1.2 Relación con las competencias del perfil de egreso</w:t>
      </w:r>
      <w:r>
        <w:rPr>
          <w:sz w:val="16"/>
        </w:rPr>
        <w:t>................</w:t>
      </w:r>
      <w:r>
        <w:t>5</w:t>
      </w:r>
    </w:p>
    <w:p>
      <w:pPr>
        <w:ind w:left="170"/>
      </w:pPr>
      <w:r>
        <w:t>1.3 Relación con los intereses profesionales</w:t>
      </w:r>
      <w:r>
        <w:rPr>
          <w:sz w:val="16"/>
        </w:rPr>
        <w:t>..........................</w:t>
      </w:r>
      <w:r>
        <w:t>6</w:t>
      </w:r>
    </w:p>
    <w:p>
      <w:pPr>
        <w:ind w:left="170"/>
      </w:pPr>
      <w:r>
        <w:t>1.4 Factibilidad del proyecto</w:t>
      </w:r>
      <w:r>
        <w:rPr>
          <w:sz w:val="16"/>
        </w:rPr>
        <w:t>.........................................</w:t>
      </w:r>
      <w:r>
        <w:t>6</w:t>
      </w:r>
    </w:p>
    <w:p>
      <w:pPr>
        <w:ind w:left="170"/>
      </w:pPr>
      <w:r>
        <w:t>1.5 Indicadores de calidad disciplinarios</w:t>
      </w:r>
      <w:r>
        <w:rPr>
          <w:sz w:val="16"/>
        </w:rPr>
        <w:t>.............................</w:t>
      </w:r>
      <w:r>
        <w:t>7</w:t>
      </w:r>
    </w:p>
    <w:p>
      <w:pPr>
        <w:ind w:left="170"/>
      </w:pPr>
      <w:r>
        <w:t>2. Conclusiones individuales</w:t>
      </w:r>
      <w:r>
        <w:rPr>
          <w:sz w:val="16"/>
        </w:rPr>
        <w:t>..........................................</w:t>
      </w:r>
      <w:r>
        <w:t>8</w:t>
      </w:r>
    </w:p>
    <w:p>
      <w:pPr>
        <w:ind w:left="170"/>
      </w:pPr>
      <w:r>
        <w:t>3. Reflection</w:t>
      </w:r>
      <w:r>
        <w:rPr>
          <w:sz w:val="16"/>
        </w:rPr>
        <w:t>.........................................................</w:t>
      </w:r>
      <w:r>
        <w:t>9</w:t>
      </w:r>
    </w:p>
    <w:p>
      <w:pPr>
        <w:ind w:left="170"/>
      </w:pPr>
      <w:r>
        <w:t>4. Fuentes</w:t>
      </w:r>
      <w:r>
        <w:rPr>
          <w:sz w:val="16"/>
        </w:rPr>
        <w:t>............................................................</w:t>
      </w:r>
      <w:r>
        <w:t>9</w:t>
      </w:r>
    </w:p>
    <w:p>
      <w:r>
        <w:br w:type="page"/>
      </w:r>
    </w:p>
    <w:p>
      <w:pPr>
        <w:pStyle w:val="Heading1"/>
        <w:keepNext/>
      </w:pPr>
      <w:r>
        <w:t>Abstract</w:t>
      </w:r>
    </w:p>
    <w:p>
      <w:r>
        <w:rPr>
          <w:b/>
        </w:rPr>
        <w:t xml:space="preserve">KlinyShield </w:t>
      </w:r>
      <w:r>
        <w:t>is a multi-tenant Software as a Service (SaaS) platform conceived for independent healthcare professionals in Chile. The project addresses two related problems: the operational burden created by manual appointment management and the exposure of sensitive clinical information through informal tools such as personal WhatsApp chats and spreadsheets. The proposed solution integrates an AI-assisted WhatsApp reception module, a zero-friction patient portal using temporary access mechanisms, and an encrypted clinical-record and attachment vault. The architecture combines web development, cloud services, relational data management, cybersecurity controls and external APIs. The project will be managed with Kanban and incremental releases, enabling continuous validation of functionality, security and integration throughout the academic semester. Its relevance lies in applying core competencies of the Computer Engineering graduate profile to a realistic professional scenario involving software development, data protection, system integration, project management and emerging technologies.</w:t>
      </w:r>
    </w:p>
    <w:p>
      <w:pPr>
        <w:pStyle w:val="Heading1"/>
        <w:keepNext/>
      </w:pPr>
      <w:r>
        <w:t>Resumen</w:t>
      </w:r>
    </w:p>
    <w:p>
      <w:r>
        <w:rPr>
          <w:b/>
        </w:rPr>
        <w:t xml:space="preserve">KlinyShield </w:t>
      </w:r>
      <w:r>
        <w:t>es una plataforma SaaS multi-tenant orientada a profesionales independientes de la salud en Chile. El proyecto busca responder a dos problemas vinculados: la carga operativa derivada de la gestión manual de citas y la exposición de información clínica sensible mediante herramientas informales como chats personales de WhatsApp y planillas de cálculo. La solución propuesta integra una recepción inteligente mediante WhatsApp e Inteligencia Artificial, un Portal del Paciente con mecanismos de acceso temporal y una Bóveda de Fichas y Anexos Clínicos con cifrado en reposo y aislamiento lógico entre profesionales. La arquitectura combina desarrollo web, servicios cloud, gestión de datos relacionales, controles de ciberseguridad e integración con APIs externas. El trabajo será gestionado mediante Kanban y releases incrementales, permitiendo validar funcionalidad, seguridad e integración durante el semestre académico. Su relevancia radica en movilizar competencias centrales del perfil de egreso de Ingeniería en Informática dentro de una situación profesional realista.</w:t>
      </w:r>
    </w:p>
    <w:p>
      <w:r>
        <w:br w:type="page"/>
      </w:r>
    </w:p>
    <w:p>
      <w:pPr>
        <w:pStyle w:val="Heading1"/>
        <w:keepNext/>
      </w:pPr>
      <w:r>
        <w:t>1. Desarrollo de ingeniería</w:t>
      </w:r>
    </w:p>
    <w:p>
      <w:pPr>
        <w:pStyle w:val="Heading2"/>
        <w:keepNext/>
      </w:pPr>
      <w:r>
        <w:t>1.1 Descripción y relevancia del Proyecto APT</w:t>
      </w:r>
    </w:p>
    <w:p>
      <w:r>
        <w:t>KlinyShield consiste en el diseño y desarrollo de una plataforma SaaS multi-tenant para la gestión clínica y la recepción inteligente de profesionales independientes de la salud, tales como kinesiólogos, psicólogos, fonoaudiólogos y terapeutas. El proyecto surge frente a la alta carga administrativa manual y la fragmentación de información que se produce cuando procesos como el agendamiento, la comunicación con pacientes y el almacenamiento de antecedentes clínicos se gestionan mediante herramientas informales.</w:t>
      </w:r>
    </w:p>
    <w:p>
      <w:r>
        <w:t>La solución se estructura en tres módulos principales. El primero es una Recepción Inteligente que integra Meta Cloud API para WhatsApp con un agente conversacional de Inteligencia Artificial, permitiendo atender consultas y gestionar citas, cancelaciones, confirmaciones y recordatorios. El segundo es un Portal del Paciente Zero-Friction, diseñado para que el usuario consulte información asociada a sus citas e historial mediante mecanismos de autenticación temporal como Magic Links y SMS OTP. El tercero corresponde a una Bóveda de Anexos y Ficha Clínica, destinada al registro de evoluciones y al almacenamiento protegido de archivos sensibles, aplicando cifrado en reposo y políticas de aislamiento a nivel de base de datos.</w:t>
      </w:r>
    </w:p>
    <w:p>
      <w:r>
        <w:t>La relevancia del proyecto para el campo laboral de Ingeniería en Informática se explica por su carácter transversal. Su desarrollo exige levantar requerimientos, diseñar una arquitectura web escalable, modelar datos, integrar servicios externos, implementar controles de seguridad, desplegar la solución en infraestructura cloud y validar su comportamiento mediante pruebas. Por ello, reproduce de forma directa una clase de desafío que un profesional puede enfrentar en el diseño de productos digitales para sectores regulados y con información sensible.</w:t>
      </w:r>
    </w:p>
    <w:p>
      <w:r>
        <w:t>Además de su valor técnico, el proyecto busca generar un beneficio operativo: reducir la dependencia de procesos manuales y centralizar funciones que actualmente pueden encontrarse dispersas entre distintas herramientas. El resultado esperado es una plataforma capaz de apoyar el agendamiento 24/7 y, al mismo tiempo, incorporar mecanismos técnicos destinados a proteger la confidencialidad y segregación de los datos clínicos.</w:t>
      </w:r>
    </w:p>
    <w:p>
      <w:pPr>
        <w:pStyle w:val="Heading2"/>
        <w:keepNext/>
      </w:pPr>
      <w:r>
        <w:t>1.2 Relación con las competencias del perfil de egreso</w:t>
      </w:r>
    </w:p>
    <w:p>
      <w:r>
        <w:t>El proyecto integra cuatro ámbitos de desempeño declarados en la definición del Proyecto APT: desarrollo de soluciones informáticas; arquitectura y gestión de proyectos TI; gestión de datos y ciberseguridad; e innovación e integración tecnológica. Esta relación se concreta de la siguiente manera:</w:t>
      </w:r>
    </w:p>
    <w:p>
      <w:pPr>
        <w:pStyle w:val="ListBullet"/>
      </w:pPr>
      <w:r>
        <w:rPr>
          <w:b/>
        </w:rPr>
        <w:t xml:space="preserve">Desarrollo de software: </w:t>
      </w:r>
      <w:r>
        <w:t>La construcción del Dashboard del Profesional, el Portal del Paciente y el backend obliga a desarrollar e integrar componentes web, endpoints y lógica de negocio utilizando prácticas de desarrollo sistemático. El motor de agendamiento y los módulos clínicos permiten evidenciar tanto la construcción como la integración de una solución funcional.</w:t>
      </w:r>
    </w:p>
    <w:p>
      <w:pPr>
        <w:pStyle w:val="ListBullet"/>
      </w:pPr>
      <w:r>
        <w:rPr>
          <w:b/>
        </w:rPr>
        <w:t xml:space="preserve">Arquitectura e infraestructura: </w:t>
      </w:r>
      <w:r>
        <w:t>La plataforma se plantea como una solución multi-tenant y cloud. El diseño debe definir la separación de componentes, la comunicación mediante APIs y webhooks, el uso de servicios administrados y el despliegue de los distintos módulos, buscando escalabilidad y mantenibilidad.</w:t>
      </w:r>
    </w:p>
    <w:p>
      <w:pPr>
        <w:pStyle w:val="ListBullet"/>
      </w:pPr>
      <w:r>
        <w:rPr>
          <w:b/>
        </w:rPr>
        <w:t xml:space="preserve">Gestión de datos y seguridad: </w:t>
      </w:r>
      <w:r>
        <w:t>El modelo PostgreSQL/Supabase debe representar pacientes, profesionales, agendas, fichas y anexos, además de incorporar Row Level Security para aislar la información por tenant. La bóveda de anexos incorpora cifrado en reposo, mientras que las pruebas de seguridad permiten comprobar el comportamiento de estos controles.</w:t>
      </w:r>
    </w:p>
    <w:p>
      <w:pPr>
        <w:pStyle w:val="ListBullet"/>
      </w:pPr>
      <w:r>
        <w:rPr>
          <w:b/>
        </w:rPr>
        <w:t xml:space="preserve">Gestión de proyectos e innovación: </w:t>
      </w:r>
      <w:r>
        <w:t>El equipo gestionará el trabajo con Kanban, límites WIP y releases incrementales. A su vez, la integración de un agente de IA y APIs de mensajería permite aplicar tecnologías emergentes a un proceso real de atención y agendamiento, manteniendo reglas de negocio que acotan el comportamiento del agente.</w:t>
      </w:r>
    </w:p>
    <w:p>
      <w:r>
        <w:t>En conjunto, estas competencias cubren el ciclo completo de una solución informática: planificación, diseño, construcción, integración, protección de datos, pruebas y despliegue. De esta forma, el proyecto supera el mínimo de tres competencias de especialidad exigido para un Proyecto APT y permite demostrar su aplicación integrada en una situación profesional simulada.</w:t>
      </w:r>
    </w:p>
    <w:p>
      <w:pPr>
        <w:pStyle w:val="Heading2"/>
        <w:keepNext/>
      </w:pPr>
      <w:r>
        <w:t>1.3 Relación con los intereses profesionales</w:t>
      </w:r>
    </w:p>
    <w:p>
      <w:r>
        <w:t>El Proyecto APT se vincula con intereses profesionales asociados al desarrollo de productos digitales SaaS, la aplicación práctica de Inteligencia Artificial en procesos de negocio y la arquitectura de ciberseguridad en la nube. KlinyShield reúne estos tres ejes en una misma solución: exige construir un producto web completo, integrar un agente conversacional con servicios externos y diseñar mecanismos de protección para información sensible. El proyecto también permite fortalecer un perfil técnico integral, ya que obliga a coordinar decisiones de frontend, backend, datos, cloud, seguridad e integración, además de documentar y gestionar el trabajo de forma sistemática.</w:t>
      </w:r>
    </w:p>
    <w:p>
      <w:pPr>
        <w:pStyle w:val="Heading2"/>
        <w:keepNext/>
        <w:pageBreakBefore/>
      </w:pPr>
      <w:r>
        <w:t>1.4 Factibilidad del proyecto</w:t>
      </w:r>
    </w:p>
    <w:p>
      <w:r>
        <w:t>El proyecto es factible dentro del marco de la asignatura porque su alcance se organiza en entregas progresivas durante las 18 semanas del semestre. La planificación distribuye las tareas de análisis, diseño, desarrollo, integración, seguridad, pruebas y documentación en bloques parcialmente superpuestos, lo que permite obtener resultados verificables antes del cierre del proyecto y reducir el riesgo de concentrar toda la integración al final.</w:t>
      </w:r>
    </w:p>
    <w:tbl>
      <w:tblPr>
        <w:tblStyle w:val="TableGrid"/>
        <w:tblW w:type="auto" w:w="0"/>
        <w:jc w:val="center"/>
        <w:tblLook w:firstColumn="1" w:firstRow="1" w:lastColumn="0" w:lastRow="0" w:noHBand="0" w:noVBand="1" w:val="04A0"/>
      </w:tblPr>
      <w:tblGrid>
        <w:gridCol w:w="3135"/>
        <w:gridCol w:w="3135"/>
        <w:gridCol w:w="3135"/>
      </w:tblGrid>
      <w:tr>
        <w:trPr>
          <w:cantSplit/>
        </w:trPr>
        <w:tc>
          <w:tcPr>
            <w:tcW w:type="dxa" w:w="3135"/>
            <w:shd w:fill="D9EAF7"/>
          </w:tcPr>
          <w:p>
            <w:pPr>
              <w:spacing w:after="0" w:line="240" w:lineRule="auto"/>
            </w:pPr>
            <w:r>
              <w:rPr>
                <w:rFonts w:ascii="Calibri" w:hAnsi="Calibri"/>
                <w:b/>
                <w:sz w:val="18"/>
              </w:rPr>
              <w:t>Dimensión</w:t>
            </w:r>
          </w:p>
        </w:tc>
        <w:tc>
          <w:tcPr>
            <w:tcW w:type="dxa" w:w="3135"/>
            <w:shd w:fill="D9EAF7"/>
          </w:tcPr>
          <w:p>
            <w:pPr>
              <w:spacing w:after="0" w:line="240" w:lineRule="auto"/>
            </w:pPr>
            <w:r>
              <w:rPr>
                <w:rFonts w:ascii="Calibri" w:hAnsi="Calibri"/>
                <w:b/>
                <w:sz w:val="18"/>
              </w:rPr>
              <w:t>Condición de factibilidad</w:t>
            </w:r>
          </w:p>
        </w:tc>
        <w:tc>
          <w:tcPr>
            <w:tcW w:type="dxa" w:w="3135"/>
            <w:shd w:fill="D9EAF7"/>
          </w:tcPr>
          <w:p>
            <w:pPr>
              <w:spacing w:after="0" w:line="240" w:lineRule="auto"/>
            </w:pPr>
            <w:r>
              <w:rPr>
                <w:rFonts w:ascii="Calibri" w:hAnsi="Calibri"/>
                <w:b/>
                <w:sz w:val="18"/>
              </w:rPr>
              <w:t>Respuesta prevista</w:t>
            </w:r>
          </w:p>
        </w:tc>
      </w:tr>
      <w:tr>
        <w:trPr>
          <w:cantSplit/>
        </w:trPr>
        <w:tc>
          <w:tcPr>
            <w:tcW w:type="dxa" w:w="3135"/>
          </w:tcPr>
          <w:p>
            <w:pPr>
              <w:spacing w:after="0" w:line="240" w:lineRule="auto"/>
            </w:pPr>
            <w:r>
              <w:rPr>
                <w:rFonts w:ascii="Calibri" w:hAnsi="Calibri"/>
                <w:sz w:val="18"/>
              </w:rPr>
              <w:t>Tiempo</w:t>
            </w:r>
          </w:p>
        </w:tc>
        <w:tc>
          <w:tcPr>
            <w:tcW w:type="dxa" w:w="3135"/>
          </w:tcPr>
          <w:p>
            <w:pPr>
              <w:spacing w:after="0" w:line="240" w:lineRule="auto"/>
            </w:pPr>
            <w:r>
              <w:rPr>
                <w:rFonts w:ascii="Calibri" w:hAnsi="Calibri"/>
                <w:sz w:val="18"/>
              </w:rPr>
              <w:t>18 semanas académicas, con actividades desde levantamiento de épicas e historias hasta despliegue, métricas y documentación.</w:t>
            </w:r>
          </w:p>
        </w:tc>
        <w:tc>
          <w:tcPr>
            <w:tcW w:type="dxa" w:w="3135"/>
          </w:tcPr>
          <w:p>
            <w:pPr>
              <w:spacing w:after="0" w:line="240" w:lineRule="auto"/>
            </w:pPr>
            <w:r>
              <w:rPr>
                <w:rFonts w:ascii="Calibri" w:hAnsi="Calibri"/>
                <w:sz w:val="18"/>
              </w:rPr>
              <w:t>Uso de Kanban, límites WIP y releases v1.0, v2.0 y v3.0 para dividir el alcance y validar avances funcionales.</w:t>
            </w:r>
          </w:p>
        </w:tc>
      </w:tr>
      <w:tr>
        <w:trPr>
          <w:cantSplit/>
        </w:trPr>
        <w:tc>
          <w:tcPr>
            <w:tcW w:type="dxa" w:w="3135"/>
          </w:tcPr>
          <w:p>
            <w:pPr>
              <w:spacing w:after="0" w:line="240" w:lineRule="auto"/>
            </w:pPr>
            <w:r>
              <w:rPr>
                <w:rFonts w:ascii="Calibri" w:hAnsi="Calibri"/>
                <w:sz w:val="18"/>
              </w:rPr>
              <w:t>Materiales y recursos</w:t>
            </w:r>
          </w:p>
        </w:tc>
        <w:tc>
          <w:tcPr>
            <w:tcW w:type="dxa" w:w="3135"/>
          </w:tcPr>
          <w:p>
            <w:pPr>
              <w:spacing w:after="0" w:line="240" w:lineRule="auto"/>
            </w:pPr>
            <w:r>
              <w:rPr>
                <w:rFonts w:ascii="Calibri" w:hAnsi="Calibri"/>
                <w:sz w:val="18"/>
              </w:rPr>
              <w:t>Computadores de desarrollo, repositorio Git y herramientas cloud como Supabase/PostgreSQL, Redis y Vercel, además de APIs de WhatsApp, IA y SMS OTP.</w:t>
            </w:r>
          </w:p>
        </w:tc>
        <w:tc>
          <w:tcPr>
            <w:tcW w:type="dxa" w:w="3135"/>
          </w:tcPr>
          <w:p>
            <w:pPr>
              <w:spacing w:after="0" w:line="240" w:lineRule="auto"/>
            </w:pPr>
            <w:r>
              <w:rPr>
                <w:rFonts w:ascii="Calibri" w:hAnsi="Calibri"/>
                <w:sz w:val="18"/>
              </w:rPr>
              <w:t>Priorizar servicios administrados para reducir configuración de infraestructura y concentrar el esfuerzo en lógica, integración y seguridad.</w:t>
            </w:r>
          </w:p>
        </w:tc>
      </w:tr>
      <w:tr>
        <w:trPr>
          <w:cantSplit/>
        </w:trPr>
        <w:tc>
          <w:tcPr>
            <w:tcW w:type="dxa" w:w="3135"/>
          </w:tcPr>
          <w:p>
            <w:pPr>
              <w:spacing w:after="0" w:line="240" w:lineRule="auto"/>
            </w:pPr>
            <w:r>
              <w:rPr>
                <w:rFonts w:ascii="Calibri" w:hAnsi="Calibri"/>
                <w:sz w:val="18"/>
              </w:rPr>
              <w:t>Factores externos</w:t>
            </w:r>
          </w:p>
        </w:tc>
        <w:tc>
          <w:tcPr>
            <w:tcW w:type="dxa" w:w="3135"/>
          </w:tcPr>
          <w:p>
            <w:pPr>
              <w:spacing w:after="0" w:line="240" w:lineRule="auto"/>
            </w:pPr>
            <w:r>
              <w:rPr>
                <w:rFonts w:ascii="Calibri" w:hAnsi="Calibri"/>
                <w:sz w:val="18"/>
              </w:rPr>
              <w:t>Dependencia de verificación de plantillas/cuentas de WhatsApp, costos o límites de APIs, latencia de servicios y posibles fallas de webhooks.</w:t>
            </w:r>
          </w:p>
        </w:tc>
        <w:tc>
          <w:tcPr>
            <w:tcW w:type="dxa" w:w="3135"/>
          </w:tcPr>
          <w:p>
            <w:pPr>
              <w:spacing w:after="0" w:line="240" w:lineRule="auto"/>
            </w:pPr>
            <w:r>
              <w:rPr>
                <w:rFonts w:ascii="Calibri" w:hAnsi="Calibri"/>
                <w:sz w:val="18"/>
              </w:rPr>
              <w:t>Gestionar verificaciones tempranas, aplicar caché y colas cuando corresponda, controlar consumo de IA y disponer de pruebas y mecanismos alternativos de integración.</w:t>
            </w:r>
          </w:p>
        </w:tc>
      </w:tr>
      <w:tr>
        <w:trPr>
          <w:cantSplit/>
        </w:trPr>
        <w:tc>
          <w:tcPr>
            <w:tcW w:type="dxa" w:w="3135"/>
          </w:tcPr>
          <w:p>
            <w:pPr>
              <w:spacing w:after="0" w:line="240" w:lineRule="auto"/>
            </w:pPr>
            <w:r>
              <w:rPr>
                <w:rFonts w:ascii="Calibri" w:hAnsi="Calibri"/>
                <w:sz w:val="18"/>
              </w:rPr>
              <w:t>Complejidad técnica</w:t>
            </w:r>
          </w:p>
        </w:tc>
        <w:tc>
          <w:tcPr>
            <w:tcW w:type="dxa" w:w="3135"/>
          </w:tcPr>
          <w:p>
            <w:pPr>
              <w:spacing w:after="0" w:line="240" w:lineRule="auto"/>
            </w:pPr>
            <w:r>
              <w:rPr>
                <w:rFonts w:ascii="Calibri" w:hAnsi="Calibri"/>
                <w:sz w:val="18"/>
              </w:rPr>
              <w:t>Integración de múltiples módulos y controles de aislamiento multi-tenant.</w:t>
            </w:r>
          </w:p>
        </w:tc>
        <w:tc>
          <w:tcPr>
            <w:tcW w:type="dxa" w:w="3135"/>
          </w:tcPr>
          <w:p>
            <w:pPr>
              <w:spacing w:after="0" w:line="240" w:lineRule="auto"/>
            </w:pPr>
            <w:r>
              <w:rPr>
                <w:rFonts w:ascii="Calibri" w:hAnsi="Calibri"/>
                <w:sz w:val="18"/>
              </w:rPr>
              <w:t>Desarrollo incremental, pruebas de integración y seguridad, validación de RLS y desacoplamiento de componentes para limitar el impacto de fallas.</w:t>
            </w:r>
          </w:p>
        </w:tc>
      </w:tr>
    </w:tbl>
    <w:p>
      <w:r>
        <w:br w:type="page"/>
      </w:r>
    </w:p>
    <w:p>
      <w:pPr>
        <w:pStyle w:val="Heading2"/>
        <w:keepNext/>
      </w:pPr>
      <w:r>
        <w:t>1.5 Indicadores de calidad disciplinarios</w:t>
      </w:r>
    </w:p>
    <w:p>
      <w:r>
        <w:t>Para asegurar que la propuesta no solo describa una idea, sino que evidencie competencias disciplinares, el proyecto contempla productos y actividades alineados con los indicadores de calidad definidos para la evaluación. La correspondencia prevista es la siguiente:</w:t>
      </w:r>
    </w:p>
    <w:tbl>
      <w:tblPr>
        <w:tblStyle w:val="TableGrid"/>
        <w:tblW w:type="auto" w:w="0"/>
        <w:jc w:val="center"/>
        <w:tblLook w:firstColumn="1" w:firstRow="1" w:lastColumn="0" w:lastRow="0" w:noHBand="0" w:noVBand="1" w:val="04A0"/>
      </w:tblPr>
      <w:tblGrid>
        <w:gridCol w:w="3135"/>
        <w:gridCol w:w="3135"/>
        <w:gridCol w:w="3135"/>
      </w:tblGrid>
      <w:tr>
        <w:trPr>
          <w:cantSplit/>
        </w:trPr>
        <w:tc>
          <w:tcPr>
            <w:tcW w:type="dxa" w:w="3135"/>
            <w:shd w:fill="D9EAF7"/>
          </w:tcPr>
          <w:p>
            <w:pPr>
              <w:spacing w:after="0" w:line="240" w:lineRule="auto"/>
            </w:pPr>
            <w:r>
              <w:rPr>
                <w:rFonts w:ascii="Calibri" w:hAnsi="Calibri"/>
                <w:b/>
                <w:sz w:val="18"/>
              </w:rPr>
              <w:t>Indicador disciplinario</w:t>
            </w:r>
          </w:p>
        </w:tc>
        <w:tc>
          <w:tcPr>
            <w:tcW w:type="dxa" w:w="3135"/>
            <w:shd w:fill="D9EAF7"/>
          </w:tcPr>
          <w:p>
            <w:pPr>
              <w:spacing w:after="0" w:line="240" w:lineRule="auto"/>
            </w:pPr>
            <w:r>
              <w:rPr>
                <w:rFonts w:ascii="Calibri" w:hAnsi="Calibri"/>
                <w:b/>
                <w:sz w:val="18"/>
              </w:rPr>
              <w:t>Aplicación en KlinyShield</w:t>
            </w:r>
          </w:p>
        </w:tc>
        <w:tc>
          <w:tcPr>
            <w:tcW w:type="dxa" w:w="3135"/>
            <w:shd w:fill="D9EAF7"/>
          </w:tcPr>
          <w:p>
            <w:pPr>
              <w:spacing w:after="0" w:line="240" w:lineRule="auto"/>
            </w:pPr>
            <w:r>
              <w:rPr>
                <w:rFonts w:ascii="Calibri" w:hAnsi="Calibri"/>
                <w:b/>
                <w:sz w:val="18"/>
              </w:rPr>
              <w:t>Evidencia prevista</w:t>
            </w:r>
          </w:p>
        </w:tc>
      </w:tr>
      <w:tr>
        <w:trPr>
          <w:cantSplit/>
        </w:trPr>
        <w:tc>
          <w:tcPr>
            <w:tcW w:type="dxa" w:w="3135"/>
          </w:tcPr>
          <w:p>
            <w:pPr>
              <w:spacing w:after="0" w:line="240" w:lineRule="auto"/>
            </w:pPr>
            <w:r>
              <w:rPr>
                <w:rFonts w:ascii="Calibri" w:hAnsi="Calibri"/>
                <w:sz w:val="18"/>
              </w:rPr>
              <w:t>Diseño y aplicación de pruebas de validación</w:t>
            </w:r>
          </w:p>
        </w:tc>
        <w:tc>
          <w:tcPr>
            <w:tcW w:type="dxa" w:w="3135"/>
          </w:tcPr>
          <w:p>
            <w:pPr>
              <w:spacing w:after="0" w:line="240" w:lineRule="auto"/>
            </w:pPr>
            <w:r>
              <w:rPr>
                <w:rFonts w:ascii="Calibri" w:hAnsi="Calibri"/>
                <w:sz w:val="18"/>
              </w:rPr>
              <w:t>Se planifican pruebas de integración, seguridad, carga y validaciones cross-tenant para comprobar productos y procesos.</w:t>
            </w:r>
          </w:p>
        </w:tc>
        <w:tc>
          <w:tcPr>
            <w:tcW w:type="dxa" w:w="3135"/>
          </w:tcPr>
          <w:p>
            <w:pPr>
              <w:spacing w:after="0" w:line="240" w:lineRule="auto"/>
            </w:pPr>
            <w:r>
              <w:rPr>
                <w:rFonts w:ascii="Calibri" w:hAnsi="Calibri"/>
                <w:sz w:val="18"/>
              </w:rPr>
              <w:t>Informe de Pruebas de Ciberseguridad, pruebas de carga y registros de QA.</w:t>
            </w:r>
          </w:p>
        </w:tc>
      </w:tr>
      <w:tr>
        <w:trPr>
          <w:cantSplit/>
        </w:trPr>
        <w:tc>
          <w:tcPr>
            <w:tcW w:type="dxa" w:w="3135"/>
          </w:tcPr>
          <w:p>
            <w:pPr>
              <w:spacing w:after="0" w:line="240" w:lineRule="auto"/>
            </w:pPr>
            <w:r>
              <w:rPr>
                <w:rFonts w:ascii="Calibri" w:hAnsi="Calibri"/>
                <w:sz w:val="18"/>
              </w:rPr>
              <w:t>Mejoras a partir de resultados de prueba</w:t>
            </w:r>
          </w:p>
        </w:tc>
        <w:tc>
          <w:tcPr>
            <w:tcW w:type="dxa" w:w="3135"/>
          </w:tcPr>
          <w:p>
            <w:pPr>
              <w:spacing w:after="0" w:line="240" w:lineRule="auto"/>
            </w:pPr>
            <w:r>
              <w:rPr>
                <w:rFonts w:ascii="Calibri" w:hAnsi="Calibri"/>
                <w:sz w:val="18"/>
              </w:rPr>
              <w:t>Las vulnerabilidades, fallas de integración o problemas de rendimiento detectados deberán traducirse en medidas correctivas antes del release final.</w:t>
            </w:r>
          </w:p>
        </w:tc>
        <w:tc>
          <w:tcPr>
            <w:tcW w:type="dxa" w:w="3135"/>
          </w:tcPr>
          <w:p>
            <w:pPr>
              <w:spacing w:after="0" w:line="240" w:lineRule="auto"/>
            </w:pPr>
            <w:r>
              <w:rPr>
                <w:rFonts w:ascii="Calibri" w:hAnsi="Calibri"/>
                <w:sz w:val="18"/>
              </w:rPr>
              <w:t>Registro de correcciones, resultados comparativos y Release v3.0.</w:t>
            </w:r>
          </w:p>
        </w:tc>
      </w:tr>
      <w:tr>
        <w:trPr>
          <w:cantSplit/>
        </w:trPr>
        <w:tc>
          <w:tcPr>
            <w:tcW w:type="dxa" w:w="3135"/>
          </w:tcPr>
          <w:p>
            <w:pPr>
              <w:spacing w:after="0" w:line="240" w:lineRule="auto"/>
            </w:pPr>
            <w:r>
              <w:rPr>
                <w:rFonts w:ascii="Calibri" w:hAnsi="Calibri"/>
                <w:sz w:val="18"/>
              </w:rPr>
              <w:t>Planificación y control del proyecto</w:t>
            </w:r>
          </w:p>
        </w:tc>
        <w:tc>
          <w:tcPr>
            <w:tcW w:type="dxa" w:w="3135"/>
          </w:tcPr>
          <w:p>
            <w:pPr>
              <w:spacing w:after="0" w:line="240" w:lineRule="auto"/>
            </w:pPr>
            <w:r>
              <w:rPr>
                <w:rFonts w:ascii="Calibri" w:hAnsi="Calibri"/>
                <w:sz w:val="18"/>
              </w:rPr>
              <w:t>Kanban, límites WIP, backlog priorizado, épicas, historias de usuario y métricas de flujo permiten planificar y controlar la ejecución.</w:t>
            </w:r>
          </w:p>
        </w:tc>
        <w:tc>
          <w:tcPr>
            <w:tcW w:type="dxa" w:w="3135"/>
          </w:tcPr>
          <w:p>
            <w:pPr>
              <w:spacing w:after="0" w:line="240" w:lineRule="auto"/>
            </w:pPr>
            <w:r>
              <w:rPr>
                <w:rFonts w:ascii="Calibri" w:hAnsi="Calibri"/>
                <w:sz w:val="18"/>
              </w:rPr>
              <w:t>Tablero Kanban, Informe de Métricas Kanban y plan de trabajo.</w:t>
            </w:r>
          </w:p>
        </w:tc>
      </w:tr>
      <w:tr>
        <w:trPr>
          <w:cantSplit/>
        </w:trPr>
        <w:tc>
          <w:tcPr>
            <w:tcW w:type="dxa" w:w="3135"/>
          </w:tcPr>
          <w:p>
            <w:pPr>
              <w:spacing w:after="0" w:line="240" w:lineRule="auto"/>
            </w:pPr>
            <w:r>
              <w:rPr>
                <w:rFonts w:ascii="Calibri" w:hAnsi="Calibri"/>
                <w:sz w:val="18"/>
              </w:rPr>
              <w:t>Diseño e implementación de modelos de datos</w:t>
            </w:r>
          </w:p>
        </w:tc>
        <w:tc>
          <w:tcPr>
            <w:tcW w:type="dxa" w:w="3135"/>
          </w:tcPr>
          <w:p>
            <w:pPr>
              <w:spacing w:after="0" w:line="240" w:lineRule="auto"/>
            </w:pPr>
            <w:r>
              <w:rPr>
                <w:rFonts w:ascii="Calibri" w:hAnsi="Calibri"/>
                <w:sz w:val="18"/>
              </w:rPr>
              <w:t>Se diseña e implementa un modelo relacional PostgreSQL/Supabase multi-tenant con políticas RLS.</w:t>
            </w:r>
          </w:p>
        </w:tc>
        <w:tc>
          <w:tcPr>
            <w:tcW w:type="dxa" w:w="3135"/>
          </w:tcPr>
          <w:p>
            <w:pPr>
              <w:spacing w:after="0" w:line="240" w:lineRule="auto"/>
            </w:pPr>
            <w:r>
              <w:rPr>
                <w:rFonts w:ascii="Calibri" w:hAnsi="Calibri"/>
                <w:sz w:val="18"/>
              </w:rPr>
              <w:t>ERD, scripts/configuración RLS y base de datos implementada.</w:t>
            </w:r>
          </w:p>
        </w:tc>
      </w:tr>
      <w:tr>
        <w:trPr>
          <w:cantSplit/>
        </w:trPr>
        <w:tc>
          <w:tcPr>
            <w:tcW w:type="dxa" w:w="3135"/>
          </w:tcPr>
          <w:p>
            <w:pPr>
              <w:spacing w:after="0" w:line="240" w:lineRule="auto"/>
            </w:pPr>
            <w:r>
              <w:rPr>
                <w:rFonts w:ascii="Calibri" w:hAnsi="Calibri"/>
                <w:sz w:val="18"/>
              </w:rPr>
              <w:t>Construcción e integración de software</w:t>
            </w:r>
          </w:p>
        </w:tc>
        <w:tc>
          <w:tcPr>
            <w:tcW w:type="dxa" w:w="3135"/>
          </w:tcPr>
          <w:p>
            <w:pPr>
              <w:spacing w:after="0" w:line="240" w:lineRule="auto"/>
            </w:pPr>
            <w:r>
              <w:rPr>
                <w:rFonts w:ascii="Calibri" w:hAnsi="Calibri"/>
                <w:sz w:val="18"/>
              </w:rPr>
              <w:t>El proyecto desarrolla backend, dashboard, portal, bot, motor de IA y bóveda, integrándolos mediante APIs y servicios cloud.</w:t>
            </w:r>
          </w:p>
        </w:tc>
        <w:tc>
          <w:tcPr>
            <w:tcW w:type="dxa" w:w="3135"/>
          </w:tcPr>
          <w:p>
            <w:pPr>
              <w:spacing w:after="0" w:line="240" w:lineRule="auto"/>
            </w:pPr>
            <w:r>
              <w:rPr>
                <w:rFonts w:ascii="Calibri" w:hAnsi="Calibri"/>
                <w:sz w:val="18"/>
              </w:rPr>
              <w:t>Código fuente y Releases v1.0, v2.0 y v3.0.</w:t>
            </w:r>
          </w:p>
        </w:tc>
      </w:tr>
      <w:tr>
        <w:trPr>
          <w:cantSplit/>
        </w:trPr>
        <w:tc>
          <w:tcPr>
            <w:tcW w:type="dxa" w:w="3135"/>
          </w:tcPr>
          <w:p>
            <w:pPr>
              <w:spacing w:after="0" w:line="240" w:lineRule="auto"/>
            </w:pPr>
            <w:r>
              <w:rPr>
                <w:rFonts w:ascii="Calibri" w:hAnsi="Calibri"/>
                <w:sz w:val="18"/>
              </w:rPr>
              <w:t>Implantación de la solución</w:t>
            </w:r>
          </w:p>
        </w:tc>
        <w:tc>
          <w:tcPr>
            <w:tcW w:type="dxa" w:w="3135"/>
          </w:tcPr>
          <w:p>
            <w:pPr>
              <w:spacing w:after="0" w:line="240" w:lineRule="auto"/>
            </w:pPr>
            <w:r>
              <w:rPr>
                <w:rFonts w:ascii="Calibri" w:hAnsi="Calibri"/>
                <w:sz w:val="18"/>
              </w:rPr>
              <w:t>La solución final se desplegará en infraestructura cloud en un ambiente de producción.</w:t>
            </w:r>
          </w:p>
        </w:tc>
        <w:tc>
          <w:tcPr>
            <w:tcW w:type="dxa" w:w="3135"/>
          </w:tcPr>
          <w:p>
            <w:pPr>
              <w:spacing w:after="0" w:line="240" w:lineRule="auto"/>
            </w:pPr>
            <w:r>
              <w:rPr>
                <w:rFonts w:ascii="Calibri" w:hAnsi="Calibri"/>
                <w:sz w:val="18"/>
              </w:rPr>
              <w:t>Despliegue del sistema en producción, manual técnico y manual de usuario.</w:t>
            </w:r>
          </w:p>
        </w:tc>
      </w:tr>
    </w:tbl>
    <w:p>
      <w:pPr>
        <w:pStyle w:val="Heading2"/>
        <w:keepNext/>
      </w:pPr>
      <w:r>
        <w:t>1.6 Evidencias principales del desarrollo</w:t>
      </w:r>
    </w:p>
    <w:p>
      <w:r>
        <w:t>Las evidencias definidas en la guía permiten hacer visible el avance desde el diseño hasta la puesta en producción. Entre las principales se consideran: Documento de Arquitectura del Sistema, Tablero Kanban, Épicas e Historias de Usuario, Mockups y Prototipo UX/UI, Modelo Entidad-Relación, Políticas RLS, tres releases incrementales, Dashboard del Profesional, Portal del Paciente, Bóveda Cifrada de Anexos, despliegue en producción, informes de métricas y ciberseguridad, manuales, matriz y tratamiento de riesgos, y repositorio de código fuente.</w:t>
      </w:r>
    </w:p>
    <w:p>
      <w:r>
        <w:br w:type="page"/>
      </w:r>
    </w:p>
    <w:p>
      <w:pPr>
        <w:pStyle w:val="Heading1"/>
        <w:keepNext/>
      </w:pPr>
      <w:r>
        <w:t>2. Individual Conclusions</w:t>
      </w:r>
    </w:p>
    <w:p>
      <w:pPr>
        <w:pStyle w:val="Heading2"/>
        <w:keepNext/>
      </w:pPr>
      <w:r>
        <w:t>Felipe Urbina</w:t>
      </w:r>
    </w:p>
    <w:p>
      <w:r>
        <w:t>The definition of KlinyShield shows that a capstone project can combine software engineering, data management, cybersecurity and emerging technologies within a single coherent product. The incremental approach is especially valuable because it allows the team to validate the appointment core first and then add AI, patient access and protected clinical storage without postponing integration until the end. From an engineering perspective, the project is relevant because its success depends not only on implementing features, but also on demonstrating that the architecture, security controls and development process are verifiable through concrete evidence.</w:t>
      </w:r>
    </w:p>
    <w:p>
      <w:pPr>
        <w:pStyle w:val="Heading2"/>
        <w:keepNext/>
      </w:pPr>
      <w:r>
        <w:t>Maximiliano Duran</w:t>
      </w:r>
    </w:p>
    <w:p>
      <w:r>
        <w:t>KlinyShield represents a realistic software project because it requires balancing functional value with technical constraints and external dependencies. The use of Kanban, WIP limits and incremental releases provides a practical mechanism to control scope during the semester, while the proposed evidence makes progress measurable. The project also highlights the importance of integrating security from the design stage, particularly in a multi-tenant system that handles sensitive information. Therefore, the project offers an opportunity to apply graduate-profile competencies in an integrated and professionally relevant context.</w:t>
      </w:r>
    </w:p>
    <w:p>
      <w:pPr>
        <w:pStyle w:val="Heading2"/>
        <w:keepNext/>
      </w:pPr>
      <w:r>
        <w:t>Vicente Solorza</w:t>
      </w:r>
    </w:p>
    <w:p>
      <w:r>
        <w:t>The project is closely aligned with the type of challenges involved in modern web and backend development: designing APIs, integrating external services, modelling data, securing access and deploying a cloud-based product. The AI-assisted WhatsApp module adds an innovation component, but the project remains grounded in explicit business rules and measurable software outcomes. Developing KlinyShield should strengthen the ability to move from requirements and architecture decisions to implementation, testing and deployment, while documenting the technical reasoning required to maintain and evolve the solution.</w:t>
      </w:r>
    </w:p>
    <w:p>
      <w:pPr>
        <w:pStyle w:val="Heading1"/>
        <w:keepNext/>
      </w:pPr>
      <w:r>
        <w:t>3. Reflection</w:t>
      </w:r>
    </w:p>
    <w:p>
      <w:r>
        <w:t>Defining KlinyShield at this stage makes the relationship between project scope and engineering discipline explicit. A broad idea such as “automating clinical management” only becomes feasible when it is decomposed into modules, releases, evidence and validation criteria. The exercise also shows that security, data architecture and project management cannot be treated as secondary activities: they directly shape how the software must be designed and how its quality will be demonstrated. The main challenge will be maintaining a realistic scope while coordinating several external services. For that reason, the team will need to use the Kanban workflow not merely as a reporting tool, but as a mechanism for prioritization, limiting work in progress and responding to technical risks throughout the semester.</w:t>
      </w:r>
    </w:p>
    <w:p>
      <w:pPr>
        <w:pStyle w:val="Heading1"/>
        <w:keepNext/>
      </w:pPr>
      <w:r>
        <w:t>4. Fuentes</w:t>
      </w:r>
    </w:p>
    <w:p>
      <w:pPr>
        <w:pStyle w:val="ListBullet"/>
      </w:pPr>
      <w:r>
        <w:t>Duoc UC. Evaluación Fase 1: Formativa Definición Proyecto APT (PTY4614 Capstone).</w:t>
      </w:r>
    </w:p>
    <w:p>
      <w:pPr>
        <w:pStyle w:val="ListBullet"/>
      </w:pPr>
      <w:r>
        <w:t>Duoc UC. Guía Estudiante – Definición Proyecto APT, Fase 1. Información del proyecto KlinyShield.</w:t>
      </w:r>
    </w:p>
    <w:sectPr w:rsidR="00FC693F" w:rsidRPr="0006063C" w:rsidSect="00034616">
      <w:footerReference w:type="default" r:id="rId9"/>
      <w:pgSz w:w="12240" w:h="15840"/>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Calibri" w:hAnsi="Calibr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