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KlinyShield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KS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03/08/2026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b26et741o08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087612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5up7hyjmdn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7fmmcdxp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gux0n19g4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5up7hyjmdnu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Roles del proyecto KlinyShield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iic13xpaf66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 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KlinyShield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Profesionales independientes de la salud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Gomez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bbzcxeagqw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Maximiliano Duran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20.361.335-0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Urbina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20.205.100-6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Vicente Solorza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vi.solorza@duocuc.cl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nq7fmmcdxpqh" w:id="4"/>
      <w:bookmarkEnd w:id="4"/>
      <w:r w:rsidDel="00000000" w:rsidR="00000000" w:rsidRPr="00000000">
        <w:rPr>
          <w:rtl w:val="0"/>
        </w:rPr>
        <w:t xml:space="preserve">Visión del Proyecto KlinyShield</w:t>
      </w:r>
    </w:p>
    <w:tbl>
      <w:tblPr>
        <w:tblStyle w:val="Table4"/>
        <w:tblW w:w="9750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5"/>
        <w:gridCol w:w="2655"/>
        <w:gridCol w:w="2610"/>
        <w:gridCol w:w="1860"/>
        <w:tblGridChange w:id="0">
          <w:tblGrid>
            <w:gridCol w:w="2625"/>
            <w:gridCol w:w="2655"/>
            <w:gridCol w:w="2610"/>
            <w:gridCol w:w="1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plataforma SaaS integral para profesionales de la salud independientes que automatice la recepción de pacientes y la reserva de citas mediante un bot conversacional con IA en WhatsApp, garantizando el almacenamiento seguro de fichas clínicas mediante cifrado avanzado y control de acceso riguroso, optimizando la gestión administrativa y asegurando el cumplimiento de la normativa de ciberseguridad y protección de datos de salud.</w:t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Profesionales independientes de la salud y pacientes que buscan agendar y consultar sus atenciones de forma rápida, autónoma y segura.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Elevada carga administrativa en la gestión manual de agendas.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Inseguridad y falta de estándar normativo en el almacenamiento de fichas clínicas y anexos médicos.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Necesidad de canales de atención al paciente disponibles 24/7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Plataforma SaaS (KlinyShield) que incluye: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Agendamiento</w:t>
            </w:r>
            <w:r w:rsidDel="00000000" w:rsidR="00000000" w:rsidRPr="00000000">
              <w:rPr>
                <w:rtl w:val="0"/>
              </w:rPr>
              <w:t xml:space="preserve">: Gestión de disponibilidad, reservas y cancelación. 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de WhatsApp con IA</w:t>
            </w:r>
            <w:r w:rsidDel="00000000" w:rsidR="00000000" w:rsidRPr="00000000">
              <w:rPr>
                <w:rtl w:val="0"/>
              </w:rPr>
              <w:t xml:space="preserve">: Recepción inteligente conectada con Meta Cloud API, LLM y caché Redis.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Bóveda Cifrada</w:t>
            </w:r>
            <w:r w:rsidDel="00000000" w:rsidR="00000000" w:rsidRPr="00000000">
              <w:rPr>
                <w:rtl w:val="0"/>
              </w:rPr>
              <w:t xml:space="preserve">: Almacenamiento seguro de anexos médicos con cifrado AES-256 y Row Level Security (RLS) en PostgreSQL. 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 del Paciente</w:t>
            </w:r>
            <w:r w:rsidDel="00000000" w:rsidR="00000000" w:rsidRPr="00000000">
              <w:rPr>
                <w:rtl w:val="0"/>
              </w:rPr>
              <w:t xml:space="preserve">: Autenticación sin contraseña (Magic Links / SMS OTP).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Web</w:t>
            </w:r>
            <w:r w:rsidDel="00000000" w:rsidR="00000000" w:rsidRPr="00000000">
              <w:rPr>
                <w:rtl w:val="0"/>
              </w:rPr>
              <w:t xml:space="preserve">: Panel de administración integral para el profesional.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 atención y reserva 24/7 sin sobrecargar al personal administrativo.</w:t>
            </w:r>
          </w:p>
          <w:p w:rsidR="00000000" w:rsidDel="00000000" w:rsidP="00000000" w:rsidRDefault="00000000" w:rsidRPr="00000000" w14:paraId="00000081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Disminución significativa del ausentismo mediante confirmaciones automáticas.</w:t>
            </w:r>
          </w:p>
          <w:p w:rsidR="00000000" w:rsidDel="00000000" w:rsidP="00000000" w:rsidRDefault="00000000" w:rsidRPr="00000000" w14:paraId="00000082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Garantía de cumplimiento legal (Ley N° 20.584 y Ley Marco de Ciberseguridad).</w:t>
            </w:r>
          </w:p>
          <w:p w:rsidR="00000000" w:rsidDel="00000000" w:rsidP="00000000" w:rsidRDefault="00000000" w:rsidRPr="00000000" w14:paraId="00000083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Experiencia de usuario fluida para el paciente sin requerir contraseñas complejas.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heading=h.jpgux0n19g4q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Felipe Urbina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Define la visión del producto, gestiona y prioriza el Product Backlog bajo la metodología MoSCoW, valida el cumplimiento de las épicas en cada Release y representa los requerimientos de la gestión médica.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Maximiliano Duran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Monitorea el cumplimiento del cronograma de 18 semanas de desarrollo y asegura la adopción de las mejores prácticas metodológicas.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Vicente Solorza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Diseña, implementa y prueba la arquitectura SaaS, el motor de agendamiento, las integraciones con Meta API/LLM, las políticas de seguridad (AES-256/RLS) y el tablero web.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</w: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2fzd8/hVcdbIKJTg/RzJj9oQg==">CgMxLjAyDmguYWIyNmV0NzQxbzA4Mg5oLjE1dXA3aHlqbWRudTIOaC5naWljMTN4cGFmNjYyDmgucmJiemN4ZWFncXdwMg5oLm5xN2ZtbWNkeHBxaDIOaC5qcGd1eDBuMTlnNHE4AHIhMXVtSHhxSHBBOEdJWDR6UTJJR0tQaG5BLXRrbFhOZVIz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