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HelveticaNeue-bold.ttf" ContentType="application/x-font-ttf"/>
  <Override PartName="/word/fonts/HelveticaNeue-boldItalic.ttf" ContentType="application/x-font-ttf"/>
  <Override PartName="/word/fonts/HelveticaNeue-italic.ttf" ContentType="application/x-font-ttf"/>
  <Override PartName="/word/fonts/HelveticaNeue-regular.ttf" ContentType="application/x-font-ttf"/>
  <Override PartName="/word/fonts/HelveticaNeueLight-bold.ttf" ContentType="application/x-font-ttf"/>
  <Override PartName="/word/fonts/HelveticaNeueLight-boldItalic.ttf" ContentType="application/x-font-ttf"/>
  <Override PartName="/word/fonts/HelveticaNeueLight-italic.ttf" ContentType="application/x-font-ttf"/>
  <Override PartName="/word/fonts/HelveticaNeueLight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8">
      <w:pPr>
        <w:spacing w:after="0" w:before="0" w:line="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09">
      <w:pPr>
        <w:pStyle w:val="Title"/>
        <w:spacing w:line="240" w:lineRule="auto"/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</w:rPr>
      </w:pPr>
      <w:r>
        <w:t>FusionStructure</w:t>
      </w:r>
    </w:p>
    <w:p w14:paraId="0000000A">
      <w:pPr>
        <w:pStyle w:val="Title"/>
        <w:spacing w:line="240" w:lineRule="auto"/>
        <w:rPr>
          <w:rFonts w:ascii="Helvetica Neue" w:cs="Helvetica Neue" w:eastAsia="Helvetica Neue" w:hAnsi="Helvetica Neue"/>
          <w:sz w:val="72"/>
          <w:szCs w:val="72"/>
        </w:rPr>
      </w:pPr>
      <w:r>
        <w:t>Arquitectura del sistema visual</w:t>
      </w:r>
    </w:p>
    <w:p w14:paraId="0000000B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C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D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E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F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0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1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2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3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4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1"/>
        <w:tblW w:w="10400.0" w:type="dxa"/>
        <w:jc w:val="center"/>
        <w:tblLayout w:type="fixed"/>
        <w:tblLook w:val="0600"/>
      </w:tblPr>
      <w:tblGrid>
        <w:gridCol w:w="3200"/>
        <w:gridCol w:w="400"/>
        <w:gridCol w:w="3200"/>
        <w:gridCol w:w="400"/>
        <w:gridCol w:w="3200"/>
        <w:tblGridChange w:id="0">
          <w:tblGrid>
            <w:gridCol w:w="3200"/>
            <w:gridCol w:w="400"/>
            <w:gridCol w:w="3200"/>
            <w:gridCol w:w="400"/>
            <w:gridCol w:w="3200"/>
          </w:tblGrid>
        </w:tblGridChange>
      </w:tblGrid>
      <w:tr>
        <w:trPr>
          <w:cantSplit w:val="0"/>
          <w:tblHeader w:val="0"/>
        </w:trPr>
        <w:tc>
          <w:tcPr/>
          <w:p>
            <w:r>
              <w:t>ESTADO</w:t>
              <w:br/>
              <w:t>Propuesto</w:t>
            </w:r>
          </w:p>
        </w:tc>
        <w:tc>
          <w:tcPr/>
          <w:p>
            <w:r/>
          </w:p>
        </w:tc>
        <w:tc>
          <w:tcPr/>
          <w:p>
            <w:r>
              <w:t>PROPIETARIO</w:t>
              <w:br/>
              <w:t>FusionStructure</w:t>
            </w:r>
          </w:p>
        </w:tc>
        <w:tc>
          <w:tcPr/>
          <w:p>
            <w:r/>
          </w:p>
        </w:tc>
        <w:tc>
          <w:tcPr/>
          <w:p>
            <w:r>
              <w:t>ACTUALIZADO</w:t>
              <w:br/>
              <w:t>Septiembre 1, 2026</w:t>
            </w:r>
          </w:p>
        </w:tc>
      </w:tr>
    </w:tbl>
    <w:p w14:paraId="0000001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2"/>
        <w:tblW w:w="10155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1815"/>
        <w:gridCol w:w="8340"/>
        <w:tblGridChange w:id="0">
          <w:tblGrid>
            <w:gridCol w:w="1815"/>
            <w:gridCol w:w="8340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Autores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Codex + FusionStructure</w:t>
            </w:r>
          </w:p>
        </w:tc>
      </w:tr>
      <w:tr>
        <w:trPr>
          <w:cantSplit w:val="1"/>
          <w:trHeight w:val="404.3103027343749" w:hRule="atLeast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Revisores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Producto, diseño y desarrollo</w:t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Documentos relacionados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Brandbook interactivo de FusionStructure</w:t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Alcance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Identidad, componentes, movimiento, copy, temas y responsive.</w:t>
            </w:r>
          </w:p>
        </w:tc>
      </w:tr>
    </w:tbl>
    <w:p w14:paraId="00000026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t>1.  Resumen</w:t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t>FusionStructure adopta un sistema visual propio para convertir modelos, resultados y decisiones estructurales en una experiencia clara, conectada y trazable. Su principio rector es Make complexity legible.: la geometría comunica estructura, el color comunica significado y el movimiento explica causa y efecto.</w:t>
      </w:r>
    </w:p>
    <w:p w14:paraId="00000028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t>El sistema cubre identidad, tokens, superficies, controles, iconos, diagramas, copy, movimiento y comportamiento responsive. Describe una dirección de producto; no certifica cálculos, normativa ni preparación para obra.</w:t>
      </w:r>
    </w:p>
    <w:p w14:paraId="00000029">
      <w:pPr>
        <w:spacing w:after="0" w:line="120" w:lineRule="auto"/>
        <w:jc w:val="both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2A">
      <w:pPr>
        <w:pStyle w:val="Heading1"/>
        <w:rPr>
          <w:rFonts w:ascii="Helvetica Neue" w:cs="Helvetica Neue" w:eastAsia="Helvetica Neue" w:hAnsi="Helvetica Neue"/>
        </w:rPr>
      </w:pPr>
      <w:r>
        <w:t>2.  Objetivos y no objetivos</w:t>
      </w:r>
    </w:p>
    <w:tbl>
      <w:tblPr>
        <w:tblStyle w:val="Table3"/>
        <w:tblW w:w="10224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Objetivos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No objetivos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Titular y contenido siempre legibles.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Rediseñar el solver o sus contratos.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Semántica estable en día y noche.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Usar color como único significado.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Componentes interactivos y accesibles.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Imitar la identidad de otro producto.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Migración gradual y reversible.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Afirmar certificación o uso profesional.</w:t>
            </w:r>
          </w:p>
        </w:tc>
      </w:tr>
    </w:tbl>
    <w:p w14:paraId="00000035">
      <w:pPr>
        <w:pStyle w:val="Heading1"/>
        <w:spacing w:before="0" w:line="216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36">
      <w:pPr>
        <w:pStyle w:val="Heading1"/>
        <w:rPr>
          <w:rFonts w:ascii="Helvetica Neue" w:cs="Helvetica Neue" w:eastAsia="Helvetica Neue" w:hAnsi="Helvetica Neue"/>
        </w:rPr>
      </w:pPr>
      <w:r>
        <w:t>3.  Contexto y problema</w:t>
      </w:r>
    </w:p>
    <w:p w14:paraId="0000003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t>La interfaz debe mostrar información técnica densa sin ocultar texto, perder jerarquía o depender de un único color. La versión anterior permitía que el canvas invadiera el titular y usaba una superficie nocturna demasiado negra, con una sombra casi imperceptible.</w:t>
      </w:r>
    </w:p>
    <w:p w14:paraId="00000038">
      <w:pPr>
        <w:spacing w:after="110" w:line="300" w:lineRule="auto"/>
        <w:jc w:val="both"/>
        <w:rPr>
          <w:rFonts w:ascii="Helvetica Neue" w:cs="Helvetica Neue" w:eastAsia="Helvetica Neue" w:hAnsi="Helvetica Neue"/>
          <w:color w:val="000000"/>
        </w:rPr>
      </w:pPr>
      <w:r>
        <w:t>El límite del sistema visual comienza en tokens semánticos y termina en componentes renderizados. Los datos estructurales siguen perteneciendo al producto y sus solvers; el brandbook sólo define cómo representarlos con consistencia.</w:t>
      </w:r>
    </w:p>
    <w:p w14:paraId="00000039">
      <w:pPr>
        <w:pStyle w:val="Heading1"/>
        <w:rPr>
          <w:rFonts w:ascii="Helvetica Neue" w:cs="Helvetica Neue" w:eastAsia="Helvetica Neue" w:hAnsi="Helvetica Neue"/>
        </w:rPr>
      </w:pPr>
      <w:r>
        <w:t>4.  Arquitectura propuesta</w:t>
      </w:r>
    </w:p>
    <w:p w14:paraId="0000003A">
      <w:pPr>
        <w:spacing w:after="0" w:line="144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3B">
      <w:pPr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</w:rPr>
        <w:drawing>
          <wp:inline distB="0" distT="0" distL="0" distR="0">
            <wp:extent cx="6126480" cy="313982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39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t>Figura 1. Capas del sistema: intención → señal → componente → superficie → viewport.</w:t>
      </w:r>
    </w:p>
    <w:p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tl w:val="0"/>
        </w:rPr>
      </w:r>
    </w:p>
    <w:p w14:paraId="0000003E">
      <w:pPr>
        <w:pStyle w:val="Heading3"/>
        <w:spacing w:after="90" w:line="280" w:lineRule="auto"/>
        <w:rPr/>
      </w:pPr>
      <w:r>
        <w:t>Componentes centrales</w:t>
      </w:r>
    </w:p>
    <w:p w14:paraId="0000003F">
      <w:pPr>
        <w:spacing w:after="0" w:before="20" w:line="240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tbl>
      <w:tblPr>
        <w:tblStyle w:val="Table4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268"/>
        <w:gridCol w:w="3164"/>
        <w:gridCol w:w="2374"/>
        <w:gridCol w:w="2634"/>
        <w:tblGridChange w:id="0">
          <w:tblGrid>
            <w:gridCol w:w="2268"/>
            <w:gridCol w:w="3164"/>
            <w:gridCol w:w="2374"/>
            <w:gridCol w:w="263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Componente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Responsabilidad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Fuente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Fallo seguro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Tokens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Color, tipo, espacio, borde y sombra.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CSS variables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Neutraliza sin ocultar contenido.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Marca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Identidad y reconocimiento.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SVG versionado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Wordmark textual como fallback.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Señales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Mapear significado técnico a color.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Mapa semántico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Etiqueta e icono siguen visibles.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Componentes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Componer controles, tarjetas y estados.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React/CSS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Estado explícito y reversible.</w:t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QA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Validar viewport, tema, foco y motion.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Checks + navegador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Bloquea publicación defectuosa.</w:t>
            </w:r>
          </w:p>
        </w:tc>
      </w:tr>
    </w:tbl>
    <w:p w14:paraId="00000058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59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5A">
      <w:pPr>
        <w:pStyle w:val="Heading1"/>
        <w:rPr>
          <w:rFonts w:ascii="Helvetica Neue" w:cs="Helvetica Neue" w:eastAsia="Helvetica Neue" w:hAnsi="Helvetica Neue"/>
        </w:rPr>
      </w:pPr>
      <w:r>
        <w:t>5.  Ciclo de una interacción</w:t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t>1. La vista recibe contenido, estado, tema, viewport y preferencia de movimiento.</w:t>
      </w:r>
    </w:p>
    <w:p w14:paraId="0000005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t>2. Se valida que la señal semántica corresponda al resultado o estado mostrado.</w:t>
      </w:r>
    </w:p>
    <w:p w14:paraId="0000005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t>3. Se cargan tokens de superficie, tipografía, espaciado, borde, sombra y movimiento.</w:t>
      </w:r>
    </w:p>
    <w:p w14:paraId="0000005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t>4. El componente selecciona jerarquía, icono, copy y diagrama sin alterar el dato fuente.</w:t>
      </w:r>
    </w:p>
    <w:p w14:paraId="0000005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t>5. El estado persistente se guarda en el dominio del producto, no en el componente visual.</w:t>
      </w:r>
    </w:p>
    <w:p w14:paraId="0000006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t>6. La transición usa 180–520 ms, spring suave y una alternativa sin movimiento.</w:t>
      </w:r>
    </w:p>
    <w:p w14:paraId="0000006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t>7. La salida se valida por legibilidad, contraste, foco, overflow y coherencia entre temas.</w:t>
      </w:r>
    </w:p>
    <w:p w14:paraId="00000062">
      <w:pPr>
        <w:pStyle w:val="Heading1"/>
        <w:spacing w:before="0" w:line="168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63">
      <w:pPr>
        <w:pStyle w:val="Heading1"/>
        <w:rPr>
          <w:rFonts w:ascii="Helvetica Neue" w:cs="Helvetica Neue" w:eastAsia="Helvetica Neue" w:hAnsi="Helvetica Neue"/>
        </w:rPr>
      </w:pPr>
      <w:r>
        <w:t>6.  Contratos de diseño</w:t>
      </w:r>
    </w:p>
    <w:p w14:paraId="00000064">
      <w:pPr>
        <w:pStyle w:val="Heading3"/>
        <w:spacing w:after="90" w:line="280" w:lineRule="auto"/>
        <w:rPr/>
      </w:pPr>
      <w:r>
        <w:t>Contrato primario de tokens</w:t>
      </w:r>
    </w:p>
    <w:p w14:paraId="00000065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tbl>
      <w:tblPr>
        <w:tblStyle w:val="Table5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344"/>
        <w:gridCol w:w="1921"/>
        <w:gridCol w:w="1873"/>
        <w:gridCol w:w="4302"/>
        <w:tblGridChange w:id="0">
          <w:tblGrid>
            <w:gridCol w:w="2344"/>
            <w:gridCol w:w="1921"/>
            <w:gridCol w:w="1873"/>
            <w:gridCol w:w="430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Campo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Tipo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Requerido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Descripción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intent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string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Sí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Acción o información que el componente comunica.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signal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enum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Sí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Axial, momento, cortante, deformada, fluencia o estado.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theme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enum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Sí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Día o noche con igual semántica.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state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enum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Sí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Default, hover, focus, active, loading, disabled o error.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viewport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number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Sí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Ancho disponible; nunca ancho de pantalla supuesto.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motion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enum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Sí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Completo o reducido.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version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string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Sí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Versión trazable del sistema visual.</w:t>
            </w:r>
          </w:p>
        </w:tc>
      </w:tr>
    </w:tbl>
    <w:p w14:paraId="00000086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p w14:paraId="00000087">
      <w:pPr>
        <w:pStyle w:val="Heading3"/>
        <w:spacing w:after="90" w:line="280" w:lineRule="auto"/>
        <w:rPr/>
      </w:pPr>
      <w:r>
        <w:t>Garantías del contrato</w:t>
      </w:r>
    </w:p>
    <w:p w14:paraId="00000088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p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t>Los nombres semánticos son estables aunque cambie el valor visual entre día y noche.</w:t>
      </w:r>
    </w:p>
    <w:p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t>Cada variante y estado tiene un identificador único y una prioridad explícita.</w:t>
      </w:r>
    </w:p>
    <w:p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t>Tema, viewport, estado, preferencia de movimiento y versión del sistema quedan trazables.</w:t>
      </w:r>
    </w:p>
    <w:p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t>Los tokens son fuente de verdad visual; no son fuente de verdad para resultados estructurales.</w:t>
      </w:r>
    </w:p>
    <w:p w14:paraId="0000008D">
      <w:pPr>
        <w:spacing w:after="110" w:line="300" w:lineRule="auto"/>
        <w:rPr>
          <w:rFonts w:ascii="Helvetica Neue" w:cs="Helvetica Neue" w:eastAsia="Helvetica Neue" w:hAnsi="Helvetica Neue"/>
        </w:rPr>
      </w:pPr>
      <w:r>
        <w:t>La implementación versionada vive en el Site del brandbook y en sus assets de marca.</w:t>
      </w:r>
    </w:p>
    <w:p w14:paraId="0000008E">
      <w:pPr>
        <w:spacing w:after="110" w:line="300" w:lineRule="auto"/>
        <w:rPr>
          <w:rFonts w:ascii="Helvetica Neue" w:cs="Helvetica Neue" w:eastAsia="Helvetica Neue" w:hAnsi="Helvetica Neue"/>
        </w:rPr>
      </w:pPr>
      <w:r>
        <w:t>Los cambios deben actualizar el Site, este documento y las pruebas visuales relacionadas.</w:t>
      </w:r>
    </w:p>
    <w:p w14:paraId="0000008F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90">
      <w:pPr>
        <w:pStyle w:val="Heading1"/>
        <w:rPr>
          <w:rFonts w:ascii="Helvetica Neue" w:cs="Helvetica Neue" w:eastAsia="Helvetica Neue" w:hAnsi="Helvetica Neue"/>
        </w:rPr>
      </w:pPr>
      <w:r>
        <w:t>7. Consistencia, repetición y recuperación</w:t>
      </w:r>
    </w:p>
    <w:p w14:paraId="00000091">
      <w:pPr>
        <w:spacing w:after="0" w:line="96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92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t>La misma combinación de señal, estado y tema debe producir la misma jerarquía. Repetir una interacción no debe duplicar efectos. Si faltan tokens o assets, el componente usa una superficie neutral, conserva el contenido y expone el estado degradado.</w:t>
      </w:r>
    </w:p>
    <w:tbl>
      <w:tblPr>
        <w:tblStyle w:val="Table6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37"/>
        <w:gridCol w:w="3722"/>
        <w:gridCol w:w="3381"/>
        <w:tblGridChange w:id="0">
          <w:tblGrid>
            <w:gridCol w:w="3337"/>
            <w:gridCol w:w="3722"/>
            <w:gridCol w:w="338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Escenario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Comportamiento esperado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Razón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Interacción repetida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Mismo estado, sin efectos duplicados.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Consistencia perceptual.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Token o asset ausente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Fallback neutral y contenido intacto.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La legibilidad tiene prioridad.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Viewport estrecho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Reflujo a una columna, sin overflow.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Paridad móvil.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Cambio de tema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Geometría estable; cambian papel y profundidad.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Reduce desorientación.</w:t>
            </w:r>
          </w:p>
        </w:tc>
      </w:tr>
    </w:tbl>
    <w:p w14:paraId="000000A2">
      <w:pPr>
        <w:pStyle w:val="Heading1"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A3">
      <w:pPr>
        <w:pStyle w:val="Heading1"/>
        <w:rPr>
          <w:rFonts w:ascii="Helvetica Neue" w:cs="Helvetica Neue" w:eastAsia="Helvetica Neue" w:hAnsi="Helvetica Neue"/>
        </w:rPr>
      </w:pPr>
      <w:r>
        <w:t>8. Accesibilidad, seguridad y privacidad</w:t>
      </w:r>
    </w:p>
    <w:p w14:paraId="000000A4">
      <w:pPr>
        <w:spacing w:after="0" w:line="96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t>Los componentes respetan foco visible, orden de teclado y objetivos táctiles de al menos 44 px.</w:t>
      </w:r>
    </w:p>
    <w:p w14:paraId="000000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t>El color nunca es el único portador de significado; icono, etiqueta y posición lo acompañan.</w:t>
      </w:r>
    </w:p>
    <w:p w14:paraId="000000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t>El brandbook no almacena credenciales ni datos de proyecto; los mockups usan contenido ficticio.</w:t>
      </w:r>
    </w:p>
    <w:p w14:paraId="000000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t>El modo de movimiento reducido elimina desplazamientos y conserva cambios de estado instantáneos.</w:t>
      </w:r>
    </w:p>
    <w:p w14:paraId="000000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t>El copy evita promesas de certificación, exactitud normativa o preparación para obra sin evidencia.</w:t>
      </w:r>
    </w:p>
    <w:p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AC">
      <w:pPr>
        <w:pStyle w:val="Heading1"/>
        <w:rPr>
          <w:rFonts w:ascii="Helvetica Neue" w:cs="Helvetica Neue" w:eastAsia="Helvetica Neue" w:hAnsi="Helvetica Neue"/>
        </w:rPr>
      </w:pPr>
      <w:r>
        <w:t>9.  Preparación operativa</w:t>
      </w:r>
    </w:p>
    <w:tbl>
      <w:tblPr>
        <w:tblStyle w:val="Table7"/>
        <w:tblW w:w="10440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2268"/>
        <w:gridCol w:w="3521"/>
        <w:gridCol w:w="2306"/>
        <w:gridCol w:w="2345"/>
        <w:tblGridChange w:id="0">
          <w:tblGrid>
            <w:gridCol w:w="2268"/>
            <w:gridCol w:w="3521"/>
            <w:gridCol w:w="2306"/>
            <w:gridCol w:w="234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Señal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Objetivo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Responsable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Puerta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Legibilidad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Cero texto oculto o solapado.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Diseño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Requerida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Responsive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Cero overflow a 390 px.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Frontend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Requerida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Contraste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Estados y foco discernibles.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Diseño + QA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Requerida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Movimiento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Sin mareo; reduced motion funcional.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Frontend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Requerida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Build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Lint, build y checks verdes.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Desarrollo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Requerida</w:t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Restricción de rollout: publicar primero el brandbook; migrar el producto por familias reversibles.</w:t>
            </w:r>
          </w:p>
        </w:tc>
      </w:tr>
    </w:tbl>
    <w:p w14:paraId="000000C9">
      <w:pPr>
        <w:pStyle w:val="Heading1"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CA">
      <w:pPr>
        <w:pStyle w:val="Heading1"/>
        <w:rPr>
          <w:rFonts w:ascii="Helvetica Neue" w:cs="Helvetica Neue" w:eastAsia="Helvetica Neue" w:hAnsi="Helvetica Neue"/>
        </w:rPr>
      </w:pPr>
      <w:r>
        <w:t>10. Alternativas consideradas</w:t>
      </w:r>
    </w:p>
    <w:p w14:paraId="000000CB">
      <w:pPr>
        <w:spacing w:after="0" w:line="14.399999999999999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CC">
      <w:pPr>
        <w:spacing w:after="0" w:line="192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8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03"/>
        <w:gridCol w:w="3313"/>
        <w:gridCol w:w="3824"/>
        <w:tblGridChange w:id="0">
          <w:tblGrid>
            <w:gridCol w:w="3303"/>
            <w:gridCol w:w="3313"/>
            <w:gridCol w:w="382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Alternativa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Motivo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Por qué no se elige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Minimalismo plano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Alta simplicidad inicial.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Pierde profundidad e interacción.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Oscuro negro puro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Contraste aparente.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Aplana superficies y esconde sombras.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Color decorativo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Impacto visual rápido.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Debilita el significado técnico.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Copiar otra marca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Reduce tiempo de exploración.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No crea identidad propia.</w:t>
            </w:r>
          </w:p>
        </w:tc>
      </w:tr>
    </w:tbl>
    <w:p w14:paraId="000000DC">
      <w:pPr>
        <w:pStyle w:val="Heading1"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DD">
      <w:pPr>
        <w:pStyle w:val="Heading1"/>
        <w:rPr>
          <w:rFonts w:ascii="Helvetica Neue" w:cs="Helvetica Neue" w:eastAsia="Helvetica Neue" w:hAnsi="Helvetica Neue"/>
        </w:rPr>
      </w:pPr>
      <w:r>
        <w:t>11. Preguntas abiertas</w:t>
      </w:r>
    </w:p>
    <w:p w14:paraId="000000D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t>1. ¿Qué secuencia de adopción seguirá la nueva marca madre y su familia de herramientas?</w:t>
      </w:r>
    </w:p>
    <w:p w14:paraId="000000D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t>2. ¿Qué diagramas serán Disponible, Experimental y Planeado en la primera adopción?</w:t>
      </w:r>
    </w:p>
    <w:p w14:paraId="000000E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t>3. ¿El tema seguirá al sistema operativo o será una preferencia guardada por proyecto?</w:t>
      </w:r>
    </w:p>
    <w:p w14:paraId="000000E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t>4. ¿Qué equipo aprueba cambios futuros en tokens semánticos y copy crítico?</w:t>
      </w:r>
    </w:p>
    <w:p w14:paraId="000000E2">
      <w:pPr>
        <w:pStyle w:val="Heading1"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E3">
      <w:pPr>
        <w:pStyle w:val="Heading1"/>
        <w:rPr>
          <w:rFonts w:ascii="Helvetica Neue" w:cs="Helvetica Neue" w:eastAsia="Helvetica Neue" w:hAnsi="Helvetica Neue"/>
        </w:rPr>
      </w:pPr>
      <w:r>
        <w:t>12. Decisión y siguientes pasos</w:t>
      </w:r>
    </w:p>
    <w:p w14:paraId="000000E4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t>Adoptar este sistema como dirección visual propuesta. Primero se valida el Site responsive y su paridad día/noche; después se migran componentes de producto por familias reversibles, empezando por navegación, tarjetas y diagramas. La adopción amplia requiere contraste, teclado, movimiento reducido, pruebas visuales y límites de producto explícitos.</w:t>
      </w:r>
    </w:p>
    <w:tbl>
      <w:tblPr>
        <w:tblStyle w:val="Table9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54"/>
        <w:gridCol w:w="3713"/>
        <w:gridCol w:w="3773"/>
        <w:tblGridChange w:id="0">
          <w:tblGrid>
            <w:gridCol w:w="2954"/>
            <w:gridCol w:w="3713"/>
            <w:gridCol w:w="377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Hito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Entregable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Criterio de salida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M1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Brandbook responsive y logo.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Desktop/móvil, día/noche y copy validados.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M2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Tokens y componentes compartidos.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Pruebas de estados y accesibilidad.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M3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Primera familia dentro del producto.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Adopción reversible sin regresiones.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M4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Expansión gradual.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Paridad y trazabilidad verificadas.</w:t>
            </w:r>
          </w:p>
        </w:tc>
      </w:tr>
    </w:tbl>
    <w:p w14:paraId="000000F4">
      <w:pPr>
        <w:spacing w:after="120" w:line="269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893" w:top="1008" w:left="1008" w:right="100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6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</w:rPr>
    </w:pPr>
    <w: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16"/>
        <w:szCs w:val="16"/>
        <w:u w:val="none"/>
        <w:shd w:fill="auto" w:val="clear"/>
        <w:vertAlign w:val="baseline"/>
        <w:rtl w:val="0"/>
      </w:rPr>
      <w:t xml:space="preserve">[Organization Name] | System Design RFC</w:t>
    </w:r>
    <w:r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rPr/>
    </w:pPr>
    <w:r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</w:rPr>
        <w:footnoteRef/>
      </w:r>
      <w:r>
        <w:rPr>
          <w:color w:val="233447"/>
          <w:rtl w:val="0"/>
        </w:rPr>
        <w:t xml:space="preserve"> Use footnotes for definitions, assumptions, or terms that need precision without interrupting the main narrative.</w:t>
      </w:r>
      <w:r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  <w:r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30" w:line="285" w:lineRule="auto"/>
    </w:pPr>
    <w:rPr>
      <w:b w:val="1"/>
      <w:bCs w:val="1"/>
      <w:color w:val="082a4a"/>
      <w:sz w:val="27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smallCaps w:val="1"/>
      <w:color w:val="082a4a"/>
      <w:sz w:val="19"/>
      <w:szCs w:val="19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color w:val="5b708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082a4a"/>
    </w:rPr>
  </w:style>
  <w:style w:type="paragraph" w:styleId="Title">
    <w:name w:val="Title"/>
    <w:basedOn w:val="Normal"/>
    <w:next w:val="Normal"/>
    <w:pPr>
      <w:spacing w:after="150" w:lineRule="auto"/>
    </w:pPr>
    <w:rPr>
      <w:b w:val="1"/>
      <w:bCs w:val="1"/>
      <w:color w:val="082a4a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82a4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example.com/system-design/contract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FusionStructure — Arquitectura del sistema visual</dc:title>
  <cp:lastModifiedBy>python-docx</cp:lastModifiedBy>
  <cp:revision>1</cp:revision>
  <dcterms:modified xsi:type="dcterms:W3CDTF">2026-09-01T13:49:40Z</dcterms:modified>
  <dc:subject>Make complexity legible.</dc:subject>
  <dc:creator>FusionStructure + Codex</dc:creator>
</cp:coreProperties>
</file>