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92EB4" w14:textId="77777777" w:rsidR="00BD02DC" w:rsidRDefault="00BD02DC" w:rsidP="007C7D78">
      <w:pPr>
        <w:pStyle w:val="NormalWeb"/>
        <w:spacing w:before="0" w:beforeAutospacing="0" w:after="0" w:afterAutospacing="0"/>
        <w:rPr>
          <w:rFonts w:ascii="Calibri" w:hAnsi="Calibri"/>
          <w:b/>
          <w:bCs/>
          <w:sz w:val="22"/>
          <w:szCs w:val="22"/>
        </w:rPr>
      </w:pPr>
    </w:p>
    <w:p w14:paraId="022D7DBE" w14:textId="77777777" w:rsidR="00BD02DC" w:rsidRDefault="00BD02DC" w:rsidP="007C7D78">
      <w:pPr>
        <w:pStyle w:val="NormalWeb"/>
        <w:spacing w:before="0" w:beforeAutospacing="0" w:after="0" w:afterAutospacing="0"/>
        <w:rPr>
          <w:rFonts w:ascii="Calibri" w:hAnsi="Calibri"/>
          <w:b/>
          <w:bCs/>
          <w:sz w:val="22"/>
          <w:szCs w:val="22"/>
        </w:rPr>
      </w:pPr>
    </w:p>
    <w:p w14:paraId="22892D97" w14:textId="77777777" w:rsidR="00BD02DC" w:rsidRDefault="00BD02DC" w:rsidP="007C7D78">
      <w:pPr>
        <w:pStyle w:val="NormalWeb"/>
        <w:spacing w:before="0" w:beforeAutospacing="0" w:after="0" w:afterAutospacing="0"/>
        <w:rPr>
          <w:rFonts w:ascii="Calibri" w:hAnsi="Calibri"/>
          <w:b/>
          <w:bCs/>
          <w:sz w:val="22"/>
          <w:szCs w:val="22"/>
        </w:rPr>
      </w:pPr>
    </w:p>
    <w:p w14:paraId="31818BEF" w14:textId="77777777" w:rsidR="00BD02DC" w:rsidRDefault="00BD02DC" w:rsidP="007C7D78">
      <w:pPr>
        <w:pStyle w:val="NormalWeb"/>
        <w:spacing w:before="0" w:beforeAutospacing="0" w:after="0" w:afterAutospacing="0"/>
        <w:rPr>
          <w:rFonts w:ascii="Calibri" w:hAnsi="Calibri"/>
          <w:b/>
          <w:bCs/>
          <w:sz w:val="22"/>
          <w:szCs w:val="22"/>
        </w:rPr>
      </w:pPr>
    </w:p>
    <w:p w14:paraId="695473BC" w14:textId="77777777" w:rsidR="00BD02DC" w:rsidRDefault="00BD02DC" w:rsidP="007C7D78">
      <w:pPr>
        <w:pStyle w:val="NormalWeb"/>
        <w:spacing w:before="0" w:beforeAutospacing="0" w:after="0" w:afterAutospacing="0"/>
        <w:rPr>
          <w:rFonts w:ascii="Calibri" w:hAnsi="Calibri"/>
          <w:b/>
          <w:bCs/>
          <w:sz w:val="22"/>
          <w:szCs w:val="22"/>
        </w:rPr>
      </w:pPr>
    </w:p>
    <w:p w14:paraId="6AE15490" w14:textId="7D9AF56B" w:rsidR="00BD02DC" w:rsidRDefault="00BD02DC" w:rsidP="007C7D78">
      <w:pPr>
        <w:pStyle w:val="NormalWeb"/>
        <w:spacing w:before="0" w:beforeAutospacing="0" w:after="0" w:afterAutospacing="0"/>
        <w:rPr>
          <w:rFonts w:ascii="Calibri" w:hAnsi="Calibri"/>
          <w:b/>
          <w:bCs/>
          <w:sz w:val="22"/>
          <w:szCs w:val="22"/>
        </w:rPr>
      </w:pPr>
    </w:p>
    <w:p w14:paraId="3CC61863" w14:textId="16A25407" w:rsidR="00BD02DC" w:rsidRDefault="00BD02DC" w:rsidP="007C7D78">
      <w:pPr>
        <w:pStyle w:val="NormalWeb"/>
        <w:spacing w:before="0" w:beforeAutospacing="0" w:after="0" w:afterAutospacing="0"/>
        <w:rPr>
          <w:rFonts w:ascii="Calibri" w:hAnsi="Calibri"/>
          <w:b/>
          <w:bCs/>
          <w:sz w:val="22"/>
          <w:szCs w:val="22"/>
        </w:rPr>
      </w:pPr>
    </w:p>
    <w:p w14:paraId="6C7E3DA6" w14:textId="420FF07B" w:rsidR="00BD02DC" w:rsidRDefault="00BD02DC" w:rsidP="007C7D78">
      <w:pPr>
        <w:pStyle w:val="NormalWeb"/>
        <w:spacing w:before="0" w:beforeAutospacing="0" w:after="0" w:afterAutospacing="0"/>
        <w:rPr>
          <w:rFonts w:ascii="Calibri" w:hAnsi="Calibri"/>
          <w:b/>
          <w:bCs/>
          <w:sz w:val="22"/>
          <w:szCs w:val="22"/>
        </w:rPr>
      </w:pPr>
    </w:p>
    <w:p w14:paraId="78897D2A" w14:textId="4D93B655" w:rsidR="00BD02DC" w:rsidRDefault="00BD02DC" w:rsidP="007C7D78">
      <w:pPr>
        <w:pStyle w:val="NormalWeb"/>
        <w:spacing w:before="0" w:beforeAutospacing="0" w:after="0" w:afterAutospacing="0"/>
        <w:rPr>
          <w:rFonts w:ascii="Calibri" w:hAnsi="Calibri"/>
          <w:b/>
          <w:bCs/>
          <w:sz w:val="22"/>
          <w:szCs w:val="22"/>
        </w:rPr>
      </w:pPr>
    </w:p>
    <w:p w14:paraId="36C6C14F" w14:textId="01F2B2CB" w:rsidR="00BD02DC" w:rsidRDefault="00BD02DC" w:rsidP="007C7D78">
      <w:pPr>
        <w:pStyle w:val="NormalWeb"/>
        <w:spacing w:before="0" w:beforeAutospacing="0" w:after="0" w:afterAutospacing="0"/>
        <w:rPr>
          <w:rFonts w:ascii="Calibri" w:hAnsi="Calibri"/>
          <w:b/>
          <w:bCs/>
          <w:sz w:val="22"/>
          <w:szCs w:val="22"/>
        </w:rPr>
      </w:pPr>
    </w:p>
    <w:p w14:paraId="56C1C6F9" w14:textId="77777777" w:rsidR="00BD02DC" w:rsidRDefault="00BD02DC" w:rsidP="007C7D78">
      <w:pPr>
        <w:pStyle w:val="NormalWeb"/>
        <w:spacing w:before="0" w:beforeAutospacing="0" w:after="0" w:afterAutospacing="0"/>
        <w:rPr>
          <w:rFonts w:ascii="Calibri" w:hAnsi="Calibri"/>
          <w:b/>
          <w:bCs/>
          <w:sz w:val="22"/>
          <w:szCs w:val="22"/>
        </w:rPr>
      </w:pPr>
    </w:p>
    <w:p w14:paraId="08D40615" w14:textId="77777777" w:rsidR="00BD02DC" w:rsidRDefault="00BD02DC" w:rsidP="007C7D78">
      <w:pPr>
        <w:pStyle w:val="NormalWeb"/>
        <w:spacing w:before="0" w:beforeAutospacing="0" w:after="0" w:afterAutospacing="0"/>
        <w:rPr>
          <w:rFonts w:ascii="Calibri" w:hAnsi="Calibri"/>
          <w:b/>
          <w:bCs/>
          <w:sz w:val="22"/>
          <w:szCs w:val="22"/>
        </w:rPr>
      </w:pPr>
    </w:p>
    <w:p w14:paraId="3C2E7A20" w14:textId="501D6AD5" w:rsidR="00BD02DC" w:rsidRDefault="00BD02DC" w:rsidP="00BD02DC">
      <w:pPr>
        <w:pStyle w:val="NormalWeb"/>
        <w:spacing w:before="0" w:beforeAutospacing="0" w:after="0" w:afterAutospacing="0"/>
        <w:jc w:val="center"/>
        <w:rPr>
          <w:rFonts w:ascii="Calibri" w:hAnsi="Calibri"/>
          <w:b/>
          <w:bCs/>
          <w:sz w:val="22"/>
          <w:szCs w:val="22"/>
        </w:rPr>
      </w:pPr>
      <w:r w:rsidRPr="00BD02DC">
        <w:rPr>
          <w:rFonts w:ascii="Calibri" w:hAnsi="Calibri"/>
          <w:b/>
          <w:bCs/>
          <w:sz w:val="22"/>
          <w:szCs w:val="22"/>
        </w:rPr>
        <w:t>Dunkin' Brands Group, Inc. (NasdaqGS:DNKN)</w:t>
      </w:r>
    </w:p>
    <w:p w14:paraId="30DB22AC" w14:textId="62FB2542" w:rsidR="00BD02DC" w:rsidRDefault="00BD02DC" w:rsidP="00BD02DC">
      <w:pPr>
        <w:pStyle w:val="NormalWeb"/>
        <w:spacing w:before="0" w:beforeAutospacing="0" w:after="0" w:afterAutospacing="0"/>
        <w:jc w:val="center"/>
        <w:rPr>
          <w:rFonts w:ascii="Calibri" w:hAnsi="Calibri"/>
          <w:b/>
          <w:bCs/>
          <w:sz w:val="22"/>
          <w:szCs w:val="22"/>
        </w:rPr>
      </w:pPr>
      <w:r>
        <w:rPr>
          <w:rFonts w:ascii="Calibri" w:hAnsi="Calibri"/>
          <w:b/>
          <w:bCs/>
          <w:sz w:val="22"/>
          <w:szCs w:val="22"/>
        </w:rPr>
        <w:t>Risks and Derivative Recommendation</w:t>
      </w:r>
    </w:p>
    <w:p w14:paraId="57D14DE9" w14:textId="13985023" w:rsidR="00BD02DC" w:rsidRDefault="00BD02DC" w:rsidP="00BD02DC">
      <w:pPr>
        <w:pStyle w:val="NormalWeb"/>
        <w:spacing w:before="0" w:beforeAutospacing="0" w:after="0" w:afterAutospacing="0"/>
        <w:jc w:val="center"/>
        <w:rPr>
          <w:rFonts w:ascii="Calibri" w:hAnsi="Calibri"/>
          <w:b/>
          <w:bCs/>
          <w:sz w:val="22"/>
          <w:szCs w:val="22"/>
        </w:rPr>
      </w:pPr>
      <w:r>
        <w:rPr>
          <w:rFonts w:ascii="Calibri" w:hAnsi="Calibri"/>
          <w:b/>
          <w:bCs/>
          <w:sz w:val="22"/>
          <w:szCs w:val="22"/>
        </w:rPr>
        <w:t>BU423 Options, Futures and Swaps</w:t>
      </w:r>
    </w:p>
    <w:p w14:paraId="2BE67BFA" w14:textId="1AB2F243" w:rsidR="00BD02DC" w:rsidRDefault="00BD02DC" w:rsidP="00BD02DC">
      <w:pPr>
        <w:pStyle w:val="NormalWeb"/>
        <w:spacing w:before="0" w:beforeAutospacing="0" w:after="0" w:afterAutospacing="0"/>
        <w:jc w:val="center"/>
        <w:rPr>
          <w:rFonts w:ascii="Calibri" w:hAnsi="Calibri"/>
          <w:b/>
          <w:bCs/>
          <w:sz w:val="22"/>
          <w:szCs w:val="22"/>
        </w:rPr>
      </w:pPr>
      <w:r>
        <w:rPr>
          <w:rFonts w:ascii="Calibri" w:hAnsi="Calibri"/>
          <w:b/>
          <w:bCs/>
          <w:sz w:val="22"/>
          <w:szCs w:val="22"/>
        </w:rPr>
        <w:t>Betty (Zihui) Qin</w:t>
      </w:r>
    </w:p>
    <w:p w14:paraId="3191F254" w14:textId="41EB5EA7" w:rsidR="00BD02DC" w:rsidRDefault="00BD02DC" w:rsidP="00BD02DC">
      <w:pPr>
        <w:pStyle w:val="NormalWeb"/>
        <w:spacing w:before="0" w:beforeAutospacing="0" w:after="0" w:afterAutospacing="0"/>
        <w:jc w:val="center"/>
        <w:rPr>
          <w:rFonts w:ascii="Calibri" w:hAnsi="Calibri"/>
          <w:b/>
          <w:bCs/>
          <w:sz w:val="22"/>
          <w:szCs w:val="22"/>
        </w:rPr>
      </w:pPr>
      <w:r>
        <w:rPr>
          <w:rFonts w:ascii="Calibri" w:hAnsi="Calibri"/>
          <w:b/>
          <w:bCs/>
          <w:sz w:val="22"/>
          <w:szCs w:val="22"/>
        </w:rPr>
        <w:t>Student ID: 207035760</w:t>
      </w:r>
    </w:p>
    <w:p w14:paraId="25F43DA3" w14:textId="77777777" w:rsidR="00BD02DC" w:rsidRDefault="00BD02DC" w:rsidP="007C7D78">
      <w:pPr>
        <w:pStyle w:val="NormalWeb"/>
        <w:spacing w:before="0" w:beforeAutospacing="0" w:after="0" w:afterAutospacing="0"/>
        <w:rPr>
          <w:rFonts w:ascii="Calibri" w:hAnsi="Calibri"/>
          <w:b/>
          <w:bCs/>
          <w:sz w:val="22"/>
          <w:szCs w:val="22"/>
        </w:rPr>
      </w:pPr>
    </w:p>
    <w:p w14:paraId="1DBD5F9E" w14:textId="77777777" w:rsidR="00BD02DC" w:rsidRDefault="00BD02DC" w:rsidP="007C7D78">
      <w:pPr>
        <w:pStyle w:val="NormalWeb"/>
        <w:spacing w:before="0" w:beforeAutospacing="0" w:after="0" w:afterAutospacing="0"/>
        <w:rPr>
          <w:rFonts w:ascii="Calibri" w:hAnsi="Calibri"/>
          <w:b/>
          <w:bCs/>
          <w:sz w:val="22"/>
          <w:szCs w:val="22"/>
        </w:rPr>
      </w:pPr>
    </w:p>
    <w:p w14:paraId="6AF01215" w14:textId="77777777" w:rsidR="00BD02DC" w:rsidRDefault="00BD02DC" w:rsidP="007C7D78">
      <w:pPr>
        <w:pStyle w:val="NormalWeb"/>
        <w:spacing w:before="0" w:beforeAutospacing="0" w:after="0" w:afterAutospacing="0"/>
        <w:rPr>
          <w:rFonts w:ascii="Calibri" w:hAnsi="Calibri"/>
          <w:b/>
          <w:bCs/>
          <w:sz w:val="22"/>
          <w:szCs w:val="22"/>
        </w:rPr>
      </w:pPr>
    </w:p>
    <w:p w14:paraId="76227DC7" w14:textId="77777777" w:rsidR="00BD02DC" w:rsidRDefault="00BD02DC" w:rsidP="007C7D78">
      <w:pPr>
        <w:pStyle w:val="NormalWeb"/>
        <w:spacing w:before="0" w:beforeAutospacing="0" w:after="0" w:afterAutospacing="0"/>
        <w:rPr>
          <w:rFonts w:ascii="Calibri" w:hAnsi="Calibri"/>
          <w:b/>
          <w:bCs/>
          <w:sz w:val="22"/>
          <w:szCs w:val="22"/>
        </w:rPr>
      </w:pPr>
    </w:p>
    <w:p w14:paraId="4D180167" w14:textId="77777777" w:rsidR="00BD02DC" w:rsidRDefault="00BD02DC" w:rsidP="007C7D78">
      <w:pPr>
        <w:pStyle w:val="NormalWeb"/>
        <w:spacing w:before="0" w:beforeAutospacing="0" w:after="0" w:afterAutospacing="0"/>
        <w:rPr>
          <w:rFonts w:ascii="Calibri" w:hAnsi="Calibri"/>
          <w:b/>
          <w:bCs/>
          <w:sz w:val="22"/>
          <w:szCs w:val="22"/>
        </w:rPr>
      </w:pPr>
    </w:p>
    <w:p w14:paraId="619896FF" w14:textId="36E23A40" w:rsidR="00BD02DC" w:rsidRDefault="00BD02DC" w:rsidP="007C7D78">
      <w:pPr>
        <w:pStyle w:val="NormalWeb"/>
        <w:spacing w:before="0" w:beforeAutospacing="0" w:after="0" w:afterAutospacing="0"/>
        <w:rPr>
          <w:rFonts w:ascii="Calibri" w:hAnsi="Calibri"/>
          <w:b/>
          <w:bCs/>
          <w:sz w:val="22"/>
          <w:szCs w:val="22"/>
        </w:rPr>
      </w:pPr>
    </w:p>
    <w:p w14:paraId="1FE16977" w14:textId="77777777" w:rsidR="00BD02DC" w:rsidRDefault="00BD02DC" w:rsidP="007C7D78">
      <w:pPr>
        <w:pStyle w:val="NormalWeb"/>
        <w:spacing w:before="0" w:beforeAutospacing="0" w:after="0" w:afterAutospacing="0"/>
        <w:rPr>
          <w:rFonts w:ascii="Calibri" w:hAnsi="Calibri"/>
          <w:b/>
          <w:bCs/>
          <w:sz w:val="22"/>
          <w:szCs w:val="22"/>
        </w:rPr>
      </w:pPr>
    </w:p>
    <w:p w14:paraId="5BE8CC0B" w14:textId="49EE9A0C" w:rsidR="007C7D78" w:rsidRDefault="007C7D78" w:rsidP="007C7D78">
      <w:pPr>
        <w:pStyle w:val="NormalWeb"/>
        <w:spacing w:before="0" w:beforeAutospacing="0" w:after="0" w:afterAutospacing="0"/>
        <w:rPr>
          <w:rFonts w:ascii="Calibri" w:hAnsi="Calibri"/>
          <w:b/>
          <w:bCs/>
          <w:sz w:val="22"/>
          <w:szCs w:val="22"/>
        </w:rPr>
      </w:pPr>
      <w:r>
        <w:rPr>
          <w:rFonts w:ascii="Calibri" w:hAnsi="Calibri"/>
          <w:b/>
          <w:bCs/>
          <w:sz w:val="22"/>
          <w:szCs w:val="22"/>
        </w:rPr>
        <w:lastRenderedPageBreak/>
        <w:t>1.0 COMPANY BACKGROUD</w:t>
      </w:r>
    </w:p>
    <w:p w14:paraId="0240BA32" w14:textId="536F3CA9" w:rsidR="00B7389F" w:rsidRPr="00E65341" w:rsidRDefault="007C7D78" w:rsidP="007C7D78">
      <w:pPr>
        <w:pStyle w:val="NormalWeb"/>
        <w:spacing w:before="0" w:beforeAutospacing="0" w:after="0" w:afterAutospacing="0"/>
        <w:rPr>
          <w:rFonts w:ascii="Calibri" w:hAnsi="Calibri"/>
          <w:b/>
          <w:bCs/>
          <w:sz w:val="22"/>
          <w:szCs w:val="22"/>
        </w:rPr>
      </w:pPr>
      <w:r>
        <w:rPr>
          <w:rFonts w:ascii="Calibri" w:hAnsi="Calibri"/>
          <w:b/>
          <w:bCs/>
          <w:sz w:val="22"/>
          <w:szCs w:val="22"/>
        </w:rPr>
        <w:t xml:space="preserve">1.1 </w:t>
      </w:r>
      <w:r w:rsidR="00FA1D25" w:rsidRPr="00E65341">
        <w:rPr>
          <w:rFonts w:ascii="Calibri" w:hAnsi="Calibri"/>
          <w:b/>
          <w:bCs/>
          <w:sz w:val="22"/>
          <w:szCs w:val="22"/>
        </w:rPr>
        <w:t>Background</w:t>
      </w:r>
      <w:r w:rsidR="00F06BC1">
        <w:rPr>
          <w:rFonts w:ascii="Calibri" w:hAnsi="Calibri"/>
          <w:b/>
          <w:bCs/>
          <w:sz w:val="22"/>
          <w:szCs w:val="22"/>
        </w:rPr>
        <w:t xml:space="preserve">, </w:t>
      </w:r>
      <w:r w:rsidR="00F06BC1" w:rsidRPr="001C36FE">
        <w:rPr>
          <w:rFonts w:ascii="Calibri" w:hAnsi="Calibri"/>
          <w:b/>
          <w:bCs/>
          <w:sz w:val="22"/>
          <w:szCs w:val="22"/>
        </w:rPr>
        <w:t>Industry</w:t>
      </w:r>
      <w:r w:rsidR="00F06BC1">
        <w:rPr>
          <w:rFonts w:ascii="Calibri" w:hAnsi="Calibri"/>
          <w:b/>
          <w:bCs/>
          <w:sz w:val="22"/>
          <w:szCs w:val="22"/>
        </w:rPr>
        <w:t xml:space="preserve"> and History </w:t>
      </w:r>
    </w:p>
    <w:p w14:paraId="53D4C02B" w14:textId="77777777" w:rsidR="00CB2656" w:rsidRDefault="00CB2656" w:rsidP="00CB2656">
      <w:pPr>
        <w:pStyle w:val="NormalWeb"/>
        <w:ind w:firstLine="720"/>
        <w:rPr>
          <w:rFonts w:ascii="Calibri" w:hAnsi="Calibri"/>
          <w:sz w:val="22"/>
          <w:szCs w:val="22"/>
        </w:rPr>
      </w:pPr>
      <w:r w:rsidRPr="00CB2656">
        <w:rPr>
          <w:rFonts w:ascii="Calibri" w:hAnsi="Calibri"/>
          <w:sz w:val="22"/>
          <w:szCs w:val="22"/>
        </w:rPr>
        <w:t xml:space="preserve">Dunkin' Brands Group franchises operate worldwide within the restaurant industry's quick-service restaurants (QSRs) segment. It primarily serves breakfast, including coffee, baked goods, and ice cream. (Bloomberg, Dunkin' Brands Group Inc 2020) The company licenses Dunkin' brand products sold in retail outlets and franchises its restaurants under Dunkin' and Baskin-Robbins brands. There are 13,137 Dunkin' Restaurants (73.3% in the U.S. and 26.7% internationally) and 8,160 Baskin-Robins restaurants (69% internationally and 31% in the U.S.) as of Dec. 28th, 2019. The company's operation has five segments: Dunkin' U.S., Dunkin' International, Baskin-Robbins International, Baskin-Robbins U.S., and U.S. Advertising Funds.  (S&amp;P Capital IQ, 2020) </w:t>
      </w:r>
    </w:p>
    <w:p w14:paraId="4A1A2604" w14:textId="77777777" w:rsidR="00CB2656" w:rsidRDefault="00CB2656" w:rsidP="000953E3">
      <w:pPr>
        <w:pStyle w:val="NormalWeb"/>
        <w:ind w:firstLine="720"/>
        <w:rPr>
          <w:rFonts w:ascii="Calibri" w:hAnsi="Calibri"/>
          <w:sz w:val="22"/>
          <w:szCs w:val="22"/>
        </w:rPr>
      </w:pPr>
      <w:r w:rsidRPr="00CB2656">
        <w:rPr>
          <w:rFonts w:ascii="Calibri" w:hAnsi="Calibri"/>
          <w:sz w:val="22"/>
          <w:szCs w:val="22"/>
        </w:rPr>
        <w:t>QSR generally hope to provide quality and convenient food at low prices, with limited or no seating. From January 4th, 2019 to January 5th, 2020, the U.S. commercial foodservice industry is around a total of $501 billions of sales in the U.S. During this time, the QSR segment accounted for around $332 billion of sales, with an annual compounded growth rate of 1.4% over last five years. The QSR segment attribute to 91% of nearly 12 billion sales of commercial foodservice serving coffee in the U.S. The competitors include 7-Eleven, Burger King, Cold Stone Creamery, Cumberland Farms, Dairy Queen, McDonald's, Panera Bread, Quick Trip, Starbucks, Subway, Taco Bell, Tim Hortons, WaWa, and Wendy's, among others. Additionally, Dunkin competes with QSRs, specialty restaurants, and other retail concepts for prime restaurant locations and qualified franchisees. The Dunkin' brand historically competes on the breakfast daypart, but it increased its focus in its coffee offerings due to its approximately 58% of Dunkin' U.S. systemwide sales. (S&amp;P Capital I.Q., 2020)</w:t>
      </w:r>
    </w:p>
    <w:p w14:paraId="293C1F5A" w14:textId="77777777" w:rsidR="00CB2656" w:rsidRDefault="00CB2656" w:rsidP="00CB2656">
      <w:pPr>
        <w:pStyle w:val="NormalWeb"/>
        <w:ind w:firstLine="720"/>
        <w:rPr>
          <w:rFonts w:ascii="Calibri" w:hAnsi="Calibri"/>
          <w:sz w:val="22"/>
          <w:szCs w:val="22"/>
        </w:rPr>
      </w:pPr>
      <w:r w:rsidRPr="00CB2656">
        <w:rPr>
          <w:rFonts w:ascii="Calibri" w:hAnsi="Calibri"/>
          <w:sz w:val="22"/>
          <w:szCs w:val="22"/>
        </w:rPr>
        <w:t xml:space="preserve">Both of our brands have a rich heritage dating back to the 1940s.  Bill Rosenberg founded his first restaurant, subsequently renamed Dunkin' Donuts, and Burt Baskin and Irv Robbins. Each </w:t>
      </w:r>
      <w:r w:rsidRPr="00CB2656">
        <w:rPr>
          <w:rFonts w:ascii="Calibri" w:hAnsi="Calibri"/>
          <w:sz w:val="22"/>
          <w:szCs w:val="22"/>
        </w:rPr>
        <w:lastRenderedPageBreak/>
        <w:t>established a chain of ice cream shops that eventually combined to form Baskin-Robbins. The Dunkin' Donuts and Baskin-Robbins brands were created in the 1940s individually and then acquired by Allied Domecq PLC and renamed Dunkin' Brands. In 2011, it completed its IPO and listed on the Nasdaq Global Select Market as "DNKN" and it is recognized globally as Dunkin. (S&amp;P Capital IQ, 2020)</w:t>
      </w:r>
    </w:p>
    <w:p w14:paraId="072253E3" w14:textId="7E99A3C4" w:rsidR="00FA1D25" w:rsidRPr="00502579" w:rsidRDefault="007C7D78" w:rsidP="00F06BC1">
      <w:pPr>
        <w:pStyle w:val="NormalWeb"/>
        <w:rPr>
          <w:rFonts w:ascii="Calibri" w:hAnsi="Calibri"/>
          <w:b/>
          <w:bCs/>
          <w:sz w:val="22"/>
          <w:szCs w:val="22"/>
        </w:rPr>
      </w:pPr>
      <w:r>
        <w:rPr>
          <w:rFonts w:ascii="Calibri" w:hAnsi="Calibri"/>
          <w:b/>
          <w:bCs/>
          <w:sz w:val="22"/>
          <w:szCs w:val="22"/>
        </w:rPr>
        <w:t>1.</w:t>
      </w:r>
      <w:r w:rsidR="00FA1D25" w:rsidRPr="00502579">
        <w:rPr>
          <w:rFonts w:ascii="Calibri" w:hAnsi="Calibri"/>
          <w:b/>
          <w:bCs/>
          <w:sz w:val="22"/>
          <w:szCs w:val="22"/>
        </w:rPr>
        <w:t xml:space="preserve">2 </w:t>
      </w:r>
      <w:r w:rsidR="00502579" w:rsidRPr="00502579">
        <w:rPr>
          <w:rFonts w:ascii="Calibri" w:hAnsi="Calibri"/>
          <w:b/>
          <w:bCs/>
          <w:sz w:val="22"/>
          <w:szCs w:val="22"/>
        </w:rPr>
        <w:t>Business</w:t>
      </w:r>
      <w:r w:rsidR="00FA1D25" w:rsidRPr="00502579">
        <w:rPr>
          <w:rFonts w:ascii="Calibri" w:hAnsi="Calibri"/>
          <w:b/>
          <w:bCs/>
          <w:sz w:val="22"/>
          <w:szCs w:val="22"/>
        </w:rPr>
        <w:t xml:space="preserve"> </w:t>
      </w:r>
      <w:r w:rsidR="00502579" w:rsidRPr="00502579">
        <w:rPr>
          <w:rFonts w:ascii="Calibri" w:hAnsi="Calibri"/>
          <w:b/>
          <w:bCs/>
          <w:sz w:val="22"/>
          <w:szCs w:val="22"/>
        </w:rPr>
        <w:t>M</w:t>
      </w:r>
      <w:r w:rsidR="00FA1D25" w:rsidRPr="00502579">
        <w:rPr>
          <w:rFonts w:ascii="Calibri" w:hAnsi="Calibri"/>
          <w:b/>
          <w:bCs/>
          <w:sz w:val="22"/>
          <w:szCs w:val="22"/>
        </w:rPr>
        <w:t xml:space="preserve">odel and </w:t>
      </w:r>
      <w:r w:rsidR="00502579" w:rsidRPr="00502579">
        <w:rPr>
          <w:rFonts w:ascii="Calibri" w:hAnsi="Calibri"/>
          <w:b/>
          <w:bCs/>
          <w:sz w:val="22"/>
          <w:szCs w:val="22"/>
        </w:rPr>
        <w:t>C</w:t>
      </w:r>
      <w:r w:rsidR="00FA1D25" w:rsidRPr="00502579">
        <w:rPr>
          <w:rFonts w:ascii="Calibri" w:hAnsi="Calibri"/>
          <w:b/>
          <w:bCs/>
          <w:sz w:val="22"/>
          <w:szCs w:val="22"/>
        </w:rPr>
        <w:t xml:space="preserve">urrent </w:t>
      </w:r>
      <w:r w:rsidR="00502579" w:rsidRPr="00502579">
        <w:rPr>
          <w:rFonts w:ascii="Calibri" w:hAnsi="Calibri"/>
          <w:b/>
          <w:bCs/>
          <w:sz w:val="22"/>
          <w:szCs w:val="22"/>
        </w:rPr>
        <w:t>F</w:t>
      </w:r>
      <w:r w:rsidR="00FA1D25" w:rsidRPr="00502579">
        <w:rPr>
          <w:rFonts w:ascii="Calibri" w:hAnsi="Calibri"/>
          <w:b/>
          <w:bCs/>
          <w:sz w:val="22"/>
          <w:szCs w:val="22"/>
        </w:rPr>
        <w:t xml:space="preserve">inancial </w:t>
      </w:r>
      <w:r w:rsidR="00502579" w:rsidRPr="00502579">
        <w:rPr>
          <w:rFonts w:ascii="Calibri" w:hAnsi="Calibri"/>
          <w:b/>
          <w:bCs/>
          <w:sz w:val="22"/>
          <w:szCs w:val="22"/>
        </w:rPr>
        <w:t>P</w:t>
      </w:r>
      <w:r w:rsidR="00FA1D25" w:rsidRPr="00502579">
        <w:rPr>
          <w:rFonts w:ascii="Calibri" w:hAnsi="Calibri"/>
          <w:b/>
          <w:bCs/>
          <w:sz w:val="22"/>
          <w:szCs w:val="22"/>
        </w:rPr>
        <w:t xml:space="preserve">osition </w:t>
      </w:r>
    </w:p>
    <w:p w14:paraId="0EFDC2CD" w14:textId="77777777" w:rsidR="00CB2656" w:rsidRDefault="00CB2656" w:rsidP="008C570A">
      <w:pPr>
        <w:pStyle w:val="NormalWeb"/>
        <w:ind w:firstLine="720"/>
        <w:rPr>
          <w:rFonts w:ascii="Calibri" w:hAnsi="Calibri"/>
          <w:sz w:val="22"/>
          <w:szCs w:val="22"/>
        </w:rPr>
      </w:pPr>
      <w:r w:rsidRPr="00CB2656">
        <w:rPr>
          <w:rFonts w:ascii="Calibri" w:hAnsi="Calibri"/>
          <w:sz w:val="22"/>
          <w:szCs w:val="22"/>
        </w:rPr>
        <w:t>The business model for Dunkin’ Brand Group is franchising. Franchising is a business arrangement where the franchisor grants the franchisee a license to use its trademarks, system, and sell its products and services in a given area. The typical franchise agreement in the U.S. has a 20-year term. They have two types of contracts: the master franchise and joint venture. There are majority five sources of revenue for Dunkin: 1) restaurants’ franchised fees and royalty income 2) advertising fees from franchisees 3) sublease rental income from  4) ice cream and other product sales to franchisees 5) others (licensing fees for packaged coffee, ice cream, franchising gains, and online training fees). The growth is dependent on its franchisees’ ability to access funds to finance such development. (S&amp;P Capital IQ, 2020)</w:t>
      </w:r>
    </w:p>
    <w:p w14:paraId="3D75799C" w14:textId="77777777" w:rsidR="004C467D" w:rsidRPr="004C467D" w:rsidRDefault="004C467D" w:rsidP="004C467D">
      <w:pPr>
        <w:pStyle w:val="NormalWeb"/>
        <w:ind w:firstLine="720"/>
        <w:rPr>
          <w:rFonts w:ascii="Calibri" w:hAnsi="Calibri"/>
          <w:sz w:val="22"/>
          <w:szCs w:val="22"/>
        </w:rPr>
      </w:pPr>
      <w:r w:rsidRPr="004C467D">
        <w:rPr>
          <w:rFonts w:ascii="Calibri" w:hAnsi="Calibri"/>
          <w:sz w:val="22"/>
          <w:szCs w:val="22"/>
        </w:rPr>
        <w:t xml:space="preserve">Exhibit 1 displays Dunkin’s last five years of financial ratios, calculated using their quarterly filing to the SEC. Over the five years, they had shown stable profitability through consistent return on assets, return on capital and gross margin %.  The company has a higher gross profit margin than most of its competitors (Exhibit 2). Its stable total asset turnover and a decreasing fixed asset turnover shows high operational efficiency and some level of operational resilience toward crisis. It had recently announced the closing of 800 U.S. stores (Bloomberg Markets, 2020) and extended payment terms and reliefs for the franchisees (Dunkin’ Brands Group,2020). The impact of COVID-19 has not fully reflected on the ratios. The operational resilience and flexibility had allowed those actions feasible for the company. The </w:t>
      </w:r>
      <w:r w:rsidRPr="004C467D">
        <w:rPr>
          <w:rFonts w:ascii="Calibri" w:hAnsi="Calibri"/>
          <w:sz w:val="22"/>
          <w:szCs w:val="22"/>
        </w:rPr>
        <w:lastRenderedPageBreak/>
        <w:t>highlights of the ratios are its leverage and liquidity. The company maintained over 100% indebtedness comparing to its capital over the past five years, with the majority of its debt are long term.</w:t>
      </w:r>
    </w:p>
    <w:p w14:paraId="2A3112EE" w14:textId="1808ED4A" w:rsidR="004C467D" w:rsidRDefault="004C467D" w:rsidP="001615FD">
      <w:pPr>
        <w:pStyle w:val="NormalWeb"/>
        <w:ind w:firstLine="720"/>
        <w:rPr>
          <w:rFonts w:ascii="Calibri" w:hAnsi="Calibri"/>
          <w:sz w:val="22"/>
          <w:szCs w:val="22"/>
        </w:rPr>
      </w:pPr>
      <w:r w:rsidRPr="004C467D">
        <w:rPr>
          <w:rFonts w:ascii="Calibri" w:hAnsi="Calibri"/>
          <w:sz w:val="22"/>
          <w:szCs w:val="22"/>
        </w:rPr>
        <w:t xml:space="preserve">Moreover, the total debt/EBITDA is mostly over six times. According to </w:t>
      </w:r>
      <w:r w:rsidR="00FA25CA">
        <w:rPr>
          <w:rFonts w:ascii="Calibri" w:hAnsi="Calibri"/>
          <w:sz w:val="22"/>
          <w:szCs w:val="22"/>
        </w:rPr>
        <w:t>Appendix</w:t>
      </w:r>
      <w:r w:rsidRPr="004C467D">
        <w:rPr>
          <w:rFonts w:ascii="Calibri" w:hAnsi="Calibri"/>
          <w:sz w:val="22"/>
          <w:szCs w:val="22"/>
        </w:rPr>
        <w:t xml:space="preserve"> 2, Dunkin has higher leverage than its competitors. This fact emphasizes Dunkin’s increased reliance on external financial capital, the importance of having enough liquid assets to pay interests, and its strategy to roll over debts by creating new long-term debts once one expires. In terms of liquidity, It remains mostly four times available cash flow to pay its current debt obligation and greater than one current ratio over the past five years. Overall, despite high leverage, the company has increased profitability, strong operational efficiency, and low liquidity risks. </w:t>
      </w:r>
    </w:p>
    <w:p w14:paraId="6EA0ACD9" w14:textId="34568852" w:rsidR="007C7D78" w:rsidRDefault="007C7D78" w:rsidP="004C467D">
      <w:pPr>
        <w:pStyle w:val="NormalWeb"/>
        <w:rPr>
          <w:rFonts w:ascii="Calibri" w:hAnsi="Calibri"/>
          <w:b/>
          <w:bCs/>
          <w:sz w:val="22"/>
          <w:szCs w:val="22"/>
        </w:rPr>
      </w:pPr>
      <w:r>
        <w:rPr>
          <w:rFonts w:ascii="Calibri" w:hAnsi="Calibri"/>
          <w:b/>
          <w:bCs/>
          <w:sz w:val="22"/>
          <w:szCs w:val="22"/>
        </w:rPr>
        <w:t>2.0 RISKS</w:t>
      </w:r>
    </w:p>
    <w:p w14:paraId="26EC505B" w14:textId="5FA8A4DC" w:rsidR="00146178" w:rsidRDefault="007C7D78" w:rsidP="004C467D">
      <w:pPr>
        <w:pStyle w:val="NormalWeb"/>
        <w:rPr>
          <w:rFonts w:ascii="Calibri" w:hAnsi="Calibri"/>
          <w:b/>
          <w:bCs/>
          <w:sz w:val="22"/>
          <w:szCs w:val="22"/>
        </w:rPr>
      </w:pPr>
      <w:r>
        <w:rPr>
          <w:rFonts w:ascii="Calibri" w:hAnsi="Calibri"/>
          <w:b/>
          <w:bCs/>
          <w:sz w:val="22"/>
          <w:szCs w:val="22"/>
        </w:rPr>
        <w:t>2.</w:t>
      </w:r>
      <w:r w:rsidR="002232A4" w:rsidRPr="002232A4">
        <w:rPr>
          <w:rFonts w:ascii="Calibri" w:hAnsi="Calibri"/>
          <w:b/>
          <w:bCs/>
          <w:sz w:val="22"/>
          <w:szCs w:val="22"/>
        </w:rPr>
        <w:t xml:space="preserve">1 </w:t>
      </w:r>
      <w:r w:rsidR="00146178" w:rsidRPr="002232A4">
        <w:rPr>
          <w:rFonts w:ascii="Calibri" w:hAnsi="Calibri"/>
          <w:b/>
          <w:bCs/>
          <w:sz w:val="22"/>
          <w:szCs w:val="22"/>
        </w:rPr>
        <w:t>Foreign Exchange Risk</w:t>
      </w:r>
      <w:r w:rsidR="006426BE" w:rsidRPr="002232A4">
        <w:rPr>
          <w:rFonts w:ascii="Calibri" w:hAnsi="Calibri"/>
          <w:b/>
          <w:bCs/>
          <w:sz w:val="22"/>
          <w:szCs w:val="22"/>
        </w:rPr>
        <w:t>s</w:t>
      </w:r>
    </w:p>
    <w:p w14:paraId="224A5350" w14:textId="7CC1CDF9" w:rsidR="00BF37A4" w:rsidRDefault="007C7D78" w:rsidP="00146178">
      <w:pPr>
        <w:pStyle w:val="NormalWeb"/>
        <w:rPr>
          <w:rFonts w:ascii="Calibri" w:hAnsi="Calibri"/>
          <w:b/>
          <w:bCs/>
          <w:sz w:val="22"/>
          <w:szCs w:val="22"/>
        </w:rPr>
      </w:pPr>
      <w:r>
        <w:rPr>
          <w:rFonts w:ascii="Calibri" w:hAnsi="Calibri"/>
          <w:b/>
          <w:bCs/>
          <w:sz w:val="22"/>
          <w:szCs w:val="22"/>
        </w:rPr>
        <w:t>2.</w:t>
      </w:r>
      <w:r w:rsidR="00BF37A4">
        <w:rPr>
          <w:rFonts w:ascii="Calibri" w:hAnsi="Calibri"/>
          <w:b/>
          <w:bCs/>
          <w:sz w:val="22"/>
          <w:szCs w:val="22"/>
        </w:rPr>
        <w:t>1.1 Company’s Exposure</w:t>
      </w:r>
    </w:p>
    <w:p w14:paraId="68F7F938" w14:textId="3005F6B2" w:rsidR="00B73E17" w:rsidRDefault="00B73E17" w:rsidP="00B73E17">
      <w:pPr>
        <w:pStyle w:val="NormalWeb"/>
        <w:ind w:firstLine="720"/>
        <w:rPr>
          <w:rFonts w:ascii="Calibri" w:hAnsi="Calibri"/>
          <w:sz w:val="22"/>
          <w:szCs w:val="22"/>
        </w:rPr>
      </w:pPr>
      <w:r w:rsidRPr="00B73E17">
        <w:rPr>
          <w:rFonts w:ascii="Calibri" w:hAnsi="Calibri"/>
          <w:sz w:val="22"/>
          <w:szCs w:val="22"/>
        </w:rPr>
        <w:t>Dunkin is exposed to foreign exchange risk from royalty income from its international franchisees and its investment and equity income from joint ventures. B-R 31 Ice Cream Company. Ltd. is based in Tokyo, Japan. Is a public company with Dunkin’ Brands Group, Inc. is holding 43.32% of common shares. BR-Korea Co., Ltd. established in Seoul, South Korea is a private joint venture between Dunkin Brands, Inc. and SPC Group.  Palm Oasis Ventures Pty. Ltd. is based in Australia, with Dunkin’ Brands Group, Inc. holding 20% of its stake. (S&amp;P Capital IQ., n.d.) As of Sept. 26th, 2020, the company has 3.7 million receivables from its equity investees. During the nine months ended, as of Sept. 28th, 2020, the company has 7.43 million revenues from those international investments (Dunkin’ Brands Group, 2020). Those revenues are subject to foreign currency fluctuation.</w:t>
      </w:r>
    </w:p>
    <w:p w14:paraId="0B62CEC8" w14:textId="6E493BBA" w:rsidR="00BF37A4" w:rsidRDefault="007C7D78" w:rsidP="00B73E17">
      <w:pPr>
        <w:pStyle w:val="NormalWeb"/>
        <w:rPr>
          <w:rFonts w:ascii="Calibri" w:hAnsi="Calibri"/>
          <w:b/>
          <w:bCs/>
          <w:sz w:val="22"/>
          <w:szCs w:val="22"/>
        </w:rPr>
      </w:pPr>
      <w:r>
        <w:rPr>
          <w:rFonts w:ascii="Calibri" w:hAnsi="Calibri"/>
          <w:b/>
          <w:bCs/>
          <w:sz w:val="22"/>
          <w:szCs w:val="22"/>
        </w:rPr>
        <w:lastRenderedPageBreak/>
        <w:t>2</w:t>
      </w:r>
      <w:r w:rsidR="00BF37A4">
        <w:rPr>
          <w:rFonts w:ascii="Calibri" w:hAnsi="Calibri"/>
          <w:b/>
          <w:bCs/>
          <w:sz w:val="22"/>
          <w:szCs w:val="22"/>
        </w:rPr>
        <w:t>.1.</w:t>
      </w:r>
      <w:r w:rsidR="00905405">
        <w:rPr>
          <w:rFonts w:ascii="Calibri" w:hAnsi="Calibri"/>
          <w:b/>
          <w:bCs/>
          <w:sz w:val="22"/>
          <w:szCs w:val="22"/>
        </w:rPr>
        <w:t>2</w:t>
      </w:r>
      <w:r w:rsidR="004F7CC7">
        <w:rPr>
          <w:rFonts w:ascii="Calibri" w:hAnsi="Calibri"/>
          <w:b/>
          <w:bCs/>
          <w:sz w:val="22"/>
          <w:szCs w:val="22"/>
        </w:rPr>
        <w:t xml:space="preserve"> The use of</w:t>
      </w:r>
      <w:r w:rsidR="00BF37A4">
        <w:rPr>
          <w:rFonts w:ascii="Calibri" w:hAnsi="Calibri"/>
          <w:b/>
          <w:bCs/>
          <w:sz w:val="22"/>
          <w:szCs w:val="22"/>
        </w:rPr>
        <w:t xml:space="preserve"> </w:t>
      </w:r>
      <w:r w:rsidR="004F7CC7">
        <w:rPr>
          <w:rFonts w:ascii="Calibri" w:hAnsi="Calibri"/>
          <w:b/>
          <w:bCs/>
          <w:sz w:val="22"/>
          <w:szCs w:val="22"/>
        </w:rPr>
        <w:t>s</w:t>
      </w:r>
      <w:r w:rsidR="00BF37A4">
        <w:rPr>
          <w:rFonts w:ascii="Calibri" w:hAnsi="Calibri"/>
          <w:b/>
          <w:bCs/>
          <w:sz w:val="22"/>
          <w:szCs w:val="22"/>
        </w:rPr>
        <w:t>elected Peers and overall Industry</w:t>
      </w:r>
    </w:p>
    <w:p w14:paraId="7B640CDA" w14:textId="468EF2A6" w:rsidR="00904747" w:rsidRDefault="00904747" w:rsidP="001615FD">
      <w:pPr>
        <w:ind w:firstLine="720"/>
        <w:rPr>
          <w:rFonts w:ascii="Calibri" w:eastAsia="Times New Roman" w:hAnsi="Calibri" w:cs="Times New Roman"/>
          <w:sz w:val="22"/>
          <w:szCs w:val="22"/>
        </w:rPr>
      </w:pPr>
      <w:r w:rsidRPr="00904747">
        <w:rPr>
          <w:rFonts w:ascii="Calibri" w:eastAsia="Times New Roman" w:hAnsi="Calibri" w:cs="Times New Roman"/>
          <w:sz w:val="22"/>
          <w:szCs w:val="22"/>
        </w:rPr>
        <w:t>There are low barriers to enter the industry and a high concentration in the QSR segment. Many QSR companies entered international markets on some level and were exposed to foreign exchange risks. McDonald’s takes advantage of foreign currency debt and derivatives to hedge the foreign currency risk associated with certain royalties, intercompany financings, and long-term investments in foreign subsidiaries and affiliates.  The Company uses foreign currency forwards to mitigate the change in the fair value of specific foreign currency denominated assets and liabilities. (Annual Report 10-K, 2020) To protect against the reduction in the value of forecasted foreign currency cash flows (such as royalties denominated in foreign currencies), the Company uses foreign currency forwards to hedge a portion of anticipated exposures. (Quarterly Report 10-Q, 2020)</w:t>
      </w:r>
    </w:p>
    <w:p w14:paraId="4EF593AA" w14:textId="42DC4A6A" w:rsidR="00904747" w:rsidRDefault="00904747" w:rsidP="00777DE6">
      <w:pPr>
        <w:pStyle w:val="NormalWeb"/>
        <w:ind w:firstLine="720"/>
        <w:rPr>
          <w:rFonts w:ascii="Calibri" w:eastAsiaTheme="minorEastAsia" w:hAnsi="Calibri" w:cstheme="minorBidi"/>
          <w:sz w:val="22"/>
          <w:szCs w:val="22"/>
        </w:rPr>
      </w:pPr>
      <w:r w:rsidRPr="00904747">
        <w:rPr>
          <w:rFonts w:ascii="Calibri" w:eastAsiaTheme="minorEastAsia" w:hAnsi="Calibri" w:cstheme="minorBidi"/>
          <w:sz w:val="22"/>
          <w:szCs w:val="22"/>
        </w:rPr>
        <w:t>Cross-currency rate swaps are commonly used in this industry. Restaurant Brands International Inc. (RBI - operating Tim Hortons®, Burger King®, and Popeyes® brands) hedged a portion of foreign equity investments using cross-currency rate swaps between the Canadian and U.S. dollar and between the Euro and U.S. dollar. (SEC Filings - Latest 10-K, 2020) Starbucks had entered in foreign currency forward and swap contracts to offset foreign currency-denominated payables, receivables, and net earnings.  (Form 10-K Starbucks, 2020)</w:t>
      </w:r>
    </w:p>
    <w:p w14:paraId="053B9495" w14:textId="35E7025E" w:rsidR="003B7567" w:rsidRPr="002232A4" w:rsidRDefault="007C7D78" w:rsidP="00146178">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.1.</w:t>
      </w:r>
      <w:r w:rsidR="00905405">
        <w:rPr>
          <w:rFonts w:ascii="Calibri" w:hAnsi="Calibri"/>
          <w:b/>
          <w:bCs/>
          <w:sz w:val="22"/>
          <w:szCs w:val="22"/>
        </w:rPr>
        <w:t xml:space="preserve">3 </w:t>
      </w:r>
      <w:r w:rsidR="003D5234">
        <w:rPr>
          <w:rFonts w:ascii="Calibri" w:hAnsi="Calibri"/>
          <w:b/>
          <w:bCs/>
          <w:sz w:val="22"/>
          <w:szCs w:val="22"/>
        </w:rPr>
        <w:t xml:space="preserve">Current Use of Derivatives and </w:t>
      </w:r>
      <w:r w:rsidR="003B7567">
        <w:rPr>
          <w:rFonts w:ascii="Calibri" w:hAnsi="Calibri"/>
          <w:b/>
          <w:bCs/>
          <w:sz w:val="22"/>
          <w:szCs w:val="22"/>
        </w:rPr>
        <w:t xml:space="preserve">Potential </w:t>
      </w:r>
      <w:r w:rsidR="00537262">
        <w:rPr>
          <w:rFonts w:ascii="Calibri" w:hAnsi="Calibri"/>
          <w:b/>
          <w:bCs/>
          <w:sz w:val="22"/>
          <w:szCs w:val="22"/>
        </w:rPr>
        <w:t>Opportunities</w:t>
      </w:r>
    </w:p>
    <w:p w14:paraId="7A571473" w14:textId="1994DC26" w:rsidR="004E4AD0" w:rsidRPr="00BD30B6" w:rsidRDefault="00455DAF" w:rsidP="003C5874">
      <w:pPr>
        <w:pStyle w:val="NormalWeb"/>
        <w:ind w:firstLine="720"/>
        <w:rPr>
          <w:rFonts w:ascii="Calibri" w:hAnsi="Calibri"/>
          <w:sz w:val="22"/>
          <w:szCs w:val="22"/>
        </w:rPr>
      </w:pPr>
      <w:r w:rsidRPr="00455DAF">
        <w:rPr>
          <w:rFonts w:ascii="Calibri" w:hAnsi="Calibri"/>
          <w:sz w:val="22"/>
          <w:szCs w:val="22"/>
        </w:rPr>
        <w:t>Dunkin is currently not using any financial instruments to hedge its exposure to foreign exchange risks. Dunkin is considering as underhedged against its competitors. Since it addressed its international revenue are payable in U.S. dollars. I</w:t>
      </w:r>
      <w:r w:rsidR="00EF24BA">
        <w:rPr>
          <w:rFonts w:ascii="Calibri" w:hAnsi="Calibri"/>
          <w:sz w:val="22"/>
          <w:szCs w:val="22"/>
        </w:rPr>
        <w:t>t</w:t>
      </w:r>
      <w:r w:rsidRPr="00455DAF">
        <w:rPr>
          <w:rFonts w:ascii="Calibri" w:hAnsi="Calibri"/>
          <w:sz w:val="22"/>
          <w:szCs w:val="22"/>
        </w:rPr>
        <w:t>s significant concerns are the equity revenues from the</w:t>
      </w:r>
      <w:r w:rsidR="00EF24BA">
        <w:rPr>
          <w:rFonts w:ascii="Calibri" w:hAnsi="Calibri"/>
          <w:sz w:val="22"/>
          <w:szCs w:val="22"/>
        </w:rPr>
        <w:t xml:space="preserve"> three</w:t>
      </w:r>
      <w:r w:rsidRPr="00455DAF">
        <w:rPr>
          <w:rFonts w:ascii="Calibri" w:hAnsi="Calibri"/>
          <w:sz w:val="22"/>
          <w:szCs w:val="22"/>
        </w:rPr>
        <w:t xml:space="preserve"> Joint Venture. The company could use currency forward contracts to hedge some foreign currency exchange rate risks and lock in a satisfactory exchange rate to American dollars. Details will be </w:t>
      </w:r>
      <w:r w:rsidRPr="00455DAF">
        <w:rPr>
          <w:rFonts w:ascii="Calibri" w:hAnsi="Calibri"/>
          <w:sz w:val="22"/>
          <w:szCs w:val="22"/>
        </w:rPr>
        <w:lastRenderedPageBreak/>
        <w:t xml:space="preserve">elaborated on in section 4.1.1. Since the COVID-19 outbreak, American dollars had weakened in the global economy, especially against Asia. According to JPMorgan AM’s Callegari, U.S. Dollars will continue to weaken against Asia rates. (Bloomberg Market, 2020). Given that Dunkin’s significant exposure is in Asia (Australia, Japan, and South Korea), this allows Dunkin to lock in a high exchange rate using currency forward contracts to hedge its receivables from its foreign investment. </w:t>
      </w:r>
      <w:r w:rsidR="00FE000D">
        <w:rPr>
          <w:rFonts w:ascii="Calibri" w:hAnsi="Calibri"/>
          <w:sz w:val="22"/>
          <w:szCs w:val="22"/>
        </w:rPr>
        <w:t xml:space="preserve"> </w:t>
      </w:r>
    </w:p>
    <w:p w14:paraId="43E9BB75" w14:textId="4D61E256" w:rsidR="00146178" w:rsidRDefault="007C7D78" w:rsidP="00146178">
      <w:pPr>
        <w:pStyle w:val="NormalWeb"/>
        <w:rPr>
          <w:rFonts w:ascii="Calibri" w:hAnsi="Calibri"/>
          <w:b/>
          <w:bCs/>
          <w:sz w:val="22"/>
          <w:szCs w:val="22"/>
        </w:rPr>
      </w:pPr>
      <w:r>
        <w:rPr>
          <w:rFonts w:ascii="Calibri" w:hAnsi="Calibri"/>
          <w:b/>
          <w:bCs/>
          <w:sz w:val="22"/>
          <w:szCs w:val="22"/>
        </w:rPr>
        <w:t>2</w:t>
      </w:r>
      <w:r w:rsidR="002232A4" w:rsidRPr="002232A4">
        <w:rPr>
          <w:rFonts w:ascii="Calibri" w:hAnsi="Calibri"/>
          <w:b/>
          <w:bCs/>
          <w:sz w:val="22"/>
          <w:szCs w:val="22"/>
        </w:rPr>
        <w:t xml:space="preserve">.2 </w:t>
      </w:r>
      <w:r w:rsidR="004D75C8" w:rsidRPr="002232A4">
        <w:rPr>
          <w:rFonts w:ascii="Calibri" w:hAnsi="Calibri"/>
          <w:b/>
          <w:bCs/>
          <w:sz w:val="22"/>
          <w:szCs w:val="22"/>
        </w:rPr>
        <w:t>Interest Rate Risk</w:t>
      </w:r>
    </w:p>
    <w:p w14:paraId="27967D92" w14:textId="6954507D" w:rsidR="003B7567" w:rsidRDefault="007C7D78" w:rsidP="003B7567">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.2.1 Company’s Exposure</w:t>
      </w:r>
    </w:p>
    <w:p w14:paraId="0799D897" w14:textId="77777777" w:rsidR="00EF24BA" w:rsidRDefault="00EF24BA" w:rsidP="00EF24BA">
      <w:pPr>
        <w:pStyle w:val="NormalWeb"/>
        <w:ind w:firstLine="720"/>
        <w:rPr>
          <w:rFonts w:ascii="Calibri" w:hAnsi="Calibri"/>
          <w:sz w:val="22"/>
          <w:szCs w:val="22"/>
          <w:lang w:val="en-US"/>
        </w:rPr>
      </w:pPr>
      <w:r w:rsidRPr="00EF24BA">
        <w:rPr>
          <w:rFonts w:ascii="Calibri" w:hAnsi="Calibri"/>
          <w:sz w:val="22"/>
          <w:szCs w:val="22"/>
          <w:lang w:val="en-US"/>
        </w:rPr>
        <w:t xml:space="preserve">Its securitized financing facility is its subsidiary, DB Master Finance LLC, as its Master Issuer. As of April 2019, It had issued and closed 2015 A1 Variable Funding Senior Secured Notes and 2015 Fixed Rate Senior Secured Notes with a principal amount of 100 million and 2.5 billion, respectively. The Master Issuer issued 2017 class A2-I, 2017 class A2-II, 2019 class A2-I, 2019 class A2-II, 2019 class A2-III Secured Notes. Those notes have fixed interest rates of 3.629%, 4.030%, 3.787%, 4.021%, and 4.352% and the principal amount of 600 million, 200 million, 600 million, 400 million, 700 million, respectively. It had closed most of its commitments with its 2017 A1 Variable Funding Secured Notes with 32.4 million letters of credits outstanding (expecting to repay by Nov. 2022). In April 2019, the company issued 2019 A1 Variable Funding Senior Secured Notes with a principal amount of 150 million and interest rate of 3 month LIBOR (Eurodollars Funding Rate) or lenders' commercial paper funding rate add 1.5%. As of Sept 2019, it has 33.1 million letters of credits outstanding with 2019 A1 Notes. (S&amp;P Capital IQ, 2020) Exhibit 3 displays all its debt obligation and future payment schedule until 2024. </w:t>
      </w:r>
    </w:p>
    <w:p w14:paraId="12E31DDC" w14:textId="77777777" w:rsidR="00192FD9" w:rsidRDefault="00192FD9" w:rsidP="003C5874">
      <w:pPr>
        <w:pStyle w:val="NormalWeb"/>
        <w:ind w:firstLine="720"/>
        <w:rPr>
          <w:rFonts w:ascii="Calibri" w:hAnsi="Calibri"/>
          <w:sz w:val="22"/>
          <w:szCs w:val="22"/>
        </w:rPr>
      </w:pPr>
      <w:r w:rsidRPr="00192FD9">
        <w:rPr>
          <w:rFonts w:ascii="Calibri" w:hAnsi="Calibri"/>
          <w:sz w:val="22"/>
          <w:szCs w:val="22"/>
        </w:rPr>
        <w:t xml:space="preserve">The legal maturity dates of 2017 and 2019 notes are Nov. 2047 and May 2049. However, both 2017 A2-I and 2019 A2-I are expected to be fully repaid by 2024. The incapability of doing so will trigger the convent in other borrowing contracts to raise the interest rate to 5.00%. Therefore, renewing a debt </w:t>
      </w:r>
      <w:r w:rsidRPr="00192FD9">
        <w:rPr>
          <w:rFonts w:ascii="Calibri" w:hAnsi="Calibri"/>
          <w:sz w:val="22"/>
          <w:szCs w:val="22"/>
        </w:rPr>
        <w:lastRenderedPageBreak/>
        <w:t>instrument to cover the total principal amount of 1.14 billion due in 2024 is crucial to the business operation's health.</w:t>
      </w:r>
    </w:p>
    <w:p w14:paraId="0E697C7A" w14:textId="4AB939D9" w:rsidR="003B7567" w:rsidRDefault="007C7D78" w:rsidP="003B7567">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.2.</w:t>
      </w:r>
      <w:r w:rsidR="00B06FA3">
        <w:rPr>
          <w:rFonts w:ascii="Calibri" w:hAnsi="Calibri"/>
          <w:b/>
          <w:bCs/>
          <w:sz w:val="22"/>
          <w:szCs w:val="22"/>
        </w:rPr>
        <w:t>2</w:t>
      </w:r>
      <w:r w:rsidR="003B7567">
        <w:rPr>
          <w:rFonts w:ascii="Calibri" w:hAnsi="Calibri"/>
          <w:b/>
          <w:bCs/>
          <w:sz w:val="22"/>
          <w:szCs w:val="22"/>
        </w:rPr>
        <w:t xml:space="preserve"> The use of selected Peers and overall Industry</w:t>
      </w:r>
    </w:p>
    <w:p w14:paraId="031078B5" w14:textId="77777777" w:rsidR="00192FD9" w:rsidRDefault="00192FD9" w:rsidP="003C5874">
      <w:pPr>
        <w:pStyle w:val="NormalWeb"/>
        <w:ind w:firstLine="720"/>
        <w:rPr>
          <w:rFonts w:ascii="Calibri" w:hAnsi="Calibri"/>
          <w:sz w:val="22"/>
          <w:szCs w:val="22"/>
        </w:rPr>
      </w:pPr>
      <w:r w:rsidRPr="00192FD9">
        <w:rPr>
          <w:rFonts w:ascii="Calibri" w:hAnsi="Calibri"/>
          <w:sz w:val="22"/>
          <w:szCs w:val="22"/>
        </w:rPr>
        <w:t xml:space="preserve">Fixed-rate debt structure and Interest rate swaps are relatively commonly used in the industry. Wendy’s reduced its exposure to an increasing interest rate using a predominantly fixed-rate debt structure (SEC Filings 10-K Annual Report, 2020). RBI entered into a series of receive-variable, pay-fixed interest rate swaps to hedge its variable rate debt (SEC Filings - Latest 10-K, 2020). McDonald’s converts a portion of its fixed-rate debt into floating-rate debt by using interest rate swaps (Annual Report 10-K, 2020). Similarly, Starbucks uses fair value hedges with interest rate swaps to offset its fixed-rated debt of adverse changes in benchmark interest rates. </w:t>
      </w:r>
    </w:p>
    <w:p w14:paraId="04BB7C26" w14:textId="2A182823" w:rsidR="003B7567" w:rsidRPr="002232A4" w:rsidRDefault="007C7D78" w:rsidP="00146178">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.2.</w:t>
      </w:r>
      <w:r w:rsidR="00B06FA3">
        <w:rPr>
          <w:rFonts w:ascii="Calibri" w:hAnsi="Calibri"/>
          <w:b/>
          <w:bCs/>
          <w:sz w:val="22"/>
          <w:szCs w:val="22"/>
        </w:rPr>
        <w:t>3</w:t>
      </w:r>
      <w:r w:rsidR="003B7567">
        <w:rPr>
          <w:rFonts w:ascii="Calibri" w:hAnsi="Calibri"/>
          <w:b/>
          <w:bCs/>
          <w:sz w:val="22"/>
          <w:szCs w:val="22"/>
        </w:rPr>
        <w:t xml:space="preserve"> </w:t>
      </w:r>
      <w:r w:rsidR="003D5234">
        <w:rPr>
          <w:rFonts w:ascii="Calibri" w:hAnsi="Calibri"/>
          <w:b/>
          <w:bCs/>
          <w:sz w:val="22"/>
          <w:szCs w:val="22"/>
        </w:rPr>
        <w:t xml:space="preserve">Current Use of Derivatives and </w:t>
      </w:r>
      <w:r w:rsidR="003B7567">
        <w:rPr>
          <w:rFonts w:ascii="Calibri" w:hAnsi="Calibri"/>
          <w:b/>
          <w:bCs/>
          <w:sz w:val="22"/>
          <w:szCs w:val="22"/>
        </w:rPr>
        <w:t xml:space="preserve">Potential </w:t>
      </w:r>
      <w:r w:rsidR="00537262">
        <w:rPr>
          <w:rFonts w:ascii="Calibri" w:hAnsi="Calibri"/>
          <w:b/>
          <w:bCs/>
          <w:sz w:val="22"/>
          <w:szCs w:val="22"/>
        </w:rPr>
        <w:t>Opportunities</w:t>
      </w:r>
    </w:p>
    <w:p w14:paraId="6C9349A7" w14:textId="52D9057E" w:rsidR="00192FD9" w:rsidRDefault="00192FD9" w:rsidP="003C5874">
      <w:pPr>
        <w:pStyle w:val="NormalWeb"/>
        <w:ind w:firstLine="720"/>
        <w:rPr>
          <w:rFonts w:ascii="Calibri" w:hAnsi="Calibri"/>
          <w:sz w:val="22"/>
          <w:szCs w:val="22"/>
        </w:rPr>
      </w:pPr>
      <w:r w:rsidRPr="00192FD9">
        <w:rPr>
          <w:rFonts w:ascii="Calibri" w:hAnsi="Calibri"/>
          <w:sz w:val="22"/>
          <w:szCs w:val="22"/>
        </w:rPr>
        <w:t>The company currently uses predominately fixed-rate notes to reduce interest rate uncertainty. The renewal of the debt and current interest expenses are subject to interest rate risk. Dunkin’s has a floating rate of LIBOR / commercial funding rate + 150 basis points and an average of 3.964 % fixed rate for outstanding notes as of Sept. 28th, 2019. Dunkin’s interest rates are relatively lower than its peers, which Dunkin should take advantage of. Due to COVID-19, the American government had issued monetary stimulus policies, which had lowered the interest rates since March 2020.  The current Commercial Paper A2/P2 Rate - USD - 3 Month is 0.27% per annum (S&amp;P Capital IQ, 2020). Dunkin’s past floating rate policy puts its variable funding note at an interest rate of 1.75%, which significantly lower borrowing costs than its existing fixed-rate notes. Therefore, Dunkin should consider hedging a portion of its fixed-rate debts’ fair value using interest rate swaps to lower borrowing interest costs quarterly. Details will be explained in section 4.1.2.</w:t>
      </w:r>
    </w:p>
    <w:p w14:paraId="66E31693" w14:textId="5A00C20D" w:rsidR="00423F55" w:rsidRDefault="007C7D78" w:rsidP="00146178">
      <w:pPr>
        <w:pStyle w:val="NormalWeb"/>
        <w:rPr>
          <w:rFonts w:ascii="Calibri" w:hAnsi="Calibri"/>
          <w:b/>
          <w:bCs/>
          <w:sz w:val="22"/>
          <w:szCs w:val="22"/>
        </w:rPr>
      </w:pPr>
      <w:r>
        <w:rPr>
          <w:rFonts w:ascii="Calibri" w:hAnsi="Calibri"/>
          <w:b/>
          <w:bCs/>
          <w:sz w:val="22"/>
          <w:szCs w:val="22"/>
        </w:rPr>
        <w:lastRenderedPageBreak/>
        <w:t>2</w:t>
      </w:r>
      <w:r w:rsidR="002F7A48" w:rsidRPr="002F7A48">
        <w:rPr>
          <w:rFonts w:ascii="Calibri" w:hAnsi="Calibri"/>
          <w:b/>
          <w:bCs/>
          <w:sz w:val="22"/>
          <w:szCs w:val="22"/>
        </w:rPr>
        <w:t xml:space="preserve">.3 </w:t>
      </w:r>
      <w:r w:rsidR="006426BE" w:rsidRPr="002F7A48">
        <w:rPr>
          <w:rFonts w:ascii="Calibri" w:hAnsi="Calibri"/>
          <w:b/>
          <w:bCs/>
          <w:sz w:val="22"/>
          <w:szCs w:val="22"/>
        </w:rPr>
        <w:t>Commodity</w:t>
      </w:r>
      <w:r w:rsidR="00423F55" w:rsidRPr="002F7A48">
        <w:rPr>
          <w:rFonts w:ascii="Calibri" w:hAnsi="Calibri"/>
          <w:b/>
          <w:bCs/>
          <w:sz w:val="22"/>
          <w:szCs w:val="22"/>
        </w:rPr>
        <w:t xml:space="preserve"> Risks</w:t>
      </w:r>
      <w:r w:rsidR="00DE1526" w:rsidRPr="002F7A48">
        <w:rPr>
          <w:rFonts w:ascii="Calibri" w:hAnsi="Calibri"/>
          <w:b/>
          <w:bCs/>
          <w:sz w:val="22"/>
          <w:szCs w:val="22"/>
        </w:rPr>
        <w:t xml:space="preserve"> </w:t>
      </w:r>
    </w:p>
    <w:p w14:paraId="0E9E6FEE" w14:textId="1B51C054" w:rsidR="003B7567" w:rsidRDefault="007C7D78" w:rsidP="003B7567">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.3.1 Company’s Exposure</w:t>
      </w:r>
    </w:p>
    <w:p w14:paraId="2D927565" w14:textId="77777777" w:rsidR="009518E9" w:rsidRDefault="009518E9" w:rsidP="009518E9">
      <w:pPr>
        <w:pStyle w:val="NormalWeb"/>
        <w:ind w:firstLine="720"/>
        <w:rPr>
          <w:rFonts w:ascii="Calibri" w:hAnsi="Calibri"/>
          <w:sz w:val="22"/>
          <w:szCs w:val="22"/>
        </w:rPr>
      </w:pPr>
      <w:r w:rsidRPr="009518E9">
        <w:rPr>
          <w:rFonts w:ascii="Calibri" w:hAnsi="Calibri"/>
          <w:sz w:val="22"/>
          <w:szCs w:val="22"/>
        </w:rPr>
        <w:t>Dunkin outsources the manufacturing and distribution of ice cream products to Dean Foods internationally and domestically, and soft drinks to Coca-Cola Company and KDP. Its primary donut mix suppliers are Continental Mills and Pennant Ingredients Inc.  Centralized manufacturing locations (“CMLs”) are franchisee- owned and - operated facilities. Dunkin’ franchisees rely on supplies from approved vendors and produce donuts and bakery goods from CMLs. (S&amp;P Capital IQ, 2020)</w:t>
      </w:r>
    </w:p>
    <w:p w14:paraId="6AF1AF7D" w14:textId="45F3BB3C" w:rsidR="003B7567" w:rsidRDefault="007C7D78" w:rsidP="003B7567">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.3.</w:t>
      </w:r>
      <w:r w:rsidR="00B964AE">
        <w:rPr>
          <w:rFonts w:ascii="Calibri" w:hAnsi="Calibri"/>
          <w:b/>
          <w:bCs/>
          <w:sz w:val="22"/>
          <w:szCs w:val="22"/>
        </w:rPr>
        <w:t>2</w:t>
      </w:r>
      <w:r w:rsidR="003B7567">
        <w:rPr>
          <w:rFonts w:ascii="Calibri" w:hAnsi="Calibri"/>
          <w:b/>
          <w:bCs/>
          <w:sz w:val="22"/>
          <w:szCs w:val="22"/>
        </w:rPr>
        <w:t xml:space="preserve"> The use of selected Peers and overall Industry</w:t>
      </w:r>
    </w:p>
    <w:p w14:paraId="4CB8F523" w14:textId="77777777" w:rsidR="009518E9" w:rsidRDefault="009518E9" w:rsidP="009518E9">
      <w:pPr>
        <w:pStyle w:val="NormalWeb"/>
        <w:ind w:firstLine="720"/>
        <w:rPr>
          <w:rFonts w:ascii="Calibri" w:hAnsi="Calibri"/>
          <w:sz w:val="22"/>
          <w:szCs w:val="22"/>
        </w:rPr>
      </w:pPr>
      <w:r w:rsidRPr="009518E9">
        <w:rPr>
          <w:rFonts w:ascii="Calibri" w:hAnsi="Calibri"/>
          <w:sz w:val="22"/>
          <w:szCs w:val="22"/>
        </w:rPr>
        <w:t>Overall, the industry’s standard practice is to use fixed-price forward contracts with its suppliers to limit commodity price volatility exposure. Wendy’s independent supply chain purchasing co-op negotiates contracts with approved suppliers to hedge the variability in its food costs. (SEC Filings 10-K Annual Report, 2020) In RBI’s Tim Horton business, the company hedges commodities’ pricing uncertainty by employing pricing forward contract techniques to set fixed prices for periods of up to one year with suppliers. (SEC Filings - Latest 10-K, 2020) Starbucks purchases commodity inputs, such as coffee, dairy, diesel through fixed-priced contracts.  However, Starbucks is an example of using other financial instruments other than fixed-price forward contracts. It entered into forwards and futures contracts to hedge anticipated cash flows under its dairy and green coffee contract and forecasted demands. Starbucks entered swap contracts, futures, and collars, to mitigate the price uncertainty of a portion of its future purchases, such as diesel fuel and other commodities (Form 10-Q Starbucks, 2020).</w:t>
      </w:r>
    </w:p>
    <w:p w14:paraId="54E64685" w14:textId="1093C219" w:rsidR="003B7567" w:rsidRPr="002232A4" w:rsidRDefault="007C7D78" w:rsidP="009518E9">
      <w:pPr>
        <w:pStyle w:val="NormalWeb"/>
        <w:rPr>
          <w:rFonts w:ascii="Calibri" w:hAnsi="Calibri"/>
          <w:b/>
          <w:bCs/>
          <w:sz w:val="22"/>
          <w:szCs w:val="22"/>
        </w:rPr>
      </w:pPr>
      <w:r>
        <w:rPr>
          <w:rFonts w:ascii="Calibri" w:hAnsi="Calibri"/>
          <w:b/>
          <w:bCs/>
          <w:sz w:val="22"/>
          <w:szCs w:val="22"/>
        </w:rPr>
        <w:t>2</w:t>
      </w:r>
      <w:r w:rsidR="003B7567">
        <w:rPr>
          <w:rFonts w:ascii="Calibri" w:hAnsi="Calibri"/>
          <w:b/>
          <w:bCs/>
          <w:sz w:val="22"/>
          <w:szCs w:val="22"/>
        </w:rPr>
        <w:t>.3.</w:t>
      </w:r>
      <w:r w:rsidR="00B964AE">
        <w:rPr>
          <w:rFonts w:ascii="Calibri" w:hAnsi="Calibri"/>
          <w:b/>
          <w:bCs/>
          <w:sz w:val="22"/>
          <w:szCs w:val="22"/>
        </w:rPr>
        <w:t>3</w:t>
      </w:r>
      <w:r w:rsidR="003B7567">
        <w:rPr>
          <w:rFonts w:ascii="Calibri" w:hAnsi="Calibri"/>
          <w:b/>
          <w:bCs/>
          <w:sz w:val="22"/>
          <w:szCs w:val="22"/>
        </w:rPr>
        <w:t xml:space="preserve"> </w:t>
      </w:r>
      <w:r w:rsidR="00B964AE">
        <w:rPr>
          <w:rFonts w:ascii="Calibri" w:hAnsi="Calibri"/>
          <w:b/>
          <w:bCs/>
          <w:sz w:val="22"/>
          <w:szCs w:val="22"/>
        </w:rPr>
        <w:t xml:space="preserve">Current Use of Derivatives and </w:t>
      </w:r>
      <w:r w:rsidR="003B7567">
        <w:rPr>
          <w:rFonts w:ascii="Calibri" w:hAnsi="Calibri"/>
          <w:b/>
          <w:bCs/>
          <w:sz w:val="22"/>
          <w:szCs w:val="22"/>
        </w:rPr>
        <w:t xml:space="preserve">Potential </w:t>
      </w:r>
      <w:r w:rsidR="00537262">
        <w:rPr>
          <w:rFonts w:ascii="Calibri" w:hAnsi="Calibri"/>
          <w:b/>
          <w:bCs/>
          <w:sz w:val="22"/>
          <w:szCs w:val="22"/>
        </w:rPr>
        <w:t>Opportunities</w:t>
      </w:r>
    </w:p>
    <w:p w14:paraId="1817CA5A" w14:textId="77777777" w:rsidR="009518E9" w:rsidRDefault="009518E9" w:rsidP="009518E9">
      <w:pPr>
        <w:pStyle w:val="NormalWeb"/>
        <w:ind w:firstLine="720"/>
        <w:rPr>
          <w:rFonts w:ascii="Calibri" w:hAnsi="Calibri"/>
          <w:sz w:val="22"/>
          <w:szCs w:val="22"/>
        </w:rPr>
      </w:pPr>
      <w:r w:rsidRPr="009518E9">
        <w:rPr>
          <w:rFonts w:ascii="Calibri" w:hAnsi="Calibri"/>
          <w:sz w:val="22"/>
          <w:szCs w:val="22"/>
        </w:rPr>
        <w:lastRenderedPageBreak/>
        <w:t>Dunkin was contingently liable for supply chain agreements for approximately 67.3 million as of Sept. 26th, 2020. The majority of the deal has terms of one year or less, and the latest of which expires in 2022. The purchasing for the Dunkin’s brand is facilitated by a franchisee-owned cooperative - National DCP, LLC (the “NDCP”) (Dunkin’ Brands Group, 2020). Its services include strategic sourcing, distribution services, and transportation services (National DCP, LLC, 2020). It is recommended to continue to use its current forward contract hedging method matching industry standards.</w:t>
      </w:r>
    </w:p>
    <w:p w14:paraId="15A4E206" w14:textId="4DCBFE63" w:rsidR="00A26C12" w:rsidRDefault="007C7D78" w:rsidP="00F06BC1">
      <w:pPr>
        <w:pStyle w:val="NormalWeb"/>
        <w:rPr>
          <w:rFonts w:ascii="Calibri" w:hAnsi="Calibri"/>
          <w:sz w:val="22"/>
          <w:szCs w:val="22"/>
        </w:rPr>
      </w:pPr>
      <w:r>
        <w:rPr>
          <w:rFonts w:ascii="Calibri" w:hAnsi="Calibri"/>
          <w:b/>
          <w:bCs/>
          <w:sz w:val="22"/>
          <w:szCs w:val="22"/>
        </w:rPr>
        <w:t>3</w:t>
      </w:r>
      <w:r w:rsidR="00AB7833" w:rsidRPr="00AB7833">
        <w:rPr>
          <w:rFonts w:ascii="Calibri" w:hAnsi="Calibri"/>
          <w:b/>
          <w:bCs/>
          <w:sz w:val="22"/>
          <w:szCs w:val="22"/>
        </w:rPr>
        <w:t>.</w:t>
      </w:r>
      <w:r>
        <w:rPr>
          <w:rFonts w:ascii="Calibri" w:hAnsi="Calibri"/>
          <w:b/>
          <w:bCs/>
          <w:sz w:val="22"/>
          <w:szCs w:val="22"/>
        </w:rPr>
        <w:t>0</w:t>
      </w:r>
      <w:r w:rsidR="00AB7833" w:rsidRPr="00AB7833">
        <w:rPr>
          <w:rFonts w:ascii="Calibri" w:hAnsi="Calibri"/>
          <w:b/>
          <w:bCs/>
          <w:sz w:val="22"/>
          <w:szCs w:val="22"/>
        </w:rPr>
        <w:t xml:space="preserve"> </w:t>
      </w:r>
      <w:r w:rsidR="00213F9F">
        <w:rPr>
          <w:rFonts w:ascii="Calibri" w:hAnsi="Calibri"/>
          <w:b/>
          <w:bCs/>
          <w:sz w:val="22"/>
          <w:szCs w:val="22"/>
        </w:rPr>
        <w:t xml:space="preserve">Derivatives Strategy and </w:t>
      </w:r>
      <w:r w:rsidR="00AB7833" w:rsidRPr="00AB7833">
        <w:rPr>
          <w:rFonts w:ascii="Calibri" w:hAnsi="Calibri"/>
          <w:b/>
          <w:bCs/>
          <w:sz w:val="22"/>
          <w:szCs w:val="22"/>
        </w:rPr>
        <w:t>Course of Action</w:t>
      </w:r>
      <w:r w:rsidR="00213F9F">
        <w:rPr>
          <w:rFonts w:ascii="Calibri" w:hAnsi="Calibri"/>
          <w:b/>
          <w:bCs/>
          <w:sz w:val="22"/>
          <w:szCs w:val="22"/>
        </w:rPr>
        <w:t xml:space="preserve"> </w:t>
      </w:r>
    </w:p>
    <w:p w14:paraId="0C645AE5" w14:textId="5D26AAD5" w:rsidR="003139D4" w:rsidRPr="003139D4" w:rsidRDefault="003139D4" w:rsidP="00F06BC1">
      <w:pPr>
        <w:pStyle w:val="NormalWeb"/>
        <w:rPr>
          <w:rFonts w:ascii="Calibri" w:hAnsi="Calibri"/>
          <w:sz w:val="22"/>
          <w:szCs w:val="22"/>
        </w:rPr>
      </w:pPr>
      <w:r w:rsidRPr="003139D4">
        <w:rPr>
          <w:rFonts w:ascii="Calibri" w:hAnsi="Calibri"/>
          <w:sz w:val="22"/>
          <w:szCs w:val="22"/>
        </w:rPr>
        <w:tab/>
      </w:r>
      <w:r w:rsidR="005D54B6" w:rsidRPr="005D54B6">
        <w:rPr>
          <w:rFonts w:ascii="Calibri" w:hAnsi="Calibri"/>
          <w:sz w:val="22"/>
          <w:szCs w:val="22"/>
        </w:rPr>
        <w:t>This section addresses most urgent to least urgent risks and expands detailed proposals of an interest rate swap, foreign exchange rate forwards, and commodity forward hedging strategies.</w:t>
      </w:r>
    </w:p>
    <w:p w14:paraId="40CB74A8" w14:textId="017A59E2" w:rsidR="00DA205C" w:rsidRDefault="007C7D78" w:rsidP="00F06BC1">
      <w:pPr>
        <w:pStyle w:val="NormalWeb"/>
        <w:rPr>
          <w:rFonts w:ascii="Calibri" w:hAnsi="Calibri"/>
          <w:sz w:val="22"/>
          <w:szCs w:val="22"/>
        </w:rPr>
      </w:pPr>
      <w:r>
        <w:rPr>
          <w:rFonts w:ascii="Calibri" w:hAnsi="Calibri"/>
          <w:b/>
          <w:bCs/>
          <w:sz w:val="22"/>
          <w:szCs w:val="22"/>
        </w:rPr>
        <w:t>3</w:t>
      </w:r>
      <w:r w:rsidR="00DA205C" w:rsidRPr="00AB7833">
        <w:rPr>
          <w:rFonts w:ascii="Calibri" w:hAnsi="Calibri"/>
          <w:b/>
          <w:bCs/>
          <w:sz w:val="22"/>
          <w:szCs w:val="22"/>
        </w:rPr>
        <w:t>.</w:t>
      </w:r>
      <w:r w:rsidR="00DA205C">
        <w:rPr>
          <w:rFonts w:ascii="Calibri" w:hAnsi="Calibri"/>
          <w:b/>
          <w:bCs/>
          <w:sz w:val="22"/>
          <w:szCs w:val="22"/>
        </w:rPr>
        <w:t>1 Interest Rate Swaps</w:t>
      </w:r>
    </w:p>
    <w:p w14:paraId="5A08A6E5" w14:textId="443D2C04" w:rsidR="009518E9" w:rsidRPr="009518E9" w:rsidRDefault="009518E9" w:rsidP="009518E9">
      <w:pPr>
        <w:pStyle w:val="NormalWeb"/>
        <w:ind w:firstLine="720"/>
        <w:rPr>
          <w:rFonts w:ascii="Calibri" w:hAnsi="Calibri"/>
          <w:sz w:val="22"/>
          <w:szCs w:val="22"/>
        </w:rPr>
      </w:pPr>
      <w:r w:rsidRPr="009518E9">
        <w:rPr>
          <w:rFonts w:ascii="Calibri" w:hAnsi="Calibri"/>
          <w:sz w:val="22"/>
          <w:szCs w:val="22"/>
        </w:rPr>
        <w:t>As discussed above, the company currently has high leverage comparing its peers. Therefore, interest rate risk is a priority that the firm should hedge. Moreover, the current low-interest-rate should be taken advantage of immediately. Since the firm has a relatively lower floating interest rate than its peers, it has a relatively low fixed interest rate. The firms can look into creating a paying floating rate, receiving a fixed rate swap. It is recommended to do such swaps with one of its current established relationships</w:t>
      </w:r>
      <w:r w:rsidR="00FA25CA">
        <w:rPr>
          <w:rFonts w:ascii="Calibri" w:hAnsi="Calibri"/>
          <w:sz w:val="22"/>
          <w:szCs w:val="22"/>
        </w:rPr>
        <w:t>, Netflix, Inc. A visualization of the swaps is displayed in Appendix 12.</w:t>
      </w:r>
    </w:p>
    <w:p w14:paraId="18F77E21" w14:textId="365EE413" w:rsidR="009518E9" w:rsidRPr="009518E9" w:rsidRDefault="005D54B6" w:rsidP="009518E9">
      <w:pPr>
        <w:pStyle w:val="NormalWeb"/>
        <w:ind w:firstLine="720"/>
        <w:rPr>
          <w:rFonts w:ascii="Calibri" w:hAnsi="Calibri"/>
          <w:sz w:val="22"/>
          <w:szCs w:val="22"/>
        </w:rPr>
      </w:pPr>
      <w:r w:rsidRPr="005D54B6">
        <w:rPr>
          <w:rFonts w:ascii="Calibri" w:hAnsi="Calibri"/>
          <w:sz w:val="22"/>
          <w:szCs w:val="22"/>
        </w:rPr>
        <w:t xml:space="preserve">Netflix currently has a 750 million revolving credit facility with Adjusted LIBOR plus 1.00% (S&amp;P Capital IQ, 2020). It carries both USD and EUR debts with an average fixed interest rate of 5.24% and 3.821%, respectively (S&amp;P Capital IQ, 2020). Comparing two companies' interest rates, Dunkin has a comparative advantage in the U.S. Debt's fixed interest rate. Dunkin has fixed-rate notes 2017 A2-I and 2019 A2-I with a principal of 600 million each with a fixed interest rate of 3.629% and 3.787% respectively and quarterly payment expected to be fully repaid by 2024 February (S&amp;P Capital IQ, 2020). </w:t>
      </w:r>
      <w:r w:rsidRPr="005D54B6">
        <w:rPr>
          <w:rFonts w:ascii="Calibri" w:hAnsi="Calibri"/>
          <w:sz w:val="22"/>
          <w:szCs w:val="22"/>
        </w:rPr>
        <w:lastRenderedPageBreak/>
        <w:t xml:space="preserve">Dunkin is recommended to create a quarterly interest rate swap with Netflix expiring on 2024 February were 1) Netflix loans 600 million with adjusted LIBOR rate, plus 1.25% to Dunkin 2) Dunkin loans 600 million to Netflix with 4% fixed interest rate. The swap is an attractive offering for Netflix since its current rate structure (as </w:t>
      </w:r>
      <w:r w:rsidR="00FA25CA">
        <w:rPr>
          <w:rFonts w:ascii="Calibri" w:hAnsi="Calibri"/>
          <w:sz w:val="22"/>
          <w:szCs w:val="22"/>
        </w:rPr>
        <w:t>Appendix</w:t>
      </w:r>
      <w:r w:rsidRPr="005D54B6">
        <w:rPr>
          <w:rFonts w:ascii="Calibri" w:hAnsi="Calibri"/>
          <w:sz w:val="22"/>
          <w:szCs w:val="22"/>
        </w:rPr>
        <w:t xml:space="preserve"> 4) shows that the offering fixed interest rate is the top 2 of its lowest fixed interest rate. Netflix is also able to profit 25 basis points interest from its floating rate lending.</w:t>
      </w:r>
      <w:r w:rsidR="009518E9" w:rsidRPr="009518E9">
        <w:rPr>
          <w:rFonts w:ascii="Calibri" w:hAnsi="Calibri"/>
          <w:sz w:val="22"/>
          <w:szCs w:val="22"/>
        </w:rPr>
        <w:t xml:space="preserve"> </w:t>
      </w:r>
    </w:p>
    <w:p w14:paraId="189E66F8" w14:textId="489E659A" w:rsidR="005D54B6" w:rsidRDefault="005D54B6" w:rsidP="009518E9">
      <w:pPr>
        <w:pStyle w:val="NormalWeb"/>
        <w:rPr>
          <w:rFonts w:ascii="Calibri" w:hAnsi="Calibri"/>
          <w:sz w:val="22"/>
          <w:szCs w:val="22"/>
        </w:rPr>
      </w:pPr>
      <w:r w:rsidRPr="005D54B6">
        <w:rPr>
          <w:rFonts w:ascii="Calibri" w:hAnsi="Calibri"/>
          <w:sz w:val="22"/>
          <w:szCs w:val="22"/>
        </w:rPr>
        <w:t xml:space="preserve">Dunkin would obtain a floating rate 25 basis points lower than its current floating rate and profit 29.2 basis points with fixed interest. The swap is a partial hedge of the 2017 A2-I and 2019 A2-I notes, with consideration of Netflix’s debt facility’s current floating rate debt capacity of 750 million and 50% of Dunkin’s expected repayment principal. Based on </w:t>
      </w:r>
      <w:r w:rsidR="00FA25CA">
        <w:rPr>
          <w:rFonts w:ascii="Calibri" w:hAnsi="Calibri"/>
          <w:sz w:val="22"/>
          <w:szCs w:val="22"/>
        </w:rPr>
        <w:t>Appendix</w:t>
      </w:r>
      <w:r w:rsidRPr="005D54B6">
        <w:rPr>
          <w:rFonts w:ascii="Calibri" w:hAnsi="Calibri"/>
          <w:sz w:val="22"/>
          <w:szCs w:val="22"/>
        </w:rPr>
        <w:t xml:space="preserve"> 4 and 5, we can see that the interest rate had been around 0.23% since the COVID-19 announcement from the U.S. government. Based on assumptions in </w:t>
      </w:r>
      <w:r w:rsidR="00FA25CA">
        <w:rPr>
          <w:rFonts w:ascii="Calibri" w:hAnsi="Calibri"/>
          <w:sz w:val="22"/>
          <w:szCs w:val="22"/>
        </w:rPr>
        <w:t>Appendix</w:t>
      </w:r>
      <w:r w:rsidRPr="005D54B6">
        <w:rPr>
          <w:rFonts w:ascii="Calibri" w:hAnsi="Calibri"/>
          <w:sz w:val="22"/>
          <w:szCs w:val="22"/>
        </w:rPr>
        <w:t xml:space="preserve"> 6, the best, middle, and the worst-case scenario of LIBOR rates are forecasted. Based on the assumptions, the interest rate swap is predicted to have scheduled payments in </w:t>
      </w:r>
      <w:r w:rsidR="00FA25CA">
        <w:rPr>
          <w:rFonts w:ascii="Calibri" w:hAnsi="Calibri"/>
          <w:sz w:val="22"/>
          <w:szCs w:val="22"/>
        </w:rPr>
        <w:t>Appendix</w:t>
      </w:r>
      <w:r w:rsidRPr="005D54B6">
        <w:rPr>
          <w:rFonts w:ascii="Calibri" w:hAnsi="Calibri"/>
          <w:sz w:val="22"/>
          <w:szCs w:val="22"/>
        </w:rPr>
        <w:t xml:space="preserve"> 7. Overall, Dunkin’s forecasted profit based on best, middle, and worst scenarios is displayed in </w:t>
      </w:r>
      <w:r w:rsidR="00FA25CA">
        <w:rPr>
          <w:rFonts w:ascii="Calibri" w:hAnsi="Calibri"/>
          <w:sz w:val="22"/>
          <w:szCs w:val="22"/>
        </w:rPr>
        <w:t>Appendix</w:t>
      </w:r>
      <w:r w:rsidRPr="005D54B6">
        <w:rPr>
          <w:rFonts w:ascii="Calibri" w:hAnsi="Calibri"/>
          <w:sz w:val="22"/>
          <w:szCs w:val="22"/>
        </w:rPr>
        <w:t xml:space="preserve"> 8 range from 0.8205 to 2.4401 million. Therefore, it is highly recommended that Dunkin takes actions to take advantage of the low floating interest rate during COVID-19.</w:t>
      </w:r>
    </w:p>
    <w:p w14:paraId="118260A7" w14:textId="2DB1C9FB" w:rsidR="000000E5" w:rsidRDefault="007C7D78" w:rsidP="009518E9">
      <w:pPr>
        <w:pStyle w:val="NormalWeb"/>
        <w:rPr>
          <w:rFonts w:ascii="Calibri" w:hAnsi="Calibri"/>
          <w:b/>
          <w:bCs/>
          <w:sz w:val="22"/>
          <w:szCs w:val="22"/>
        </w:rPr>
      </w:pPr>
      <w:r>
        <w:rPr>
          <w:rFonts w:ascii="Calibri" w:hAnsi="Calibri"/>
          <w:b/>
          <w:bCs/>
          <w:sz w:val="22"/>
          <w:szCs w:val="22"/>
        </w:rPr>
        <w:t xml:space="preserve">3.2 </w:t>
      </w:r>
      <w:r w:rsidR="000000E5">
        <w:rPr>
          <w:rFonts w:ascii="Calibri" w:hAnsi="Calibri"/>
          <w:b/>
          <w:bCs/>
          <w:sz w:val="22"/>
          <w:szCs w:val="22"/>
        </w:rPr>
        <w:t>Foreign Exchange Rate Forward</w:t>
      </w:r>
    </w:p>
    <w:p w14:paraId="5215B440" w14:textId="77777777" w:rsidR="00723DEA" w:rsidRDefault="00723DEA" w:rsidP="003139D4">
      <w:pPr>
        <w:pStyle w:val="NormalWeb"/>
        <w:ind w:firstLine="720"/>
        <w:rPr>
          <w:rFonts w:ascii="Calibri" w:hAnsi="Calibri"/>
          <w:sz w:val="22"/>
          <w:szCs w:val="22"/>
        </w:rPr>
      </w:pPr>
      <w:r w:rsidRPr="00723DEA">
        <w:rPr>
          <w:rFonts w:ascii="Calibri" w:hAnsi="Calibri"/>
          <w:sz w:val="22"/>
          <w:szCs w:val="22"/>
        </w:rPr>
        <w:t xml:space="preserve">There are two possible exposure sources from the Joint Ventures: Receivables and foreseeable asset sales (lead to foreign cash inflow). </w:t>
      </w:r>
    </w:p>
    <w:p w14:paraId="0A4B53E3" w14:textId="500CDD01" w:rsidR="00723DEA" w:rsidRDefault="00723DEA" w:rsidP="003139D4">
      <w:pPr>
        <w:pStyle w:val="NormalWeb"/>
        <w:ind w:firstLine="720"/>
        <w:rPr>
          <w:rFonts w:ascii="Calibri" w:hAnsi="Calibri"/>
          <w:sz w:val="22"/>
          <w:szCs w:val="22"/>
        </w:rPr>
      </w:pPr>
      <w:r w:rsidRPr="00723DEA">
        <w:rPr>
          <w:rFonts w:ascii="Calibri" w:hAnsi="Calibri"/>
          <w:sz w:val="22"/>
          <w:szCs w:val="22"/>
        </w:rPr>
        <w:t xml:space="preserve">The company is recommended to do a partial hedge on its receivables. Specifically, 5partial hedge using foreign exchange rate forward with notional values of 0.6 million, 4.5 million, 1.5 million USD with rates of 0.689 AUD/USD, 0.09 JPY/USD, and 0.00084 KRW/USD on revenues from Japan, South Korea, and Australia, respectively. The rates are estimated as the average exchange rate throughout </w:t>
      </w:r>
      <w:r w:rsidRPr="00723DEA">
        <w:rPr>
          <w:rFonts w:ascii="Calibri" w:hAnsi="Calibri"/>
          <w:sz w:val="22"/>
          <w:szCs w:val="22"/>
        </w:rPr>
        <w:lastRenderedPageBreak/>
        <w:t xml:space="preserve">2020 shown in </w:t>
      </w:r>
      <w:r w:rsidR="00FA25CA">
        <w:rPr>
          <w:rFonts w:ascii="Calibri" w:hAnsi="Calibri"/>
          <w:sz w:val="22"/>
          <w:szCs w:val="22"/>
        </w:rPr>
        <w:t>Appendix</w:t>
      </w:r>
      <w:r w:rsidRPr="00723DEA">
        <w:rPr>
          <w:rFonts w:ascii="Calibri" w:hAnsi="Calibri"/>
          <w:sz w:val="22"/>
          <w:szCs w:val="22"/>
        </w:rPr>
        <w:t xml:space="preserve"> 9. The notional amounts are chosen through 51%, 80%, 48% partial hedge on the forecast of 2020 receivable from Japan, South Korea, and Australia, respectively. South Korea has a higher hedging percentage since it is the majority of the foreign revenue, and it demonstrates strong growth in revenues over the past three years (shown in </w:t>
      </w:r>
      <w:r w:rsidR="00FA25CA">
        <w:rPr>
          <w:rFonts w:ascii="Calibri" w:hAnsi="Calibri"/>
          <w:sz w:val="22"/>
          <w:szCs w:val="22"/>
        </w:rPr>
        <w:t>Appendix</w:t>
      </w:r>
      <w:r w:rsidRPr="00723DEA">
        <w:rPr>
          <w:rFonts w:ascii="Calibri" w:hAnsi="Calibri"/>
          <w:sz w:val="22"/>
          <w:szCs w:val="22"/>
        </w:rPr>
        <w:t xml:space="preserve"> 10), whereas the other two JVs have shown a decline in revenues. Terms of proposed foreign exchange contracts are listed in </w:t>
      </w:r>
      <w:r w:rsidR="00FA25CA">
        <w:rPr>
          <w:rFonts w:ascii="Calibri" w:hAnsi="Calibri"/>
          <w:sz w:val="22"/>
          <w:szCs w:val="22"/>
        </w:rPr>
        <w:t>Appendix</w:t>
      </w:r>
      <w:r w:rsidRPr="00723DEA">
        <w:rPr>
          <w:rFonts w:ascii="Calibri" w:hAnsi="Calibri"/>
          <w:sz w:val="22"/>
          <w:szCs w:val="22"/>
        </w:rPr>
        <w:t xml:space="preserve"> 12.</w:t>
      </w:r>
    </w:p>
    <w:p w14:paraId="325BF0FF" w14:textId="550F8A6D" w:rsidR="00723DEA" w:rsidRDefault="00723DEA" w:rsidP="003139D4">
      <w:pPr>
        <w:pStyle w:val="NormalWeb"/>
        <w:ind w:firstLine="720"/>
        <w:rPr>
          <w:rFonts w:ascii="Calibri" w:hAnsi="Calibri"/>
          <w:sz w:val="22"/>
          <w:szCs w:val="22"/>
        </w:rPr>
      </w:pPr>
      <w:r w:rsidRPr="00723DEA">
        <w:rPr>
          <w:rFonts w:ascii="Calibri" w:hAnsi="Calibri"/>
          <w:sz w:val="22"/>
          <w:szCs w:val="22"/>
        </w:rPr>
        <w:t xml:space="preserve">Due to COVID-19, Dunkin is closing 800 U.S. stores - 8.3% of its current number of stores, including selling some of the lease, properties, and assets. (Bloomberg Markets, 2020) Based on the assumption of a similar strategy in its Joint Ventures, we expect an inflow of foreign currencies from selling off an equal portion of assets in 2021/2020. The amount of asset sales is forecasted in </w:t>
      </w:r>
      <w:r w:rsidR="00FA25CA">
        <w:rPr>
          <w:rFonts w:ascii="Calibri" w:hAnsi="Calibri"/>
          <w:sz w:val="22"/>
          <w:szCs w:val="22"/>
        </w:rPr>
        <w:t>Appendix</w:t>
      </w:r>
      <w:r w:rsidRPr="00723DEA">
        <w:rPr>
          <w:rFonts w:ascii="Calibri" w:hAnsi="Calibri"/>
          <w:sz w:val="22"/>
          <w:szCs w:val="22"/>
        </w:rPr>
        <w:t xml:space="preserve"> 11. Based on such assumption, a partial hedge on such transaction is recommended to use foreign exchange rate forwards with 10 million notional amounts and rates of 0.689 AUD/USD, 0.09 JPY/USD, and 0.00084 KRW/USD as 50% hedge on selling asset transactions (shown in </w:t>
      </w:r>
      <w:r w:rsidR="00FA25CA">
        <w:rPr>
          <w:rFonts w:ascii="Calibri" w:hAnsi="Calibri"/>
          <w:sz w:val="22"/>
          <w:szCs w:val="22"/>
        </w:rPr>
        <w:t>Appendix</w:t>
      </w:r>
      <w:r w:rsidRPr="00723DEA">
        <w:rPr>
          <w:rFonts w:ascii="Calibri" w:hAnsi="Calibri"/>
          <w:sz w:val="22"/>
          <w:szCs w:val="22"/>
        </w:rPr>
        <w:t xml:space="preserve"> 12). Since the sales are expected to be one-time-only, the forward term would be expiring in the same year as the transaction year. The year of the transaction is expected to be 2020/2021. </w:t>
      </w:r>
    </w:p>
    <w:p w14:paraId="45162B9D" w14:textId="034DF5C6" w:rsidR="00723DEA" w:rsidRDefault="00723DEA" w:rsidP="001A6F8C">
      <w:pPr>
        <w:pStyle w:val="NormalWeb"/>
        <w:rPr>
          <w:rFonts w:ascii="Calibri" w:hAnsi="Calibri"/>
          <w:sz w:val="22"/>
          <w:szCs w:val="22"/>
        </w:rPr>
      </w:pPr>
      <w:r w:rsidRPr="00723DEA">
        <w:rPr>
          <w:rFonts w:ascii="Calibri" w:hAnsi="Calibri"/>
          <w:sz w:val="22"/>
          <w:szCs w:val="22"/>
        </w:rPr>
        <w:t xml:space="preserve">Since March 13th is the day of the national emergency announcement from the U.S. government, the comparison of the exposed currencies’ volatility and price changes foreign exchange rates in </w:t>
      </w:r>
      <w:r w:rsidR="00FA25CA">
        <w:rPr>
          <w:rFonts w:ascii="Calibri" w:hAnsi="Calibri"/>
          <w:sz w:val="22"/>
          <w:szCs w:val="22"/>
        </w:rPr>
        <w:t>Appendix</w:t>
      </w:r>
      <w:r w:rsidRPr="00723DEA">
        <w:rPr>
          <w:rFonts w:ascii="Calibri" w:hAnsi="Calibri"/>
          <w:sz w:val="22"/>
          <w:szCs w:val="22"/>
        </w:rPr>
        <w:t xml:space="preserve"> 9, based on daily foreign exchange rates (JPY/USD, AUD/USD, and KRW/USD) in 2020 and 2019 during the period March 12th to December 2nd.  It shows that the average 14 days volatility of foreign exchange rate had increased from 2019 to 2020, and the highest volatility had increased 216.15%, 79.98%, 94.35% of JPY/USD, AUD/USD, and KRW/USD, respectively. The facts indicate an increased uncertainty of the exchange rate exposure for annual receivables from the three joint ventures. This fact urges Dunkin to secure a fixed and satisfactory exchange rate and avoid uncertainty for foreign exchange rate exposure. </w:t>
      </w:r>
      <w:r w:rsidRPr="00723DEA">
        <w:rPr>
          <w:rFonts w:ascii="Calibri" w:hAnsi="Calibri"/>
          <w:sz w:val="22"/>
          <w:szCs w:val="22"/>
        </w:rPr>
        <w:lastRenderedPageBreak/>
        <w:t xml:space="preserve">Overall, the foreign exchange rate has a medium level of emergency to hedge, and the timeline for the implementation is contingent on the business arrangement of closure and expansion. </w:t>
      </w:r>
    </w:p>
    <w:p w14:paraId="435720FF" w14:textId="29127B6F" w:rsidR="001A6F8C" w:rsidRDefault="007C7D78" w:rsidP="001A6F8C">
      <w:pPr>
        <w:pStyle w:val="NormalWeb"/>
        <w:rPr>
          <w:rFonts w:ascii="Calibri" w:hAnsi="Calibri"/>
          <w:b/>
          <w:bCs/>
          <w:sz w:val="22"/>
          <w:szCs w:val="22"/>
        </w:rPr>
      </w:pPr>
      <w:r>
        <w:rPr>
          <w:rFonts w:ascii="Calibri" w:hAnsi="Calibri"/>
          <w:b/>
          <w:bCs/>
          <w:sz w:val="22"/>
          <w:szCs w:val="22"/>
        </w:rPr>
        <w:t xml:space="preserve">3.3 </w:t>
      </w:r>
      <w:r w:rsidR="001A6F8C">
        <w:rPr>
          <w:rFonts w:ascii="Calibri" w:hAnsi="Calibri"/>
          <w:b/>
          <w:bCs/>
          <w:sz w:val="22"/>
          <w:szCs w:val="22"/>
        </w:rPr>
        <w:t>Commodity Forward</w:t>
      </w:r>
    </w:p>
    <w:p w14:paraId="334A4573" w14:textId="0794FF89" w:rsidR="001A6F8C" w:rsidRDefault="00723DEA" w:rsidP="000000E5">
      <w:pPr>
        <w:pStyle w:val="NormalWeb"/>
        <w:rPr>
          <w:rFonts w:ascii="Calibri" w:hAnsi="Calibri"/>
          <w:b/>
          <w:bCs/>
          <w:sz w:val="22"/>
          <w:szCs w:val="22"/>
        </w:rPr>
      </w:pPr>
      <w:r w:rsidRPr="00723DEA">
        <w:rPr>
          <w:rFonts w:ascii="Calibri" w:hAnsi="Calibri"/>
          <w:sz w:val="22"/>
          <w:szCs w:val="22"/>
        </w:rPr>
        <w:t>The power of purchasing and distribution is in NDCP, which is privately owned by the franchises. Dunkin is only liable as a guarantor for a set amount of purchases during a set period. Most of the guarantee agreements are due within a year. Those arrangements are made with its major suppliers such as Dean Foods, Coca-Cola, and KDP (S&amp;P IQ Capital, 2020). Those suppliers have a long history and lasting relationships with Dunkin, providing a consistent supply with low costs. Dunkin is recommended to renew its guarantee arrangement with internally forecasted demands in collaboration with NDCP. Overall, commodity risk is not a significant concern for Dunkin. However, NDCP is strongly recommended to make commodity forward contracts secure stable supply and low costs, matching competitors' and industry's standard practices.</w:t>
      </w:r>
    </w:p>
    <w:p w14:paraId="5E008AB4" w14:textId="77777777" w:rsidR="001A6F8C" w:rsidRDefault="001A6F8C" w:rsidP="000000E5">
      <w:pPr>
        <w:pStyle w:val="NormalWeb"/>
        <w:rPr>
          <w:rFonts w:ascii="Calibri" w:hAnsi="Calibri"/>
          <w:sz w:val="22"/>
          <w:szCs w:val="22"/>
        </w:rPr>
      </w:pPr>
    </w:p>
    <w:p w14:paraId="5A0D5EED" w14:textId="7D39B4CD" w:rsidR="00FA1D25" w:rsidRDefault="00FA1D25" w:rsidP="00F06BC1"/>
    <w:p w14:paraId="29DA1230" w14:textId="2DF87CB4" w:rsidR="007C7D78" w:rsidRDefault="007C7D78" w:rsidP="00F06BC1"/>
    <w:p w14:paraId="30D4C0E3" w14:textId="6CF8807B" w:rsidR="007C7D78" w:rsidRDefault="007C7D78" w:rsidP="00F06BC1"/>
    <w:p w14:paraId="1465DB7C" w14:textId="22A1CDA2" w:rsidR="007C7D78" w:rsidRDefault="007C7D78" w:rsidP="00F06BC1"/>
    <w:p w14:paraId="345A926C" w14:textId="77777777" w:rsidR="007C7D78" w:rsidRDefault="007C7D78" w:rsidP="00F06BC1"/>
    <w:p w14:paraId="53377E72" w14:textId="12FAC7C3" w:rsidR="00B7389F" w:rsidRDefault="00B7389F" w:rsidP="00F06BC1"/>
    <w:p w14:paraId="73DC75BA" w14:textId="36DEEE5E" w:rsidR="00A117B9" w:rsidRDefault="00FA25CA" w:rsidP="006D08ED">
      <w:pPr>
        <w:spacing w:before="0" w:beforeAutospacing="0" w:after="0" w:afterAutospacing="0" w:line="240" w:lineRule="auto"/>
      </w:pPr>
      <w:r>
        <w:lastRenderedPageBreak/>
        <w:t>Appendix</w:t>
      </w:r>
      <w:r w:rsidR="00F127B9">
        <w:t xml:space="preserve"> 1 Financial Ratios</w:t>
      </w:r>
      <w:r w:rsidR="004D3427">
        <w:rPr>
          <w:noProof/>
        </w:rPr>
        <w:drawing>
          <wp:inline distT="0" distB="0" distL="0" distR="0" wp14:anchorId="7825477D" wp14:editId="6E2CF82C">
            <wp:extent cx="5943600" cy="203962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r w:rsidR="00A117B9" w:rsidRPr="00A117B9">
        <w:t xml:space="preserve"> </w:t>
      </w:r>
      <w:r w:rsidR="00A117B9">
        <w:t>Source: S&amp;P Capital IQ,</w:t>
      </w:r>
      <w:r w:rsidR="00A117B9" w:rsidRPr="00A117B9">
        <w:t xml:space="preserve"> https://www.capitaliq.com/CIQDotNet/Financial/Ratios.aspx?CompanyId=20801430</w:t>
      </w:r>
    </w:p>
    <w:p w14:paraId="299F194B" w14:textId="2EC19D44" w:rsidR="00984048" w:rsidRDefault="00FA25CA" w:rsidP="006D08ED">
      <w:pPr>
        <w:spacing w:before="0" w:beforeAutospacing="0" w:after="0" w:afterAutospacing="0" w:line="240" w:lineRule="auto"/>
      </w:pPr>
      <w:r>
        <w:t>Appendix</w:t>
      </w:r>
      <w:r w:rsidR="00984048">
        <w:t xml:space="preserve"> 2 Competitor Ratio Analysis</w:t>
      </w:r>
    </w:p>
    <w:p w14:paraId="3ADD7269" w14:textId="47357DD4" w:rsidR="00984048" w:rsidRDefault="00984048" w:rsidP="006D08ED">
      <w:pPr>
        <w:spacing w:before="0" w:beforeAutospacing="0" w:after="0" w:afterAutospacing="0" w:line="240" w:lineRule="auto"/>
      </w:pPr>
      <w:r w:rsidRPr="00984048">
        <w:rPr>
          <w:noProof/>
        </w:rPr>
        <w:drawing>
          <wp:inline distT="0" distB="0" distL="0" distR="0" wp14:anchorId="4B2A9049" wp14:editId="1FD4F130">
            <wp:extent cx="5943600" cy="152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5270"/>
                    </a:xfrm>
                    <a:prstGeom prst="rect">
                      <a:avLst/>
                    </a:prstGeom>
                  </pic:spPr>
                </pic:pic>
              </a:graphicData>
            </a:graphic>
          </wp:inline>
        </w:drawing>
      </w:r>
    </w:p>
    <w:p w14:paraId="6A28FB1D" w14:textId="7AF18D2C" w:rsidR="00984048" w:rsidRDefault="00984048" w:rsidP="006D08ED">
      <w:pPr>
        <w:spacing w:before="0" w:beforeAutospacing="0" w:after="0" w:afterAutospacing="0" w:line="240" w:lineRule="auto"/>
      </w:pPr>
      <w:r>
        <w:t>Source: S&amp;P Capital IQ</w:t>
      </w:r>
      <w:r w:rsidR="00E5566C">
        <w:t xml:space="preserve">, </w:t>
      </w:r>
      <w:r w:rsidR="00A117B9" w:rsidRPr="00A117B9">
        <w:t>https://www.capitaliq.com/CIQDotNet/Comps/Comparables.aspx?companyId=20801430&amp;statekey=2039149803554f00b2be2e2bf7dd5954</w:t>
      </w:r>
    </w:p>
    <w:p w14:paraId="677C26FF" w14:textId="77777777" w:rsidR="00E5566C" w:rsidRDefault="00E5566C" w:rsidP="006D08ED">
      <w:pPr>
        <w:spacing w:before="0" w:beforeAutospacing="0" w:after="0" w:afterAutospacing="0" w:line="240" w:lineRule="auto"/>
      </w:pPr>
    </w:p>
    <w:p w14:paraId="78069FDD" w14:textId="27067763" w:rsidR="00E53A31" w:rsidRDefault="00FA25CA" w:rsidP="006D08ED">
      <w:pPr>
        <w:spacing w:before="0" w:beforeAutospacing="0" w:after="0" w:afterAutospacing="0" w:line="240" w:lineRule="auto"/>
      </w:pPr>
      <w:r>
        <w:t>Appendix</w:t>
      </w:r>
      <w:r w:rsidR="00E53A31">
        <w:t xml:space="preserve"> </w:t>
      </w:r>
      <w:r w:rsidR="00CC5DEE">
        <w:t>3</w:t>
      </w:r>
      <w:r w:rsidR="00E53A31">
        <w:t xml:space="preserve"> </w:t>
      </w:r>
      <w:r w:rsidR="00CC5DEE">
        <w:t xml:space="preserve">Dunkin’s </w:t>
      </w:r>
      <w:r w:rsidR="00E53A31">
        <w:t>Debt Structure and Expected Repayment Schedule 2020 - 2024</w:t>
      </w:r>
    </w:p>
    <w:p w14:paraId="31E1EFF4" w14:textId="4F5EC3C1" w:rsidR="00B7389F" w:rsidRDefault="005A48B7" w:rsidP="006D08ED">
      <w:pPr>
        <w:spacing w:before="0" w:beforeAutospacing="0" w:after="0" w:afterAutospacing="0" w:line="240" w:lineRule="auto"/>
      </w:pPr>
      <w:r w:rsidRPr="005A48B7">
        <w:rPr>
          <w:noProof/>
        </w:rPr>
        <w:drawing>
          <wp:inline distT="0" distB="0" distL="0" distR="0" wp14:anchorId="0DA225C7" wp14:editId="1AAD2214">
            <wp:extent cx="5490594" cy="271303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1846" cy="2718594"/>
                    </a:xfrm>
                    <a:prstGeom prst="rect">
                      <a:avLst/>
                    </a:prstGeom>
                  </pic:spPr>
                </pic:pic>
              </a:graphicData>
            </a:graphic>
          </wp:inline>
        </w:drawing>
      </w:r>
      <w:r w:rsidR="001165B9" w:rsidRPr="001165B9">
        <w:t xml:space="preserve"> </w:t>
      </w:r>
      <w:r w:rsidR="001165B9">
        <w:t xml:space="preserve">Source: S&amp;P Capital IQ, </w:t>
      </w:r>
      <w:hyperlink r:id="rId10" w:history="1">
        <w:r w:rsidR="001165B9" w:rsidRPr="00AC7924">
          <w:rPr>
            <w:rStyle w:val="Hyperlink"/>
          </w:rPr>
          <w:t>https://www.capitaliq.com/CIQDotNet/Financial/CapStructureDetails.aspx?CompanyId=20801430</w:t>
        </w:r>
      </w:hyperlink>
    </w:p>
    <w:p w14:paraId="6006CC00" w14:textId="46FBBE62" w:rsidR="001165B9" w:rsidRDefault="001165B9" w:rsidP="006D08ED">
      <w:pPr>
        <w:spacing w:before="0" w:beforeAutospacing="0" w:after="0" w:afterAutospacing="0" w:line="240" w:lineRule="auto"/>
      </w:pPr>
      <w:r>
        <w:t xml:space="preserve">Source: </w:t>
      </w:r>
    </w:p>
    <w:p w14:paraId="70739C2D" w14:textId="401D754C" w:rsidR="00CC5DEE" w:rsidRDefault="00FA25CA" w:rsidP="006D08ED">
      <w:pPr>
        <w:spacing w:before="0" w:beforeAutospacing="0" w:after="0" w:afterAutospacing="0" w:line="240" w:lineRule="auto"/>
      </w:pPr>
      <w:r>
        <w:t>Appendix</w:t>
      </w:r>
      <w:r w:rsidR="00CC5DEE">
        <w:t xml:space="preserve"> 4 Netflix U.S. Debt Structure </w:t>
      </w:r>
      <w:r w:rsidR="00CC5DEE">
        <w:rPr>
          <w:noProof/>
        </w:rPr>
        <w:drawing>
          <wp:inline distT="0" distB="0" distL="0" distR="0" wp14:anchorId="5DD846B9" wp14:editId="1DC23782">
            <wp:extent cx="5943600" cy="199898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inline>
        </w:drawing>
      </w:r>
    </w:p>
    <w:p w14:paraId="039B6283" w14:textId="20012A3A" w:rsidR="00A50567" w:rsidRDefault="00A50567" w:rsidP="006D08ED">
      <w:pPr>
        <w:spacing w:before="0" w:beforeAutospacing="0" w:after="0" w:afterAutospacing="0" w:line="240" w:lineRule="auto"/>
      </w:pPr>
      <w:r>
        <w:t xml:space="preserve">Source: S&amp;P Capital IQ, </w:t>
      </w:r>
      <w:r w:rsidRPr="00A50567">
        <w:t>https://www.capitaliq.com/CIQDotNet/Financial/CapStructureDetails.aspx?CompanyId=32012</w:t>
      </w:r>
    </w:p>
    <w:p w14:paraId="0030A055" w14:textId="77777777" w:rsidR="006D08ED" w:rsidRDefault="006D08ED" w:rsidP="006D08ED">
      <w:pPr>
        <w:spacing w:before="0" w:beforeAutospacing="0" w:after="0" w:afterAutospacing="0" w:line="240" w:lineRule="auto"/>
      </w:pPr>
    </w:p>
    <w:p w14:paraId="7388C88E" w14:textId="6CD27B14" w:rsidR="00E5566C" w:rsidRDefault="00FA25CA" w:rsidP="004C78C6">
      <w:pPr>
        <w:spacing w:before="0" w:beforeAutospacing="0" w:after="0" w:afterAutospacing="0" w:line="240" w:lineRule="auto"/>
      </w:pPr>
      <w:r>
        <w:t>Appendix</w:t>
      </w:r>
      <w:r w:rsidR="00E5566C">
        <w:t xml:space="preserve"> 4 YTD LIBOR rate 2020</w:t>
      </w:r>
      <w:r w:rsidR="00E5566C">
        <w:rPr>
          <w:noProof/>
        </w:rPr>
        <w:drawing>
          <wp:inline distT="0" distB="0" distL="0" distR="0" wp14:anchorId="193733C4" wp14:editId="7BD95B13">
            <wp:extent cx="5943600" cy="2522855"/>
            <wp:effectExtent l="0" t="0" r="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w14:paraId="2757FDE5" w14:textId="1C2F61CA" w:rsidR="00E5566C" w:rsidRDefault="00E5566C" w:rsidP="004C78C6">
      <w:pPr>
        <w:spacing w:before="0" w:beforeAutospacing="0" w:after="0" w:afterAutospacing="0" w:line="240" w:lineRule="auto"/>
      </w:pPr>
      <w:r>
        <w:t xml:space="preserve">Source: S&amp;P Capital IQ, </w:t>
      </w:r>
      <w:hyperlink r:id="rId13" w:history="1">
        <w:r w:rsidRPr="00E5566C">
          <w:t>https://www.capitaliq.com/CIQDotNet/MacroEconomics/InterestRate.aspx?companyId=36183729</w:t>
        </w:r>
      </w:hyperlink>
      <w:r>
        <w:t xml:space="preserve"> </w:t>
      </w:r>
    </w:p>
    <w:p w14:paraId="217A7B12" w14:textId="77777777" w:rsidR="005A6124" w:rsidRDefault="005A6124" w:rsidP="004C78C6">
      <w:pPr>
        <w:spacing w:before="0" w:beforeAutospacing="0" w:after="0" w:afterAutospacing="0" w:line="240" w:lineRule="auto"/>
      </w:pPr>
    </w:p>
    <w:p w14:paraId="60C751E1" w14:textId="66FA5008" w:rsidR="00962F3B" w:rsidRDefault="00FA25CA" w:rsidP="004C78C6">
      <w:pPr>
        <w:spacing w:before="0" w:beforeAutospacing="0" w:after="0" w:afterAutospacing="0" w:line="240" w:lineRule="auto"/>
      </w:pPr>
      <w:r>
        <w:t>Appendix</w:t>
      </w:r>
      <w:r w:rsidR="00962F3B">
        <w:t xml:space="preserve"> 5 </w:t>
      </w:r>
      <w:r w:rsidR="006D08ED" w:rsidRPr="006D08ED">
        <w:t>CE LIBOR - USD 3 Month</w:t>
      </w:r>
      <w:r w:rsidR="006D08ED">
        <w:t xml:space="preserve"> Stats </w:t>
      </w:r>
    </w:p>
    <w:p w14:paraId="19E9DC05" w14:textId="53612010" w:rsidR="006D08ED" w:rsidRDefault="00D14CD0" w:rsidP="004C78C6">
      <w:pPr>
        <w:spacing w:before="0" w:beforeAutospacing="0" w:after="0" w:afterAutospacing="0" w:line="240" w:lineRule="auto"/>
      </w:pPr>
      <w:r w:rsidRPr="00D14CD0">
        <w:rPr>
          <w:noProof/>
        </w:rPr>
        <w:lastRenderedPageBreak/>
        <w:drawing>
          <wp:inline distT="0" distB="0" distL="0" distR="0" wp14:anchorId="5017E353" wp14:editId="364D5222">
            <wp:extent cx="1548800" cy="22352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8942" cy="2235405"/>
                    </a:xfrm>
                    <a:prstGeom prst="rect">
                      <a:avLst/>
                    </a:prstGeom>
                  </pic:spPr>
                </pic:pic>
              </a:graphicData>
            </a:graphic>
          </wp:inline>
        </w:drawing>
      </w:r>
    </w:p>
    <w:p w14:paraId="11C96B15" w14:textId="26EDEA07" w:rsidR="006D08ED" w:rsidRDefault="005A6124" w:rsidP="004C78C6">
      <w:pPr>
        <w:spacing w:before="0" w:beforeAutospacing="0" w:after="0" w:afterAutospacing="0" w:line="240" w:lineRule="auto"/>
      </w:pPr>
      <w:r>
        <w:t xml:space="preserve">Source: S&amp;P Capital IQ, </w:t>
      </w:r>
      <w:hyperlink r:id="rId15" w:history="1">
        <w:r w:rsidR="003D1DDE" w:rsidRPr="00AC7924">
          <w:rPr>
            <w:rStyle w:val="Hyperlink"/>
          </w:rPr>
          <w:t>https://www.capitaliq.com/CIQDotNet/MacroEconomics/InterestRate.aspx?companyId=36183729</w:t>
        </w:r>
      </w:hyperlink>
    </w:p>
    <w:p w14:paraId="3F13C697" w14:textId="77777777" w:rsidR="004C78C6" w:rsidRDefault="004C78C6" w:rsidP="004C78C6">
      <w:pPr>
        <w:spacing w:before="0" w:beforeAutospacing="0" w:after="0" w:afterAutospacing="0" w:line="240" w:lineRule="auto"/>
      </w:pPr>
    </w:p>
    <w:p w14:paraId="203EF7CE" w14:textId="5F0321C5" w:rsidR="003D1DDE" w:rsidRDefault="00FA25CA" w:rsidP="004C78C6">
      <w:pPr>
        <w:spacing w:before="0" w:beforeAutospacing="0" w:after="0" w:afterAutospacing="0" w:line="240" w:lineRule="auto"/>
      </w:pPr>
      <w:r>
        <w:t>Appendix</w:t>
      </w:r>
      <w:r w:rsidR="003D1DDE">
        <w:t xml:space="preserve"> 6 LIBOR Rate forecast</w:t>
      </w:r>
    </w:p>
    <w:p w14:paraId="1F70732C" w14:textId="5415B22E" w:rsidR="003D1DDE" w:rsidRDefault="00D14CD0" w:rsidP="004C78C6">
      <w:pPr>
        <w:spacing w:before="0" w:beforeAutospacing="0" w:after="0" w:afterAutospacing="0" w:line="240" w:lineRule="auto"/>
      </w:pPr>
      <w:r w:rsidRPr="00D14CD0">
        <w:rPr>
          <w:noProof/>
        </w:rPr>
        <w:drawing>
          <wp:inline distT="0" distB="0" distL="0" distR="0" wp14:anchorId="5F6171D7" wp14:editId="75F3B690">
            <wp:extent cx="5943600" cy="1155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55065"/>
                    </a:xfrm>
                    <a:prstGeom prst="rect">
                      <a:avLst/>
                    </a:prstGeom>
                  </pic:spPr>
                </pic:pic>
              </a:graphicData>
            </a:graphic>
          </wp:inline>
        </w:drawing>
      </w:r>
    </w:p>
    <w:p w14:paraId="68F401E3" w14:textId="77777777" w:rsidR="004C78C6" w:rsidRDefault="004C78C6" w:rsidP="004C78C6">
      <w:pPr>
        <w:spacing w:before="0" w:beforeAutospacing="0" w:after="0" w:afterAutospacing="0" w:line="240" w:lineRule="auto"/>
        <w:rPr>
          <w:lang w:val="en-US"/>
        </w:rPr>
      </w:pPr>
    </w:p>
    <w:p w14:paraId="65260597" w14:textId="4D471E1D" w:rsidR="005C7A99" w:rsidRDefault="00FA25CA" w:rsidP="004C78C6">
      <w:pPr>
        <w:spacing w:before="0" w:beforeAutospacing="0" w:after="0" w:afterAutospacing="0" w:line="240" w:lineRule="auto"/>
        <w:rPr>
          <w:lang w:val="en-US"/>
        </w:rPr>
      </w:pPr>
      <w:r>
        <w:rPr>
          <w:lang w:val="en-US"/>
        </w:rPr>
        <w:t>Appendix</w:t>
      </w:r>
      <w:r w:rsidR="005C7A99">
        <w:rPr>
          <w:lang w:val="en-US"/>
        </w:rPr>
        <w:t xml:space="preserve"> 7 Interest rate swaps forecast and arrangement</w:t>
      </w:r>
    </w:p>
    <w:p w14:paraId="79F3B830" w14:textId="3DE702F4" w:rsidR="005C7A99" w:rsidRDefault="005C7A99" w:rsidP="004C78C6">
      <w:pPr>
        <w:spacing w:before="0" w:beforeAutospacing="0" w:after="0" w:afterAutospacing="0" w:line="240" w:lineRule="auto"/>
      </w:pPr>
      <w:r w:rsidRPr="005C7A99">
        <w:rPr>
          <w:noProof/>
        </w:rPr>
        <w:drawing>
          <wp:inline distT="0" distB="0" distL="0" distR="0" wp14:anchorId="40ADC1E4" wp14:editId="6A13DD31">
            <wp:extent cx="5943600" cy="613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3410"/>
                    </a:xfrm>
                    <a:prstGeom prst="rect">
                      <a:avLst/>
                    </a:prstGeom>
                  </pic:spPr>
                </pic:pic>
              </a:graphicData>
            </a:graphic>
          </wp:inline>
        </w:drawing>
      </w:r>
    </w:p>
    <w:p w14:paraId="44DEF87F" w14:textId="77777777" w:rsidR="004C78C6" w:rsidRDefault="004C78C6" w:rsidP="004C78C6">
      <w:pPr>
        <w:spacing w:before="0" w:beforeAutospacing="0" w:after="0" w:afterAutospacing="0" w:line="240" w:lineRule="auto"/>
      </w:pPr>
    </w:p>
    <w:p w14:paraId="62692095" w14:textId="0F46FB17" w:rsidR="005C7A99" w:rsidRDefault="00FA25CA" w:rsidP="004C78C6">
      <w:pPr>
        <w:spacing w:before="0" w:beforeAutospacing="0" w:after="0" w:afterAutospacing="0" w:line="240" w:lineRule="auto"/>
      </w:pPr>
      <w:r>
        <w:t>Appendix</w:t>
      </w:r>
      <w:r w:rsidR="005C7A99">
        <w:t xml:space="preserve"> 8 Forecast profit</w:t>
      </w:r>
    </w:p>
    <w:p w14:paraId="7DB6D5C3" w14:textId="00C878E1" w:rsidR="005C7A99" w:rsidRDefault="005C7A99" w:rsidP="004C78C6">
      <w:pPr>
        <w:spacing w:before="0" w:beforeAutospacing="0" w:after="0" w:afterAutospacing="0" w:line="240" w:lineRule="auto"/>
      </w:pPr>
      <w:r w:rsidRPr="005C7A99">
        <w:rPr>
          <w:noProof/>
        </w:rPr>
        <w:drawing>
          <wp:inline distT="0" distB="0" distL="0" distR="0" wp14:anchorId="25D1F62E" wp14:editId="485A429D">
            <wp:extent cx="5943600" cy="935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5990"/>
                    </a:xfrm>
                    <a:prstGeom prst="rect">
                      <a:avLst/>
                    </a:prstGeom>
                  </pic:spPr>
                </pic:pic>
              </a:graphicData>
            </a:graphic>
          </wp:inline>
        </w:drawing>
      </w:r>
    </w:p>
    <w:p w14:paraId="0CF3C194" w14:textId="77777777" w:rsidR="004C78C6" w:rsidRDefault="004C78C6" w:rsidP="004C78C6">
      <w:pPr>
        <w:spacing w:before="0" w:beforeAutospacing="0" w:after="0" w:afterAutospacing="0" w:line="240" w:lineRule="auto"/>
      </w:pPr>
    </w:p>
    <w:p w14:paraId="0F4C8D5B" w14:textId="035E00DA" w:rsidR="005C7A99" w:rsidRDefault="00FA25CA" w:rsidP="00260BA5">
      <w:pPr>
        <w:spacing w:before="0" w:beforeAutospacing="0" w:after="0" w:afterAutospacing="0" w:line="240" w:lineRule="auto"/>
      </w:pPr>
      <w:r>
        <w:t>Appendix</w:t>
      </w:r>
      <w:r w:rsidR="004611D5">
        <w:t xml:space="preserve"> 9 2019 and 2020 foreign exchange rate </w:t>
      </w:r>
      <w:r w:rsidR="004611D5" w:rsidRPr="004611D5">
        <w:rPr>
          <w:noProof/>
        </w:rPr>
        <w:drawing>
          <wp:inline distT="0" distB="0" distL="0" distR="0" wp14:anchorId="5D6E1320" wp14:editId="1C3F4B08">
            <wp:extent cx="5943600" cy="101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8540"/>
                    </a:xfrm>
                    <a:prstGeom prst="rect">
                      <a:avLst/>
                    </a:prstGeom>
                  </pic:spPr>
                </pic:pic>
              </a:graphicData>
            </a:graphic>
          </wp:inline>
        </w:drawing>
      </w:r>
    </w:p>
    <w:p w14:paraId="72097AD2" w14:textId="77777777" w:rsidR="00260BA5" w:rsidRDefault="00260BA5" w:rsidP="00260BA5">
      <w:pPr>
        <w:spacing w:before="0" w:beforeAutospacing="0" w:after="0" w:afterAutospacing="0" w:line="240" w:lineRule="auto"/>
      </w:pPr>
    </w:p>
    <w:p w14:paraId="6C9F3D7C" w14:textId="42C54E40" w:rsidR="00B67413" w:rsidRDefault="00FA25CA" w:rsidP="00260BA5">
      <w:pPr>
        <w:spacing w:before="0" w:beforeAutospacing="0" w:after="0" w:afterAutospacing="0" w:line="240" w:lineRule="auto"/>
      </w:pPr>
      <w:r>
        <w:lastRenderedPageBreak/>
        <w:t>Appendix</w:t>
      </w:r>
      <w:r w:rsidR="00B67413">
        <w:t xml:space="preserve"> 10 </w:t>
      </w:r>
      <w:r w:rsidR="006D26EB">
        <w:t>Quarterly and Annual Revenue Receivable forecast</w:t>
      </w:r>
    </w:p>
    <w:p w14:paraId="6D060B40" w14:textId="6281853D" w:rsidR="00260BA5" w:rsidRDefault="00260BA5" w:rsidP="00260BA5">
      <w:pPr>
        <w:spacing w:before="0" w:beforeAutospacing="0" w:after="0" w:afterAutospacing="0" w:line="240" w:lineRule="auto"/>
      </w:pPr>
      <w:r w:rsidRPr="00260BA5">
        <w:rPr>
          <w:noProof/>
        </w:rPr>
        <w:drawing>
          <wp:inline distT="0" distB="0" distL="0" distR="0" wp14:anchorId="498B8051" wp14:editId="07C66E48">
            <wp:extent cx="5041900" cy="124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1900" cy="1244600"/>
                    </a:xfrm>
                    <a:prstGeom prst="rect">
                      <a:avLst/>
                    </a:prstGeom>
                  </pic:spPr>
                </pic:pic>
              </a:graphicData>
            </a:graphic>
          </wp:inline>
        </w:drawing>
      </w:r>
    </w:p>
    <w:p w14:paraId="1DE16122" w14:textId="2D994355" w:rsidR="00260BA5" w:rsidRDefault="00260BA5" w:rsidP="00260BA5">
      <w:pPr>
        <w:spacing w:before="0" w:beforeAutospacing="0" w:after="0" w:afterAutospacing="0" w:line="240" w:lineRule="auto"/>
      </w:pPr>
      <w:r w:rsidRPr="00260BA5">
        <w:rPr>
          <w:noProof/>
        </w:rPr>
        <w:drawing>
          <wp:inline distT="0" distB="0" distL="0" distR="0" wp14:anchorId="714F9120" wp14:editId="30830666">
            <wp:extent cx="5943600" cy="1393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3825"/>
                    </a:xfrm>
                    <a:prstGeom prst="rect">
                      <a:avLst/>
                    </a:prstGeom>
                  </pic:spPr>
                </pic:pic>
              </a:graphicData>
            </a:graphic>
          </wp:inline>
        </w:drawing>
      </w:r>
    </w:p>
    <w:p w14:paraId="6BB8EA45" w14:textId="5E29A3A2" w:rsidR="00260BA5" w:rsidRDefault="00260BA5" w:rsidP="00260BA5">
      <w:pPr>
        <w:spacing w:before="0" w:beforeAutospacing="0" w:after="0" w:afterAutospacing="0" w:line="240" w:lineRule="auto"/>
      </w:pPr>
      <w:r>
        <w:t xml:space="preserve">Source: </w:t>
      </w:r>
      <w:r w:rsidRPr="00260BA5">
        <w:t xml:space="preserve">S&amp;P Capital IQ. Dunkin27_Brands_Group_Inc_-_Form_10-K </w:t>
      </w:r>
      <w:hyperlink r:id="rId22" w:history="1">
        <w:r w:rsidRPr="000575B0">
          <w:rPr>
            <w:rStyle w:val="Hyperlink"/>
          </w:rPr>
          <w:t>https://www.capitaliq.com/CIQDotNet/company.aspx?companyId=20801430</w:t>
        </w:r>
      </w:hyperlink>
      <w:r>
        <w:t xml:space="preserve"> </w:t>
      </w:r>
    </w:p>
    <w:p w14:paraId="4F51000F" w14:textId="77777777" w:rsidR="00260BA5" w:rsidRDefault="00260BA5" w:rsidP="00260BA5">
      <w:pPr>
        <w:spacing w:before="0" w:beforeAutospacing="0" w:after="0" w:afterAutospacing="0" w:line="240" w:lineRule="auto"/>
      </w:pPr>
    </w:p>
    <w:p w14:paraId="410E1B9D" w14:textId="77777777" w:rsidR="00260BA5" w:rsidRDefault="00260BA5" w:rsidP="00260BA5">
      <w:pPr>
        <w:spacing w:before="0" w:beforeAutospacing="0" w:after="0" w:afterAutospacing="0" w:line="240" w:lineRule="auto"/>
      </w:pPr>
    </w:p>
    <w:p w14:paraId="24DF72B5" w14:textId="0F32FDE7" w:rsidR="006D26EB" w:rsidRDefault="00FA25CA" w:rsidP="00260BA5">
      <w:pPr>
        <w:spacing w:before="0" w:beforeAutospacing="0" w:after="0" w:afterAutospacing="0" w:line="240" w:lineRule="auto"/>
      </w:pPr>
      <w:r>
        <w:t>Appendix</w:t>
      </w:r>
      <w:r w:rsidR="006D26EB">
        <w:t xml:space="preserve"> 11 </w:t>
      </w:r>
      <w:r w:rsidR="00260BA5">
        <w:t>Joint Ventures Balance sheet and forecasted asset sale</w:t>
      </w:r>
    </w:p>
    <w:p w14:paraId="47A4C259" w14:textId="2F11D36F" w:rsidR="00260BA5" w:rsidRDefault="00260BA5" w:rsidP="00260BA5">
      <w:pPr>
        <w:spacing w:before="0" w:beforeAutospacing="0" w:after="0" w:afterAutospacing="0" w:line="240" w:lineRule="auto"/>
      </w:pPr>
      <w:r w:rsidRPr="00260BA5">
        <w:rPr>
          <w:noProof/>
        </w:rPr>
        <w:drawing>
          <wp:inline distT="0" distB="0" distL="0" distR="0" wp14:anchorId="789C92AA" wp14:editId="1299BDC4">
            <wp:extent cx="5943600" cy="213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36775"/>
                    </a:xfrm>
                    <a:prstGeom prst="rect">
                      <a:avLst/>
                    </a:prstGeom>
                  </pic:spPr>
                </pic:pic>
              </a:graphicData>
            </a:graphic>
          </wp:inline>
        </w:drawing>
      </w:r>
    </w:p>
    <w:p w14:paraId="59E90AE3" w14:textId="44349CFA" w:rsidR="00260BA5" w:rsidRDefault="00260BA5" w:rsidP="00260BA5">
      <w:pPr>
        <w:spacing w:before="0" w:beforeAutospacing="0" w:after="0" w:afterAutospacing="0" w:line="240" w:lineRule="auto"/>
      </w:pPr>
      <w:r>
        <w:t xml:space="preserve">Source: </w:t>
      </w:r>
      <w:r w:rsidRPr="00260BA5">
        <w:t xml:space="preserve">S&amp;P Capital IQ. Dunkin27_Brands_Group_Inc_-_Form_10-K </w:t>
      </w:r>
      <w:hyperlink r:id="rId24" w:history="1">
        <w:r w:rsidRPr="000575B0">
          <w:rPr>
            <w:rStyle w:val="Hyperlink"/>
          </w:rPr>
          <w:t>https://www.capitaliq.com/CIQDotNet/company.aspx?companyId=20801430</w:t>
        </w:r>
      </w:hyperlink>
      <w:r>
        <w:t xml:space="preserve"> </w:t>
      </w:r>
    </w:p>
    <w:p w14:paraId="02D51CF6" w14:textId="77777777" w:rsidR="00260BA5" w:rsidRDefault="00260BA5" w:rsidP="00260BA5">
      <w:pPr>
        <w:spacing w:before="0" w:beforeAutospacing="0" w:after="0" w:afterAutospacing="0" w:line="240" w:lineRule="auto"/>
      </w:pPr>
    </w:p>
    <w:p w14:paraId="1C569330" w14:textId="5A1B0FBB" w:rsidR="006D26EB" w:rsidRDefault="00FA25CA" w:rsidP="00260BA5">
      <w:pPr>
        <w:spacing w:before="0" w:beforeAutospacing="0" w:after="0" w:afterAutospacing="0" w:line="240" w:lineRule="auto"/>
      </w:pPr>
      <w:r>
        <w:t>Appendix</w:t>
      </w:r>
      <w:r w:rsidR="006D26EB">
        <w:t xml:space="preserve"> 11 Proposed Forward Contracts</w:t>
      </w:r>
    </w:p>
    <w:p w14:paraId="7F9B4791" w14:textId="2D7E9A53" w:rsidR="00B67413" w:rsidRDefault="00260BA5" w:rsidP="00FA25CA">
      <w:pPr>
        <w:spacing w:before="0" w:beforeAutospacing="0" w:after="0" w:afterAutospacing="0" w:line="240" w:lineRule="auto"/>
      </w:pPr>
      <w:r w:rsidRPr="00260BA5">
        <w:lastRenderedPageBreak/>
        <w:drawing>
          <wp:inline distT="0" distB="0" distL="0" distR="0" wp14:anchorId="750CA22D" wp14:editId="62273173">
            <wp:extent cx="5943600" cy="1816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16735"/>
                    </a:xfrm>
                    <a:prstGeom prst="rect">
                      <a:avLst/>
                    </a:prstGeom>
                  </pic:spPr>
                </pic:pic>
              </a:graphicData>
            </a:graphic>
          </wp:inline>
        </w:drawing>
      </w:r>
    </w:p>
    <w:p w14:paraId="477A911E" w14:textId="77777777" w:rsidR="00FA25CA" w:rsidRDefault="00FA25CA" w:rsidP="00FA25CA">
      <w:pPr>
        <w:spacing w:before="0" w:beforeAutospacing="0" w:after="0" w:afterAutospacing="0" w:line="240" w:lineRule="auto"/>
      </w:pPr>
    </w:p>
    <w:p w14:paraId="6CF32DD4" w14:textId="75861B0E" w:rsidR="00FA25CA" w:rsidRDefault="00FA25CA" w:rsidP="00FA25CA">
      <w:pPr>
        <w:spacing w:before="0" w:beforeAutospacing="0" w:after="0" w:afterAutospacing="0" w:line="240" w:lineRule="auto"/>
      </w:pPr>
      <w:r>
        <w:t>Appendix 12 Proposed Interest Rate Swaps Visualisation</w:t>
      </w:r>
    </w:p>
    <w:p w14:paraId="148B3968" w14:textId="312090A4" w:rsidR="00FA25CA" w:rsidRDefault="00FA25CA" w:rsidP="00F06BC1">
      <w:r>
        <w:rPr>
          <w:noProof/>
        </w:rPr>
        <w:drawing>
          <wp:inline distT="0" distB="0" distL="0" distR="0" wp14:anchorId="4959B95F" wp14:editId="22C09221">
            <wp:extent cx="5943600" cy="2157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14:paraId="23787764" w14:textId="281DA68D" w:rsidR="00B7389F" w:rsidRDefault="00B7389F" w:rsidP="00F06BC1">
      <w:r>
        <w:t xml:space="preserve">Reference </w:t>
      </w:r>
    </w:p>
    <w:p w14:paraId="5429BE0C" w14:textId="22DF122E" w:rsidR="000D13E3" w:rsidRDefault="00D85AE1" w:rsidP="00F06BC1">
      <w:r>
        <w:t xml:space="preserve">Bloomberg. </w:t>
      </w:r>
      <w:r w:rsidR="004D5026" w:rsidRPr="004D5026">
        <w:t xml:space="preserve">Dunkin' Brands Group Inc. Retrieved November 09, 2020, from </w:t>
      </w:r>
      <w:hyperlink r:id="rId27" w:history="1">
        <w:r w:rsidR="000D13E3" w:rsidRPr="002D361A">
          <w:rPr>
            <w:rStyle w:val="Hyperlink"/>
          </w:rPr>
          <w:t>https://www.bloomberg.com/profile/company/DNKN:US?sref=2AVQ99EX</w:t>
        </w:r>
      </w:hyperlink>
    </w:p>
    <w:p w14:paraId="014D54AE" w14:textId="76814954" w:rsidR="000D13E3" w:rsidRDefault="00D85AE1" w:rsidP="00F06BC1">
      <w:r>
        <w:t xml:space="preserve">S&amp;P Capital IQ. </w:t>
      </w:r>
      <w:r w:rsidR="000D13E3" w:rsidRPr="000D13E3">
        <w:t>Dunkin27_Brands_Group_Inc_-_Form_10-K</w:t>
      </w:r>
      <w:r w:rsidR="00CB5BCA">
        <w:t>.</w:t>
      </w:r>
      <w:r w:rsidR="000D13E3" w:rsidRPr="000D13E3">
        <w:t xml:space="preserve"> (2020, February 24). Retrieved November 09, 2020, from</w:t>
      </w:r>
      <w:r w:rsidR="000D13E3">
        <w:t xml:space="preserve"> </w:t>
      </w:r>
      <w:hyperlink r:id="rId28" w:history="1">
        <w:r w:rsidR="000D13E3" w:rsidRPr="002D361A">
          <w:rPr>
            <w:rStyle w:val="Hyperlink"/>
          </w:rPr>
          <w:t>https://www.capitaliq.com/CIQDotNet/company.aspx?companyId=20801430</w:t>
        </w:r>
      </w:hyperlink>
      <w:r w:rsidR="000D13E3">
        <w:t xml:space="preserve"> </w:t>
      </w:r>
    </w:p>
    <w:p w14:paraId="58E717D2" w14:textId="5A74B6A3" w:rsidR="005036C2" w:rsidRDefault="00966FB0" w:rsidP="00F06BC1">
      <w:r w:rsidRPr="00966FB0">
        <w:t xml:space="preserve">Dunkin’ Brands Group. (2020, September 26). </w:t>
      </w:r>
      <w:r w:rsidRPr="00966FB0">
        <w:rPr>
          <w:i/>
          <w:iCs/>
        </w:rPr>
        <w:t>Form 10-Q</w:t>
      </w:r>
      <w:r w:rsidRPr="00966FB0">
        <w:t xml:space="preserve">. Dunkin’ Brands. </w:t>
      </w:r>
      <w:hyperlink r:id="rId29" w:history="1">
        <w:r w:rsidR="00601A91" w:rsidRPr="00AC7924">
          <w:rPr>
            <w:rStyle w:val="Hyperlink"/>
          </w:rPr>
          <w:t>https://investor.dunkinbrands.com/financial-information</w:t>
        </w:r>
      </w:hyperlink>
      <w:r w:rsidR="00601A91">
        <w:t xml:space="preserve"> </w:t>
      </w:r>
    </w:p>
    <w:p w14:paraId="1C7FDEEB" w14:textId="681A5263" w:rsidR="005C2BC9" w:rsidRDefault="005C2BC9" w:rsidP="00F06BC1">
      <w:r w:rsidRPr="005C2BC9">
        <w:lastRenderedPageBreak/>
        <w:t xml:space="preserve">Bloomberg Markets. (2020, July 30). Bloomberg - Dunkin’ Brands Expects to Close 800 U.S. Stores. Bloomberg. </w:t>
      </w:r>
      <w:hyperlink r:id="rId30" w:history="1">
        <w:r w:rsidRPr="00AC7924">
          <w:rPr>
            <w:rStyle w:val="Hyperlink"/>
          </w:rPr>
          <w:t>https://www.bloomberg.com/tosv2.html?vid=&amp;uuid=a32664b0-3063-11eb-b049-931941839910&amp;url=L25ld3MvdmlkZW9zLzIwMjAtMDctMzAvZHVua2luLWJyYW5kcy1leHBlY3RzLXRvLWNsb3NlLTgwMC11LXMtc3RvcmVzLXZpZGVvP3NyZWY9MkFWUTk5RVg=</w:t>
        </w:r>
      </w:hyperlink>
      <w:r>
        <w:t xml:space="preserve"> </w:t>
      </w:r>
    </w:p>
    <w:p w14:paraId="356CC6C6" w14:textId="4B0376E7" w:rsidR="00F127B9" w:rsidRDefault="00BD30B6" w:rsidP="00F06BC1">
      <w:r w:rsidRPr="00BD30B6">
        <w:t xml:space="preserve">S&amp;P Capital IQ. (n.d.). Palm Oasis Ventures Pty. Ltd. Private Company Profile. Retrieved November 27, 2020, from </w:t>
      </w:r>
      <w:hyperlink r:id="rId31" w:history="1">
        <w:r w:rsidRPr="00AC7924">
          <w:rPr>
            <w:rStyle w:val="Hyperlink"/>
          </w:rPr>
          <w:t>https://www.capitaliq.com/ciqdotnet/company.aspx?companyId=244346851</w:t>
        </w:r>
      </w:hyperlink>
      <w:r>
        <w:t xml:space="preserve"> </w:t>
      </w:r>
    </w:p>
    <w:p w14:paraId="5EF54E56" w14:textId="782520D3" w:rsidR="00650C07" w:rsidRDefault="00650C07" w:rsidP="00F06BC1">
      <w:r w:rsidRPr="00650C07">
        <w:t xml:space="preserve">SEC Filings - Latest 10-K. (2020, February 21). Retrieved November 29, 2020, from </w:t>
      </w:r>
      <w:hyperlink r:id="rId32" w:history="1">
        <w:r w:rsidRPr="00AC7924">
          <w:rPr>
            <w:rStyle w:val="Hyperlink"/>
          </w:rPr>
          <w:t>https://www.rbi.com/SEC-Filings</w:t>
        </w:r>
      </w:hyperlink>
      <w:r>
        <w:t xml:space="preserve"> </w:t>
      </w:r>
    </w:p>
    <w:p w14:paraId="33E893FC" w14:textId="1B921F88" w:rsidR="00650C07" w:rsidRDefault="00650C07" w:rsidP="00650C07">
      <w:r w:rsidRPr="00650C07">
        <w:t>SEC Filings - Latest 10-</w:t>
      </w:r>
      <w:r>
        <w:t>Q</w:t>
      </w:r>
      <w:r w:rsidRPr="00650C07">
        <w:t xml:space="preserve">. (2020, </w:t>
      </w:r>
      <w:r w:rsidR="009C5494">
        <w:t>October</w:t>
      </w:r>
      <w:r w:rsidRPr="00650C07">
        <w:t xml:space="preserve"> 2</w:t>
      </w:r>
      <w:r w:rsidR="009C5494">
        <w:t>8</w:t>
      </w:r>
      <w:r w:rsidRPr="00650C07">
        <w:t xml:space="preserve">). Retrieved November 29, 2020, from </w:t>
      </w:r>
      <w:hyperlink r:id="rId33" w:history="1">
        <w:r w:rsidRPr="00AC7924">
          <w:rPr>
            <w:rStyle w:val="Hyperlink"/>
          </w:rPr>
          <w:t>https://www.rbi.com/SEC-Filings</w:t>
        </w:r>
      </w:hyperlink>
      <w:r>
        <w:t xml:space="preserve"> </w:t>
      </w:r>
    </w:p>
    <w:p w14:paraId="4FD0678B" w14:textId="3E685282" w:rsidR="004F0A7D" w:rsidRDefault="004F0A7D" w:rsidP="00650C07">
      <w:r w:rsidRPr="004F0A7D">
        <w:t xml:space="preserve">Form 10-K Starbucks. (2020, September 27). Retrieved November 29, 2020, from </w:t>
      </w:r>
      <w:hyperlink r:id="rId34" w:history="1">
        <w:r w:rsidRPr="00AC7924">
          <w:rPr>
            <w:rStyle w:val="Hyperlink"/>
          </w:rPr>
          <w:t>https://www.sec.gov/Archives/edgar/data/829224/000082922419000051/sbux-9292019x10xk.htm</w:t>
        </w:r>
      </w:hyperlink>
      <w:r>
        <w:t xml:space="preserve"> </w:t>
      </w:r>
    </w:p>
    <w:p w14:paraId="5C439855" w14:textId="4332267C" w:rsidR="004F0A7D" w:rsidRDefault="004F0A7D" w:rsidP="004F0A7D">
      <w:r w:rsidRPr="004F0A7D">
        <w:t>Form 10</w:t>
      </w:r>
      <w:r>
        <w:t>-Q</w:t>
      </w:r>
      <w:r w:rsidRPr="004F0A7D">
        <w:t xml:space="preserve"> Starbucks. (2020, </w:t>
      </w:r>
      <w:r>
        <w:t>July</w:t>
      </w:r>
      <w:r w:rsidRPr="004F0A7D">
        <w:t xml:space="preserve"> 27). Retrieved November 29, 2020, from </w:t>
      </w:r>
      <w:hyperlink r:id="rId35" w:history="1">
        <w:r w:rsidRPr="00AC7924">
          <w:rPr>
            <w:rStyle w:val="Hyperlink"/>
          </w:rPr>
          <w:t>https://investor.starbucks.com/financial-data/sec-filings/default.aspx</w:t>
        </w:r>
      </w:hyperlink>
      <w:r>
        <w:t xml:space="preserve"> </w:t>
      </w:r>
    </w:p>
    <w:p w14:paraId="64062EF0" w14:textId="55EC988E" w:rsidR="004F0A7D" w:rsidRDefault="00B464C1" w:rsidP="00650C07">
      <w:r w:rsidRPr="00B464C1">
        <w:t xml:space="preserve">Annual Report 10-K. (2020, February 26). Retrieved November 29, 2020, from </w:t>
      </w:r>
      <w:hyperlink r:id="rId36" w:history="1">
        <w:r w:rsidR="00AC3DD6" w:rsidRPr="00AC7924">
          <w:rPr>
            <w:rStyle w:val="Hyperlink"/>
          </w:rPr>
          <w:t>https://corporate.mcdonalds.com/corpmcd/investors/financial-information.html</w:t>
        </w:r>
      </w:hyperlink>
      <w:r w:rsidR="00AC3DD6">
        <w:t xml:space="preserve"> </w:t>
      </w:r>
    </w:p>
    <w:p w14:paraId="7E324DCE" w14:textId="409782DC" w:rsidR="00D00FB3" w:rsidRDefault="00D00FB3" w:rsidP="00D00FB3">
      <w:r>
        <w:lastRenderedPageBreak/>
        <w:t>Quarterly</w:t>
      </w:r>
      <w:r w:rsidRPr="00B464C1">
        <w:t xml:space="preserve"> Report 10-</w:t>
      </w:r>
      <w:r>
        <w:t>Q</w:t>
      </w:r>
      <w:r w:rsidRPr="00B464C1">
        <w:t xml:space="preserve">. (2020, </w:t>
      </w:r>
      <w:r w:rsidR="002E490B">
        <w:t>September</w:t>
      </w:r>
      <w:r w:rsidRPr="00B464C1">
        <w:t xml:space="preserve"> </w:t>
      </w:r>
      <w:r w:rsidR="002E490B">
        <w:t>11</w:t>
      </w:r>
      <w:r w:rsidRPr="00B464C1">
        <w:t xml:space="preserve">). Retrieved November 29, 2020, from </w:t>
      </w:r>
      <w:hyperlink r:id="rId37" w:history="1">
        <w:r w:rsidR="00AC3DD6" w:rsidRPr="00AC7924">
          <w:rPr>
            <w:rStyle w:val="Hyperlink"/>
          </w:rPr>
          <w:t>https://corporate.mcdonalds.com/corpmcd/investors/financial-information.html</w:t>
        </w:r>
      </w:hyperlink>
      <w:r w:rsidR="00AC3DD6">
        <w:t xml:space="preserve"> </w:t>
      </w:r>
    </w:p>
    <w:p w14:paraId="56D29460" w14:textId="77777777" w:rsidR="008E2180" w:rsidRDefault="008E2180" w:rsidP="008E2180">
      <w:r w:rsidRPr="00696429">
        <w:t>SEC Filings</w:t>
      </w:r>
      <w:r>
        <w:t xml:space="preserve"> </w:t>
      </w:r>
      <w:r w:rsidRPr="00696429">
        <w:t>10</w:t>
      </w:r>
      <w:r>
        <w:t>-</w:t>
      </w:r>
      <w:r w:rsidRPr="00696429">
        <w:t xml:space="preserve">K </w:t>
      </w:r>
      <w:r>
        <w:t>Annual Report</w:t>
      </w:r>
      <w:r w:rsidRPr="00696429">
        <w:t xml:space="preserve">. (2020, February 26). Retrieved November 29, 2020, from </w:t>
      </w:r>
      <w:hyperlink r:id="rId38" w:history="1">
        <w:r w:rsidRPr="00AC7924">
          <w:rPr>
            <w:rStyle w:val="Hyperlink"/>
          </w:rPr>
          <w:t>https://www.irwendys.com/financials/sec-filings/default.aspx</w:t>
        </w:r>
      </w:hyperlink>
      <w:r>
        <w:t xml:space="preserve"> </w:t>
      </w:r>
    </w:p>
    <w:p w14:paraId="0F840578" w14:textId="666ADFA1" w:rsidR="008E2180" w:rsidRDefault="00235F4E" w:rsidP="00D00FB3">
      <w:r w:rsidRPr="00235F4E">
        <w:t xml:space="preserve">National DCP, LLC. (2020). What We Do. Retrieved November 30, 2020, from </w:t>
      </w:r>
      <w:hyperlink r:id="rId39" w:history="1">
        <w:r w:rsidRPr="00AC7924">
          <w:rPr>
            <w:rStyle w:val="Hyperlink"/>
          </w:rPr>
          <w:t>https://nationaldcp.com/what-we-do</w:t>
        </w:r>
      </w:hyperlink>
      <w:r>
        <w:t xml:space="preserve"> </w:t>
      </w:r>
    </w:p>
    <w:p w14:paraId="694393B5" w14:textId="44B18917" w:rsidR="00A03427" w:rsidRDefault="00A03427" w:rsidP="00D00FB3">
      <w:r w:rsidRPr="00A03427">
        <w:t>Bloomberg Market. (2020, December 2). U.S. Dollar to Weaken Into 2021. Bloomberg. https://www.bloomberg.com/news/videos/2020-12-03/u-s-dollar-to-weaken-into-2021-says-jpmorgan-s-callegari-video?sref=2AVQ99EX</w:t>
      </w:r>
    </w:p>
    <w:p w14:paraId="12667B36" w14:textId="008266BB" w:rsidR="004F0A7D" w:rsidRDefault="005961EF" w:rsidP="00650C07">
      <w:r>
        <w:t>S&amp;P Capital IQ. (</w:t>
      </w:r>
      <w:r w:rsidRPr="005961EF">
        <w:t>2020</w:t>
      </w:r>
      <w:r>
        <w:t>,</w:t>
      </w:r>
      <w:r w:rsidR="00310D78">
        <w:t xml:space="preserve"> </w:t>
      </w:r>
      <w:r>
        <w:t>October 22</w:t>
      </w:r>
      <w:r w:rsidRPr="005961EF">
        <w:rPr>
          <w:vertAlign w:val="superscript"/>
        </w:rPr>
        <w:t>nd</w:t>
      </w:r>
      <w:r>
        <w:t>).</w:t>
      </w:r>
      <w:r w:rsidRPr="005961EF">
        <w:t xml:space="preserve"> </w:t>
      </w:r>
      <w:r>
        <w:t xml:space="preserve"> </w:t>
      </w:r>
      <w:r w:rsidRPr="005961EF">
        <w:t>Netflix, Inc. Form 10-Q</w:t>
      </w:r>
      <w:r>
        <w:t xml:space="preserve">. S&amp;P Capital IQ. </w:t>
      </w:r>
      <w:hyperlink r:id="rId40" w:history="1">
        <w:r w:rsidRPr="00AC7924">
          <w:rPr>
            <w:rStyle w:val="Hyperlink"/>
          </w:rPr>
          <w:t>https://www.capitaliq.com/CIQDotNet/Filings/DocumentRedirector.axd?documentId=1141402070</w:t>
        </w:r>
      </w:hyperlink>
      <w:r>
        <w:t xml:space="preserve"> </w:t>
      </w:r>
    </w:p>
    <w:p w14:paraId="25ABBFFE" w14:textId="06176C3E" w:rsidR="00FA62A4" w:rsidRDefault="00FA62A4" w:rsidP="00650C07">
      <w:r>
        <w:t>S&amp;P Capital IQ. (</w:t>
      </w:r>
      <w:r w:rsidRPr="005961EF">
        <w:t>2020</w:t>
      </w:r>
      <w:r>
        <w:t xml:space="preserve">, </w:t>
      </w:r>
      <w:r w:rsidR="00FF4153">
        <w:t>January</w:t>
      </w:r>
      <w:r>
        <w:t xml:space="preserve"> 2</w:t>
      </w:r>
      <w:r w:rsidR="00FF4153">
        <w:t>9</w:t>
      </w:r>
      <w:r w:rsidRPr="005961EF">
        <w:rPr>
          <w:vertAlign w:val="superscript"/>
        </w:rPr>
        <w:t>nd</w:t>
      </w:r>
      <w:r>
        <w:t>).</w:t>
      </w:r>
      <w:r w:rsidRPr="005961EF">
        <w:t xml:space="preserve"> </w:t>
      </w:r>
      <w:r>
        <w:t xml:space="preserve"> </w:t>
      </w:r>
      <w:r w:rsidRPr="005961EF">
        <w:t>Netflix, Inc. Form 10-</w:t>
      </w:r>
      <w:r>
        <w:t xml:space="preserve">K. S&amp;P Capital IQ. </w:t>
      </w:r>
      <w:hyperlink r:id="rId41" w:history="1">
        <w:r w:rsidRPr="00AC7924">
          <w:rPr>
            <w:rStyle w:val="Hyperlink"/>
          </w:rPr>
          <w:t>https://www.capitaliq.com/CIQDotNet/Filings/DocumentRedirector.axd?documentId=904106208</w:t>
        </w:r>
      </w:hyperlink>
      <w:r>
        <w:t xml:space="preserve"> </w:t>
      </w:r>
    </w:p>
    <w:p w14:paraId="67A51E5E" w14:textId="77777777" w:rsidR="00FA62A4" w:rsidRDefault="00FA62A4" w:rsidP="00650C07"/>
    <w:p w14:paraId="48AF486B" w14:textId="77777777" w:rsidR="00F127B9" w:rsidRPr="00601A91" w:rsidRDefault="00F127B9" w:rsidP="00F06BC1">
      <w:pPr>
        <w:rPr>
          <w:lang w:val="en-US"/>
        </w:rPr>
      </w:pPr>
    </w:p>
    <w:sectPr w:rsidR="00F127B9" w:rsidRPr="00601A91">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5ACDF" w14:textId="77777777" w:rsidR="0052185E" w:rsidRDefault="0052185E" w:rsidP="008F6D2E">
      <w:pPr>
        <w:spacing w:before="0" w:after="0" w:line="240" w:lineRule="auto"/>
      </w:pPr>
      <w:r>
        <w:separator/>
      </w:r>
    </w:p>
  </w:endnote>
  <w:endnote w:type="continuationSeparator" w:id="0">
    <w:p w14:paraId="0D4A0D2A" w14:textId="77777777" w:rsidR="0052185E" w:rsidRDefault="0052185E" w:rsidP="008F6D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7639078"/>
      <w:docPartObj>
        <w:docPartGallery w:val="Page Numbers (Bottom of Page)"/>
        <w:docPartUnique/>
      </w:docPartObj>
    </w:sdtPr>
    <w:sdtEndPr>
      <w:rPr>
        <w:rStyle w:val="PageNumber"/>
      </w:rPr>
    </w:sdtEndPr>
    <w:sdtContent>
      <w:p w14:paraId="3F39B468" w14:textId="35E91AA9" w:rsidR="008F6D2E" w:rsidRDefault="008F6D2E" w:rsidP="00AC7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368D6" w14:textId="77777777" w:rsidR="008F6D2E" w:rsidRDefault="008F6D2E" w:rsidP="008F6D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5370194"/>
      <w:docPartObj>
        <w:docPartGallery w:val="Page Numbers (Bottom of Page)"/>
        <w:docPartUnique/>
      </w:docPartObj>
    </w:sdtPr>
    <w:sdtEndPr>
      <w:rPr>
        <w:rStyle w:val="PageNumber"/>
      </w:rPr>
    </w:sdtEndPr>
    <w:sdtContent>
      <w:p w14:paraId="352EED79" w14:textId="6928CCAA" w:rsidR="008F6D2E" w:rsidRDefault="008F6D2E" w:rsidP="00AC7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B12D97" w14:textId="77777777" w:rsidR="008F6D2E" w:rsidRDefault="008F6D2E" w:rsidP="008F6D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9B95B" w14:textId="77777777" w:rsidR="0052185E" w:rsidRDefault="0052185E" w:rsidP="008F6D2E">
      <w:pPr>
        <w:spacing w:before="0" w:after="0" w:line="240" w:lineRule="auto"/>
      </w:pPr>
      <w:r>
        <w:separator/>
      </w:r>
    </w:p>
  </w:footnote>
  <w:footnote w:type="continuationSeparator" w:id="0">
    <w:p w14:paraId="4D1439EC" w14:textId="77777777" w:rsidR="0052185E" w:rsidRDefault="0052185E" w:rsidP="008F6D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0C11"/>
    <w:multiLevelType w:val="hybridMultilevel"/>
    <w:tmpl w:val="FAAC5DD0"/>
    <w:lvl w:ilvl="0" w:tplc="136A3D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23EC2"/>
    <w:multiLevelType w:val="multilevel"/>
    <w:tmpl w:val="9648D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6E6794"/>
    <w:multiLevelType w:val="multilevel"/>
    <w:tmpl w:val="A670B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132EEA"/>
    <w:multiLevelType w:val="multilevel"/>
    <w:tmpl w:val="F766C3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235D39"/>
    <w:multiLevelType w:val="hybridMultilevel"/>
    <w:tmpl w:val="2DD4AC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8E30B0"/>
    <w:multiLevelType w:val="hybridMultilevel"/>
    <w:tmpl w:val="976A56A2"/>
    <w:lvl w:ilvl="0" w:tplc="44167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77A8D"/>
    <w:multiLevelType w:val="hybridMultilevel"/>
    <w:tmpl w:val="03682478"/>
    <w:lvl w:ilvl="0" w:tplc="0EBCB9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25"/>
    <w:rsid w:val="000000E5"/>
    <w:rsid w:val="00011645"/>
    <w:rsid w:val="0002150A"/>
    <w:rsid w:val="00026D3B"/>
    <w:rsid w:val="00037B03"/>
    <w:rsid w:val="00053D03"/>
    <w:rsid w:val="0005476D"/>
    <w:rsid w:val="0006560A"/>
    <w:rsid w:val="00074F13"/>
    <w:rsid w:val="000779A0"/>
    <w:rsid w:val="00085F10"/>
    <w:rsid w:val="0009285E"/>
    <w:rsid w:val="000953E3"/>
    <w:rsid w:val="000D13E3"/>
    <w:rsid w:val="000D195D"/>
    <w:rsid w:val="000D4E32"/>
    <w:rsid w:val="000E0F1B"/>
    <w:rsid w:val="000F5CDE"/>
    <w:rsid w:val="00105A82"/>
    <w:rsid w:val="00112BB2"/>
    <w:rsid w:val="001165B9"/>
    <w:rsid w:val="001371A7"/>
    <w:rsid w:val="00146178"/>
    <w:rsid w:val="00157208"/>
    <w:rsid w:val="001615FD"/>
    <w:rsid w:val="00165D10"/>
    <w:rsid w:val="00173350"/>
    <w:rsid w:val="00177C54"/>
    <w:rsid w:val="00184D0D"/>
    <w:rsid w:val="00192FD9"/>
    <w:rsid w:val="001A6F8C"/>
    <w:rsid w:val="001B05D8"/>
    <w:rsid w:val="001C36FE"/>
    <w:rsid w:val="001C3AC6"/>
    <w:rsid w:val="001D4258"/>
    <w:rsid w:val="001E1252"/>
    <w:rsid w:val="001E18E5"/>
    <w:rsid w:val="001E286C"/>
    <w:rsid w:val="002020C3"/>
    <w:rsid w:val="00213F9F"/>
    <w:rsid w:val="00214208"/>
    <w:rsid w:val="00214F06"/>
    <w:rsid w:val="00220BB5"/>
    <w:rsid w:val="0022105F"/>
    <w:rsid w:val="002232A4"/>
    <w:rsid w:val="00234A02"/>
    <w:rsid w:val="00235F4E"/>
    <w:rsid w:val="00250085"/>
    <w:rsid w:val="002548C3"/>
    <w:rsid w:val="00260BA5"/>
    <w:rsid w:val="00274B08"/>
    <w:rsid w:val="00294183"/>
    <w:rsid w:val="002B0A0C"/>
    <w:rsid w:val="002B6E05"/>
    <w:rsid w:val="002C5A47"/>
    <w:rsid w:val="002D0D54"/>
    <w:rsid w:val="002D3432"/>
    <w:rsid w:val="002E490B"/>
    <w:rsid w:val="002F02DC"/>
    <w:rsid w:val="002F16A6"/>
    <w:rsid w:val="002F66B0"/>
    <w:rsid w:val="002F7A48"/>
    <w:rsid w:val="00306B30"/>
    <w:rsid w:val="00310D78"/>
    <w:rsid w:val="00313736"/>
    <w:rsid w:val="003139D4"/>
    <w:rsid w:val="00332CF2"/>
    <w:rsid w:val="00336567"/>
    <w:rsid w:val="003663E5"/>
    <w:rsid w:val="00382A5E"/>
    <w:rsid w:val="00386CF4"/>
    <w:rsid w:val="003A132E"/>
    <w:rsid w:val="003B1175"/>
    <w:rsid w:val="003B264C"/>
    <w:rsid w:val="003B7567"/>
    <w:rsid w:val="003C21FF"/>
    <w:rsid w:val="003C5874"/>
    <w:rsid w:val="003D1DDE"/>
    <w:rsid w:val="003D5234"/>
    <w:rsid w:val="003E1116"/>
    <w:rsid w:val="003E1271"/>
    <w:rsid w:val="003E3382"/>
    <w:rsid w:val="003E5BAA"/>
    <w:rsid w:val="003E5E50"/>
    <w:rsid w:val="003F0632"/>
    <w:rsid w:val="0040168B"/>
    <w:rsid w:val="0040505C"/>
    <w:rsid w:val="00407167"/>
    <w:rsid w:val="00407F71"/>
    <w:rsid w:val="00410461"/>
    <w:rsid w:val="0041614B"/>
    <w:rsid w:val="00423F55"/>
    <w:rsid w:val="004241ED"/>
    <w:rsid w:val="00427DF0"/>
    <w:rsid w:val="00435F14"/>
    <w:rsid w:val="00455DAF"/>
    <w:rsid w:val="004611D5"/>
    <w:rsid w:val="0047147C"/>
    <w:rsid w:val="00497A96"/>
    <w:rsid w:val="004A119C"/>
    <w:rsid w:val="004A4404"/>
    <w:rsid w:val="004A4BC4"/>
    <w:rsid w:val="004A6473"/>
    <w:rsid w:val="004B00AC"/>
    <w:rsid w:val="004C467D"/>
    <w:rsid w:val="004C78C6"/>
    <w:rsid w:val="004D3427"/>
    <w:rsid w:val="004D5026"/>
    <w:rsid w:val="004D75C8"/>
    <w:rsid w:val="004E4AD0"/>
    <w:rsid w:val="004E75A4"/>
    <w:rsid w:val="004F0A7D"/>
    <w:rsid w:val="004F3085"/>
    <w:rsid w:val="004F4A26"/>
    <w:rsid w:val="004F7CC7"/>
    <w:rsid w:val="00502579"/>
    <w:rsid w:val="005036C2"/>
    <w:rsid w:val="00504147"/>
    <w:rsid w:val="005051B4"/>
    <w:rsid w:val="00514CC1"/>
    <w:rsid w:val="00520A6C"/>
    <w:rsid w:val="0052185E"/>
    <w:rsid w:val="00525FEA"/>
    <w:rsid w:val="00537262"/>
    <w:rsid w:val="0054115C"/>
    <w:rsid w:val="00542A66"/>
    <w:rsid w:val="0054524D"/>
    <w:rsid w:val="005672C8"/>
    <w:rsid w:val="00567693"/>
    <w:rsid w:val="005961EF"/>
    <w:rsid w:val="005A2ED1"/>
    <w:rsid w:val="005A46F1"/>
    <w:rsid w:val="005A48B7"/>
    <w:rsid w:val="005A51DD"/>
    <w:rsid w:val="005A6124"/>
    <w:rsid w:val="005A7CAB"/>
    <w:rsid w:val="005B35FC"/>
    <w:rsid w:val="005C2BC9"/>
    <w:rsid w:val="005C7A99"/>
    <w:rsid w:val="005D19E9"/>
    <w:rsid w:val="005D54B6"/>
    <w:rsid w:val="005E55C0"/>
    <w:rsid w:val="005E588B"/>
    <w:rsid w:val="005F0DC3"/>
    <w:rsid w:val="005F785D"/>
    <w:rsid w:val="00601A91"/>
    <w:rsid w:val="00602E61"/>
    <w:rsid w:val="0061051A"/>
    <w:rsid w:val="00610B41"/>
    <w:rsid w:val="00612926"/>
    <w:rsid w:val="006168F4"/>
    <w:rsid w:val="006241B3"/>
    <w:rsid w:val="006335D6"/>
    <w:rsid w:val="00633838"/>
    <w:rsid w:val="006426BE"/>
    <w:rsid w:val="006465A1"/>
    <w:rsid w:val="00650C07"/>
    <w:rsid w:val="00652487"/>
    <w:rsid w:val="00680D68"/>
    <w:rsid w:val="00682A16"/>
    <w:rsid w:val="00683A7C"/>
    <w:rsid w:val="00693BB2"/>
    <w:rsid w:val="00695502"/>
    <w:rsid w:val="006A3A35"/>
    <w:rsid w:val="006C3A61"/>
    <w:rsid w:val="006D08ED"/>
    <w:rsid w:val="006D1989"/>
    <w:rsid w:val="006D26EB"/>
    <w:rsid w:val="006D6505"/>
    <w:rsid w:val="006D678D"/>
    <w:rsid w:val="006D6A17"/>
    <w:rsid w:val="006E075C"/>
    <w:rsid w:val="006E0A85"/>
    <w:rsid w:val="007052EB"/>
    <w:rsid w:val="007202E1"/>
    <w:rsid w:val="00723DEA"/>
    <w:rsid w:val="00724DBD"/>
    <w:rsid w:val="0073145B"/>
    <w:rsid w:val="00770041"/>
    <w:rsid w:val="00777DE6"/>
    <w:rsid w:val="0078045A"/>
    <w:rsid w:val="00780E38"/>
    <w:rsid w:val="00781B4B"/>
    <w:rsid w:val="00794650"/>
    <w:rsid w:val="0079474E"/>
    <w:rsid w:val="007A2F3C"/>
    <w:rsid w:val="007C00E2"/>
    <w:rsid w:val="007C7265"/>
    <w:rsid w:val="007C7D78"/>
    <w:rsid w:val="007D6113"/>
    <w:rsid w:val="007E1CC0"/>
    <w:rsid w:val="007F01FD"/>
    <w:rsid w:val="0080522E"/>
    <w:rsid w:val="008165B7"/>
    <w:rsid w:val="008376C9"/>
    <w:rsid w:val="0084098F"/>
    <w:rsid w:val="008441F5"/>
    <w:rsid w:val="00847C4B"/>
    <w:rsid w:val="00857D8F"/>
    <w:rsid w:val="00882294"/>
    <w:rsid w:val="008871DD"/>
    <w:rsid w:val="008973DF"/>
    <w:rsid w:val="0089780F"/>
    <w:rsid w:val="008A3B74"/>
    <w:rsid w:val="008B6821"/>
    <w:rsid w:val="008C570A"/>
    <w:rsid w:val="008C61D6"/>
    <w:rsid w:val="008C6566"/>
    <w:rsid w:val="008E2180"/>
    <w:rsid w:val="008E4C25"/>
    <w:rsid w:val="008F145D"/>
    <w:rsid w:val="008F6C81"/>
    <w:rsid w:val="008F6D2E"/>
    <w:rsid w:val="008F7BCB"/>
    <w:rsid w:val="00904747"/>
    <w:rsid w:val="00905405"/>
    <w:rsid w:val="0091172A"/>
    <w:rsid w:val="00926775"/>
    <w:rsid w:val="00944D33"/>
    <w:rsid w:val="009503C7"/>
    <w:rsid w:val="009518E9"/>
    <w:rsid w:val="00954882"/>
    <w:rsid w:val="00962F3B"/>
    <w:rsid w:val="00962FD9"/>
    <w:rsid w:val="00966FB0"/>
    <w:rsid w:val="00967527"/>
    <w:rsid w:val="009701DF"/>
    <w:rsid w:val="00984048"/>
    <w:rsid w:val="00993ABE"/>
    <w:rsid w:val="009B0D6C"/>
    <w:rsid w:val="009C3A8D"/>
    <w:rsid w:val="009C5494"/>
    <w:rsid w:val="009E24DF"/>
    <w:rsid w:val="009F6EC2"/>
    <w:rsid w:val="00A03427"/>
    <w:rsid w:val="00A04267"/>
    <w:rsid w:val="00A05605"/>
    <w:rsid w:val="00A117B9"/>
    <w:rsid w:val="00A11F3A"/>
    <w:rsid w:val="00A15EF3"/>
    <w:rsid w:val="00A239F0"/>
    <w:rsid w:val="00A26C12"/>
    <w:rsid w:val="00A26E06"/>
    <w:rsid w:val="00A27A68"/>
    <w:rsid w:val="00A30568"/>
    <w:rsid w:val="00A37807"/>
    <w:rsid w:val="00A50567"/>
    <w:rsid w:val="00A77410"/>
    <w:rsid w:val="00A838D2"/>
    <w:rsid w:val="00A87BE9"/>
    <w:rsid w:val="00A93500"/>
    <w:rsid w:val="00AA7A74"/>
    <w:rsid w:val="00AB5EC7"/>
    <w:rsid w:val="00AB6C22"/>
    <w:rsid w:val="00AB7833"/>
    <w:rsid w:val="00AC3DD6"/>
    <w:rsid w:val="00AE2694"/>
    <w:rsid w:val="00AE6AE8"/>
    <w:rsid w:val="00AF11C2"/>
    <w:rsid w:val="00AF1664"/>
    <w:rsid w:val="00AF55BD"/>
    <w:rsid w:val="00B06FA3"/>
    <w:rsid w:val="00B11493"/>
    <w:rsid w:val="00B32AD2"/>
    <w:rsid w:val="00B44E98"/>
    <w:rsid w:val="00B45490"/>
    <w:rsid w:val="00B464C1"/>
    <w:rsid w:val="00B5247C"/>
    <w:rsid w:val="00B662C3"/>
    <w:rsid w:val="00B67413"/>
    <w:rsid w:val="00B714CA"/>
    <w:rsid w:val="00B71E65"/>
    <w:rsid w:val="00B7389F"/>
    <w:rsid w:val="00B73E17"/>
    <w:rsid w:val="00B964AE"/>
    <w:rsid w:val="00BA5F41"/>
    <w:rsid w:val="00BA7D30"/>
    <w:rsid w:val="00BB3DCA"/>
    <w:rsid w:val="00BB76FC"/>
    <w:rsid w:val="00BC1C75"/>
    <w:rsid w:val="00BC7DB8"/>
    <w:rsid w:val="00BD02DC"/>
    <w:rsid w:val="00BD30B6"/>
    <w:rsid w:val="00BE1068"/>
    <w:rsid w:val="00BE2B7A"/>
    <w:rsid w:val="00BF37A4"/>
    <w:rsid w:val="00BF5546"/>
    <w:rsid w:val="00C025A0"/>
    <w:rsid w:val="00C10F2A"/>
    <w:rsid w:val="00C36E0A"/>
    <w:rsid w:val="00C57B47"/>
    <w:rsid w:val="00C67C9A"/>
    <w:rsid w:val="00C70C1C"/>
    <w:rsid w:val="00C76144"/>
    <w:rsid w:val="00C830DB"/>
    <w:rsid w:val="00C9725F"/>
    <w:rsid w:val="00CA0CDC"/>
    <w:rsid w:val="00CA4997"/>
    <w:rsid w:val="00CB2656"/>
    <w:rsid w:val="00CB5B12"/>
    <w:rsid w:val="00CB5BCA"/>
    <w:rsid w:val="00CB5E04"/>
    <w:rsid w:val="00CC0ECE"/>
    <w:rsid w:val="00CC5DEE"/>
    <w:rsid w:val="00CF45FD"/>
    <w:rsid w:val="00D00FB3"/>
    <w:rsid w:val="00D14CD0"/>
    <w:rsid w:val="00D333C1"/>
    <w:rsid w:val="00D36A90"/>
    <w:rsid w:val="00D60EE9"/>
    <w:rsid w:val="00D6472A"/>
    <w:rsid w:val="00D8250E"/>
    <w:rsid w:val="00D840AB"/>
    <w:rsid w:val="00D85AE1"/>
    <w:rsid w:val="00D94199"/>
    <w:rsid w:val="00D9630B"/>
    <w:rsid w:val="00D971EC"/>
    <w:rsid w:val="00DA1C6D"/>
    <w:rsid w:val="00DA205C"/>
    <w:rsid w:val="00DB00EF"/>
    <w:rsid w:val="00DB0FE3"/>
    <w:rsid w:val="00DB1C5A"/>
    <w:rsid w:val="00DC747F"/>
    <w:rsid w:val="00DD5E68"/>
    <w:rsid w:val="00DD799D"/>
    <w:rsid w:val="00DE1526"/>
    <w:rsid w:val="00DF4141"/>
    <w:rsid w:val="00E061F6"/>
    <w:rsid w:val="00E36C3D"/>
    <w:rsid w:val="00E41C50"/>
    <w:rsid w:val="00E45166"/>
    <w:rsid w:val="00E53A31"/>
    <w:rsid w:val="00E5566C"/>
    <w:rsid w:val="00E6025E"/>
    <w:rsid w:val="00E65341"/>
    <w:rsid w:val="00E7046E"/>
    <w:rsid w:val="00E7231A"/>
    <w:rsid w:val="00E75B79"/>
    <w:rsid w:val="00E77909"/>
    <w:rsid w:val="00E81FED"/>
    <w:rsid w:val="00E84C85"/>
    <w:rsid w:val="00E85AE8"/>
    <w:rsid w:val="00E907E2"/>
    <w:rsid w:val="00EB5201"/>
    <w:rsid w:val="00EC1E48"/>
    <w:rsid w:val="00ED4D1A"/>
    <w:rsid w:val="00ED6659"/>
    <w:rsid w:val="00EF24BA"/>
    <w:rsid w:val="00EF25E4"/>
    <w:rsid w:val="00F02C4D"/>
    <w:rsid w:val="00F0380D"/>
    <w:rsid w:val="00F06BC1"/>
    <w:rsid w:val="00F127B9"/>
    <w:rsid w:val="00F16EC6"/>
    <w:rsid w:val="00F307D7"/>
    <w:rsid w:val="00F35B44"/>
    <w:rsid w:val="00F41DCC"/>
    <w:rsid w:val="00F424E9"/>
    <w:rsid w:val="00F65A82"/>
    <w:rsid w:val="00F66EDF"/>
    <w:rsid w:val="00F67FE2"/>
    <w:rsid w:val="00F730C1"/>
    <w:rsid w:val="00F90364"/>
    <w:rsid w:val="00F979FF"/>
    <w:rsid w:val="00FA03DE"/>
    <w:rsid w:val="00FA1D25"/>
    <w:rsid w:val="00FA25CA"/>
    <w:rsid w:val="00FA62A4"/>
    <w:rsid w:val="00FB45DD"/>
    <w:rsid w:val="00FB6582"/>
    <w:rsid w:val="00FC3276"/>
    <w:rsid w:val="00FD41BE"/>
    <w:rsid w:val="00FE000D"/>
    <w:rsid w:val="00FF41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ADAE"/>
  <w15:chartTrackingRefBased/>
  <w15:docId w15:val="{CA7AD59F-5595-CC45-BD5D-585EFE73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1D25"/>
    <w:rPr>
      <w:rFonts w:ascii="Times New Roman" w:eastAsia="Times New Roman" w:hAnsi="Times New Roman" w:cs="Times New Roman"/>
    </w:rPr>
  </w:style>
  <w:style w:type="character" w:customStyle="1" w:styleId="apple-converted-space">
    <w:name w:val="apple-converted-space"/>
    <w:basedOn w:val="DefaultParagraphFont"/>
    <w:rsid w:val="00781B4B"/>
  </w:style>
  <w:style w:type="paragraph" w:styleId="ListParagraph">
    <w:name w:val="List Paragraph"/>
    <w:basedOn w:val="Normal"/>
    <w:uiPriority w:val="34"/>
    <w:qFormat/>
    <w:rsid w:val="008F145D"/>
    <w:pPr>
      <w:ind w:left="720"/>
      <w:contextualSpacing/>
    </w:pPr>
  </w:style>
  <w:style w:type="character" w:styleId="Hyperlink">
    <w:name w:val="Hyperlink"/>
    <w:basedOn w:val="DefaultParagraphFont"/>
    <w:uiPriority w:val="99"/>
    <w:unhideWhenUsed/>
    <w:rsid w:val="000D13E3"/>
    <w:rPr>
      <w:color w:val="0563C1" w:themeColor="hyperlink"/>
      <w:u w:val="single"/>
    </w:rPr>
  </w:style>
  <w:style w:type="character" w:styleId="UnresolvedMention">
    <w:name w:val="Unresolved Mention"/>
    <w:basedOn w:val="DefaultParagraphFont"/>
    <w:uiPriority w:val="99"/>
    <w:semiHidden/>
    <w:unhideWhenUsed/>
    <w:rsid w:val="000D13E3"/>
    <w:rPr>
      <w:color w:val="605E5C"/>
      <w:shd w:val="clear" w:color="auto" w:fill="E1DFDD"/>
    </w:rPr>
  </w:style>
  <w:style w:type="paragraph" w:styleId="BalloonText">
    <w:name w:val="Balloon Text"/>
    <w:basedOn w:val="Normal"/>
    <w:link w:val="BalloonTextChar"/>
    <w:uiPriority w:val="99"/>
    <w:semiHidden/>
    <w:unhideWhenUsed/>
    <w:rsid w:val="002548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48C3"/>
    <w:rPr>
      <w:rFonts w:ascii="Times New Roman" w:hAnsi="Times New Roman" w:cs="Times New Roman"/>
      <w:sz w:val="18"/>
      <w:szCs w:val="18"/>
    </w:rPr>
  </w:style>
  <w:style w:type="paragraph" w:styleId="Footer">
    <w:name w:val="footer"/>
    <w:basedOn w:val="Normal"/>
    <w:link w:val="FooterChar"/>
    <w:uiPriority w:val="99"/>
    <w:unhideWhenUsed/>
    <w:rsid w:val="008F6D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F6D2E"/>
  </w:style>
  <w:style w:type="character" w:styleId="PageNumber">
    <w:name w:val="page number"/>
    <w:basedOn w:val="DefaultParagraphFont"/>
    <w:uiPriority w:val="99"/>
    <w:semiHidden/>
    <w:unhideWhenUsed/>
    <w:rsid w:val="008F6D2E"/>
  </w:style>
  <w:style w:type="character" w:styleId="FollowedHyperlink">
    <w:name w:val="FollowedHyperlink"/>
    <w:basedOn w:val="DefaultParagraphFont"/>
    <w:uiPriority w:val="99"/>
    <w:semiHidden/>
    <w:unhideWhenUsed/>
    <w:rsid w:val="00E556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129">
      <w:bodyDiv w:val="1"/>
      <w:marLeft w:val="0"/>
      <w:marRight w:val="0"/>
      <w:marTop w:val="0"/>
      <w:marBottom w:val="0"/>
      <w:divBdr>
        <w:top w:val="none" w:sz="0" w:space="0" w:color="auto"/>
        <w:left w:val="none" w:sz="0" w:space="0" w:color="auto"/>
        <w:bottom w:val="none" w:sz="0" w:space="0" w:color="auto"/>
        <w:right w:val="none" w:sz="0" w:space="0" w:color="auto"/>
      </w:divBdr>
    </w:div>
    <w:div w:id="25525167">
      <w:bodyDiv w:val="1"/>
      <w:marLeft w:val="0"/>
      <w:marRight w:val="0"/>
      <w:marTop w:val="0"/>
      <w:marBottom w:val="0"/>
      <w:divBdr>
        <w:top w:val="none" w:sz="0" w:space="0" w:color="auto"/>
        <w:left w:val="none" w:sz="0" w:space="0" w:color="auto"/>
        <w:bottom w:val="none" w:sz="0" w:space="0" w:color="auto"/>
        <w:right w:val="none" w:sz="0" w:space="0" w:color="auto"/>
      </w:divBdr>
    </w:div>
    <w:div w:id="27531842">
      <w:bodyDiv w:val="1"/>
      <w:marLeft w:val="0"/>
      <w:marRight w:val="0"/>
      <w:marTop w:val="0"/>
      <w:marBottom w:val="0"/>
      <w:divBdr>
        <w:top w:val="none" w:sz="0" w:space="0" w:color="auto"/>
        <w:left w:val="none" w:sz="0" w:space="0" w:color="auto"/>
        <w:bottom w:val="none" w:sz="0" w:space="0" w:color="auto"/>
        <w:right w:val="none" w:sz="0" w:space="0" w:color="auto"/>
      </w:divBdr>
      <w:divsChild>
        <w:div w:id="1563953356">
          <w:marLeft w:val="0"/>
          <w:marRight w:val="0"/>
          <w:marTop w:val="0"/>
          <w:marBottom w:val="0"/>
          <w:divBdr>
            <w:top w:val="none" w:sz="0" w:space="0" w:color="auto"/>
            <w:left w:val="none" w:sz="0" w:space="0" w:color="auto"/>
            <w:bottom w:val="none" w:sz="0" w:space="0" w:color="auto"/>
            <w:right w:val="none" w:sz="0" w:space="0" w:color="auto"/>
          </w:divBdr>
          <w:divsChild>
            <w:div w:id="116803017">
              <w:marLeft w:val="0"/>
              <w:marRight w:val="0"/>
              <w:marTop w:val="0"/>
              <w:marBottom w:val="0"/>
              <w:divBdr>
                <w:top w:val="none" w:sz="0" w:space="0" w:color="auto"/>
                <w:left w:val="none" w:sz="0" w:space="0" w:color="auto"/>
                <w:bottom w:val="none" w:sz="0" w:space="0" w:color="auto"/>
                <w:right w:val="none" w:sz="0" w:space="0" w:color="auto"/>
              </w:divBdr>
              <w:divsChild>
                <w:div w:id="21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6480">
      <w:bodyDiv w:val="1"/>
      <w:marLeft w:val="0"/>
      <w:marRight w:val="0"/>
      <w:marTop w:val="0"/>
      <w:marBottom w:val="0"/>
      <w:divBdr>
        <w:top w:val="none" w:sz="0" w:space="0" w:color="auto"/>
        <w:left w:val="none" w:sz="0" w:space="0" w:color="auto"/>
        <w:bottom w:val="none" w:sz="0" w:space="0" w:color="auto"/>
        <w:right w:val="none" w:sz="0" w:space="0" w:color="auto"/>
      </w:divBdr>
    </w:div>
    <w:div w:id="63457142">
      <w:bodyDiv w:val="1"/>
      <w:marLeft w:val="0"/>
      <w:marRight w:val="0"/>
      <w:marTop w:val="0"/>
      <w:marBottom w:val="0"/>
      <w:divBdr>
        <w:top w:val="none" w:sz="0" w:space="0" w:color="auto"/>
        <w:left w:val="none" w:sz="0" w:space="0" w:color="auto"/>
        <w:bottom w:val="none" w:sz="0" w:space="0" w:color="auto"/>
        <w:right w:val="none" w:sz="0" w:space="0" w:color="auto"/>
      </w:divBdr>
    </w:div>
    <w:div w:id="133377070">
      <w:bodyDiv w:val="1"/>
      <w:marLeft w:val="0"/>
      <w:marRight w:val="0"/>
      <w:marTop w:val="0"/>
      <w:marBottom w:val="0"/>
      <w:divBdr>
        <w:top w:val="none" w:sz="0" w:space="0" w:color="auto"/>
        <w:left w:val="none" w:sz="0" w:space="0" w:color="auto"/>
        <w:bottom w:val="none" w:sz="0" w:space="0" w:color="auto"/>
        <w:right w:val="none" w:sz="0" w:space="0" w:color="auto"/>
      </w:divBdr>
    </w:div>
    <w:div w:id="169755231">
      <w:bodyDiv w:val="1"/>
      <w:marLeft w:val="0"/>
      <w:marRight w:val="0"/>
      <w:marTop w:val="0"/>
      <w:marBottom w:val="0"/>
      <w:divBdr>
        <w:top w:val="none" w:sz="0" w:space="0" w:color="auto"/>
        <w:left w:val="none" w:sz="0" w:space="0" w:color="auto"/>
        <w:bottom w:val="none" w:sz="0" w:space="0" w:color="auto"/>
        <w:right w:val="none" w:sz="0" w:space="0" w:color="auto"/>
      </w:divBdr>
    </w:div>
    <w:div w:id="256787701">
      <w:bodyDiv w:val="1"/>
      <w:marLeft w:val="0"/>
      <w:marRight w:val="0"/>
      <w:marTop w:val="0"/>
      <w:marBottom w:val="0"/>
      <w:divBdr>
        <w:top w:val="none" w:sz="0" w:space="0" w:color="auto"/>
        <w:left w:val="none" w:sz="0" w:space="0" w:color="auto"/>
        <w:bottom w:val="none" w:sz="0" w:space="0" w:color="auto"/>
        <w:right w:val="none" w:sz="0" w:space="0" w:color="auto"/>
      </w:divBdr>
    </w:div>
    <w:div w:id="287401226">
      <w:bodyDiv w:val="1"/>
      <w:marLeft w:val="0"/>
      <w:marRight w:val="0"/>
      <w:marTop w:val="0"/>
      <w:marBottom w:val="0"/>
      <w:divBdr>
        <w:top w:val="none" w:sz="0" w:space="0" w:color="auto"/>
        <w:left w:val="none" w:sz="0" w:space="0" w:color="auto"/>
        <w:bottom w:val="none" w:sz="0" w:space="0" w:color="auto"/>
        <w:right w:val="none" w:sz="0" w:space="0" w:color="auto"/>
      </w:divBdr>
    </w:div>
    <w:div w:id="295071259">
      <w:bodyDiv w:val="1"/>
      <w:marLeft w:val="0"/>
      <w:marRight w:val="0"/>
      <w:marTop w:val="0"/>
      <w:marBottom w:val="0"/>
      <w:divBdr>
        <w:top w:val="none" w:sz="0" w:space="0" w:color="auto"/>
        <w:left w:val="none" w:sz="0" w:space="0" w:color="auto"/>
        <w:bottom w:val="none" w:sz="0" w:space="0" w:color="auto"/>
        <w:right w:val="none" w:sz="0" w:space="0" w:color="auto"/>
      </w:divBdr>
    </w:div>
    <w:div w:id="316959604">
      <w:marLeft w:val="0"/>
      <w:marRight w:val="0"/>
      <w:marTop w:val="0"/>
      <w:marBottom w:val="0"/>
      <w:divBdr>
        <w:top w:val="none" w:sz="0" w:space="0" w:color="auto"/>
        <w:left w:val="none" w:sz="0" w:space="0" w:color="auto"/>
        <w:bottom w:val="none" w:sz="0" w:space="0" w:color="auto"/>
        <w:right w:val="none" w:sz="0" w:space="0" w:color="auto"/>
      </w:divBdr>
    </w:div>
    <w:div w:id="357704079">
      <w:bodyDiv w:val="1"/>
      <w:marLeft w:val="0"/>
      <w:marRight w:val="0"/>
      <w:marTop w:val="0"/>
      <w:marBottom w:val="0"/>
      <w:divBdr>
        <w:top w:val="none" w:sz="0" w:space="0" w:color="auto"/>
        <w:left w:val="none" w:sz="0" w:space="0" w:color="auto"/>
        <w:bottom w:val="none" w:sz="0" w:space="0" w:color="auto"/>
        <w:right w:val="none" w:sz="0" w:space="0" w:color="auto"/>
      </w:divBdr>
    </w:div>
    <w:div w:id="374550776">
      <w:bodyDiv w:val="1"/>
      <w:marLeft w:val="0"/>
      <w:marRight w:val="0"/>
      <w:marTop w:val="0"/>
      <w:marBottom w:val="0"/>
      <w:divBdr>
        <w:top w:val="none" w:sz="0" w:space="0" w:color="auto"/>
        <w:left w:val="none" w:sz="0" w:space="0" w:color="auto"/>
        <w:bottom w:val="none" w:sz="0" w:space="0" w:color="auto"/>
        <w:right w:val="none" w:sz="0" w:space="0" w:color="auto"/>
      </w:divBdr>
    </w:div>
    <w:div w:id="379868976">
      <w:bodyDiv w:val="1"/>
      <w:marLeft w:val="0"/>
      <w:marRight w:val="0"/>
      <w:marTop w:val="0"/>
      <w:marBottom w:val="0"/>
      <w:divBdr>
        <w:top w:val="none" w:sz="0" w:space="0" w:color="auto"/>
        <w:left w:val="none" w:sz="0" w:space="0" w:color="auto"/>
        <w:bottom w:val="none" w:sz="0" w:space="0" w:color="auto"/>
        <w:right w:val="none" w:sz="0" w:space="0" w:color="auto"/>
      </w:divBdr>
    </w:div>
    <w:div w:id="416249671">
      <w:bodyDiv w:val="1"/>
      <w:marLeft w:val="0"/>
      <w:marRight w:val="0"/>
      <w:marTop w:val="0"/>
      <w:marBottom w:val="0"/>
      <w:divBdr>
        <w:top w:val="none" w:sz="0" w:space="0" w:color="auto"/>
        <w:left w:val="none" w:sz="0" w:space="0" w:color="auto"/>
        <w:bottom w:val="none" w:sz="0" w:space="0" w:color="auto"/>
        <w:right w:val="none" w:sz="0" w:space="0" w:color="auto"/>
      </w:divBdr>
      <w:divsChild>
        <w:div w:id="138615906">
          <w:marLeft w:val="0"/>
          <w:marRight w:val="0"/>
          <w:marTop w:val="0"/>
          <w:marBottom w:val="0"/>
          <w:divBdr>
            <w:top w:val="none" w:sz="0" w:space="0" w:color="auto"/>
            <w:left w:val="none" w:sz="0" w:space="0" w:color="auto"/>
            <w:bottom w:val="none" w:sz="0" w:space="0" w:color="auto"/>
            <w:right w:val="none" w:sz="0" w:space="0" w:color="auto"/>
          </w:divBdr>
          <w:divsChild>
            <w:div w:id="11428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284">
      <w:bodyDiv w:val="1"/>
      <w:marLeft w:val="0"/>
      <w:marRight w:val="0"/>
      <w:marTop w:val="0"/>
      <w:marBottom w:val="0"/>
      <w:divBdr>
        <w:top w:val="none" w:sz="0" w:space="0" w:color="auto"/>
        <w:left w:val="none" w:sz="0" w:space="0" w:color="auto"/>
        <w:bottom w:val="none" w:sz="0" w:space="0" w:color="auto"/>
        <w:right w:val="none" w:sz="0" w:space="0" w:color="auto"/>
      </w:divBdr>
    </w:div>
    <w:div w:id="456335154">
      <w:bodyDiv w:val="1"/>
      <w:marLeft w:val="0"/>
      <w:marRight w:val="0"/>
      <w:marTop w:val="0"/>
      <w:marBottom w:val="0"/>
      <w:divBdr>
        <w:top w:val="none" w:sz="0" w:space="0" w:color="auto"/>
        <w:left w:val="none" w:sz="0" w:space="0" w:color="auto"/>
        <w:bottom w:val="none" w:sz="0" w:space="0" w:color="auto"/>
        <w:right w:val="none" w:sz="0" w:space="0" w:color="auto"/>
      </w:divBdr>
      <w:divsChild>
        <w:div w:id="1509902436">
          <w:marLeft w:val="0"/>
          <w:marRight w:val="0"/>
          <w:marTop w:val="120"/>
          <w:marBottom w:val="60"/>
          <w:divBdr>
            <w:top w:val="none" w:sz="0" w:space="0" w:color="auto"/>
            <w:left w:val="none" w:sz="0" w:space="0" w:color="auto"/>
            <w:bottom w:val="none" w:sz="0" w:space="0" w:color="auto"/>
            <w:right w:val="none" w:sz="0" w:space="0" w:color="auto"/>
          </w:divBdr>
        </w:div>
        <w:div w:id="1149710389">
          <w:marLeft w:val="0"/>
          <w:marRight w:val="0"/>
          <w:marTop w:val="120"/>
          <w:marBottom w:val="60"/>
          <w:divBdr>
            <w:top w:val="none" w:sz="0" w:space="0" w:color="auto"/>
            <w:left w:val="none" w:sz="0" w:space="0" w:color="auto"/>
            <w:bottom w:val="none" w:sz="0" w:space="0" w:color="auto"/>
            <w:right w:val="none" w:sz="0" w:space="0" w:color="auto"/>
          </w:divBdr>
        </w:div>
        <w:div w:id="41826476">
          <w:marLeft w:val="0"/>
          <w:marRight w:val="0"/>
          <w:marTop w:val="120"/>
          <w:marBottom w:val="60"/>
          <w:divBdr>
            <w:top w:val="none" w:sz="0" w:space="0" w:color="auto"/>
            <w:left w:val="none" w:sz="0" w:space="0" w:color="auto"/>
            <w:bottom w:val="none" w:sz="0" w:space="0" w:color="auto"/>
            <w:right w:val="none" w:sz="0" w:space="0" w:color="auto"/>
          </w:divBdr>
        </w:div>
        <w:div w:id="1240754534">
          <w:marLeft w:val="0"/>
          <w:marRight w:val="0"/>
          <w:marTop w:val="120"/>
          <w:marBottom w:val="60"/>
          <w:divBdr>
            <w:top w:val="none" w:sz="0" w:space="0" w:color="auto"/>
            <w:left w:val="none" w:sz="0" w:space="0" w:color="auto"/>
            <w:bottom w:val="none" w:sz="0" w:space="0" w:color="auto"/>
            <w:right w:val="none" w:sz="0" w:space="0" w:color="auto"/>
          </w:divBdr>
        </w:div>
        <w:div w:id="421804850">
          <w:marLeft w:val="0"/>
          <w:marRight w:val="0"/>
          <w:marTop w:val="120"/>
          <w:marBottom w:val="60"/>
          <w:divBdr>
            <w:top w:val="none" w:sz="0" w:space="0" w:color="auto"/>
            <w:left w:val="none" w:sz="0" w:space="0" w:color="auto"/>
            <w:bottom w:val="none" w:sz="0" w:space="0" w:color="auto"/>
            <w:right w:val="none" w:sz="0" w:space="0" w:color="auto"/>
          </w:divBdr>
        </w:div>
        <w:div w:id="259724093">
          <w:marLeft w:val="0"/>
          <w:marRight w:val="0"/>
          <w:marTop w:val="120"/>
          <w:marBottom w:val="60"/>
          <w:divBdr>
            <w:top w:val="none" w:sz="0" w:space="0" w:color="auto"/>
            <w:left w:val="none" w:sz="0" w:space="0" w:color="auto"/>
            <w:bottom w:val="none" w:sz="0" w:space="0" w:color="auto"/>
            <w:right w:val="none" w:sz="0" w:space="0" w:color="auto"/>
          </w:divBdr>
        </w:div>
        <w:div w:id="318733812">
          <w:marLeft w:val="0"/>
          <w:marRight w:val="0"/>
          <w:marTop w:val="120"/>
          <w:marBottom w:val="60"/>
          <w:divBdr>
            <w:top w:val="none" w:sz="0" w:space="0" w:color="auto"/>
            <w:left w:val="none" w:sz="0" w:space="0" w:color="auto"/>
            <w:bottom w:val="none" w:sz="0" w:space="0" w:color="auto"/>
            <w:right w:val="none" w:sz="0" w:space="0" w:color="auto"/>
          </w:divBdr>
        </w:div>
        <w:div w:id="503009320">
          <w:marLeft w:val="0"/>
          <w:marRight w:val="0"/>
          <w:marTop w:val="120"/>
          <w:marBottom w:val="0"/>
          <w:divBdr>
            <w:top w:val="none" w:sz="0" w:space="0" w:color="auto"/>
            <w:left w:val="none" w:sz="0" w:space="0" w:color="auto"/>
            <w:bottom w:val="none" w:sz="0" w:space="0" w:color="auto"/>
            <w:right w:val="none" w:sz="0" w:space="0" w:color="auto"/>
          </w:divBdr>
        </w:div>
        <w:div w:id="874542169">
          <w:marLeft w:val="0"/>
          <w:marRight w:val="0"/>
          <w:marTop w:val="120"/>
          <w:marBottom w:val="0"/>
          <w:divBdr>
            <w:top w:val="none" w:sz="0" w:space="0" w:color="auto"/>
            <w:left w:val="none" w:sz="0" w:space="0" w:color="auto"/>
            <w:bottom w:val="none" w:sz="0" w:space="0" w:color="auto"/>
            <w:right w:val="none" w:sz="0" w:space="0" w:color="auto"/>
          </w:divBdr>
        </w:div>
      </w:divsChild>
    </w:div>
    <w:div w:id="493843637">
      <w:bodyDiv w:val="1"/>
      <w:marLeft w:val="0"/>
      <w:marRight w:val="0"/>
      <w:marTop w:val="0"/>
      <w:marBottom w:val="0"/>
      <w:divBdr>
        <w:top w:val="none" w:sz="0" w:space="0" w:color="auto"/>
        <w:left w:val="none" w:sz="0" w:space="0" w:color="auto"/>
        <w:bottom w:val="none" w:sz="0" w:space="0" w:color="auto"/>
        <w:right w:val="none" w:sz="0" w:space="0" w:color="auto"/>
      </w:divBdr>
    </w:div>
    <w:div w:id="514267995">
      <w:bodyDiv w:val="1"/>
      <w:marLeft w:val="0"/>
      <w:marRight w:val="0"/>
      <w:marTop w:val="0"/>
      <w:marBottom w:val="0"/>
      <w:divBdr>
        <w:top w:val="none" w:sz="0" w:space="0" w:color="auto"/>
        <w:left w:val="none" w:sz="0" w:space="0" w:color="auto"/>
        <w:bottom w:val="none" w:sz="0" w:space="0" w:color="auto"/>
        <w:right w:val="none" w:sz="0" w:space="0" w:color="auto"/>
      </w:divBdr>
    </w:div>
    <w:div w:id="551691726">
      <w:bodyDiv w:val="1"/>
      <w:marLeft w:val="0"/>
      <w:marRight w:val="0"/>
      <w:marTop w:val="0"/>
      <w:marBottom w:val="0"/>
      <w:divBdr>
        <w:top w:val="none" w:sz="0" w:space="0" w:color="auto"/>
        <w:left w:val="none" w:sz="0" w:space="0" w:color="auto"/>
        <w:bottom w:val="none" w:sz="0" w:space="0" w:color="auto"/>
        <w:right w:val="none" w:sz="0" w:space="0" w:color="auto"/>
      </w:divBdr>
    </w:div>
    <w:div w:id="582107485">
      <w:bodyDiv w:val="1"/>
      <w:marLeft w:val="0"/>
      <w:marRight w:val="0"/>
      <w:marTop w:val="0"/>
      <w:marBottom w:val="0"/>
      <w:divBdr>
        <w:top w:val="none" w:sz="0" w:space="0" w:color="auto"/>
        <w:left w:val="none" w:sz="0" w:space="0" w:color="auto"/>
        <w:bottom w:val="none" w:sz="0" w:space="0" w:color="auto"/>
        <w:right w:val="none" w:sz="0" w:space="0" w:color="auto"/>
      </w:divBdr>
    </w:div>
    <w:div w:id="673266616">
      <w:bodyDiv w:val="1"/>
      <w:marLeft w:val="0"/>
      <w:marRight w:val="0"/>
      <w:marTop w:val="0"/>
      <w:marBottom w:val="0"/>
      <w:divBdr>
        <w:top w:val="none" w:sz="0" w:space="0" w:color="auto"/>
        <w:left w:val="none" w:sz="0" w:space="0" w:color="auto"/>
        <w:bottom w:val="none" w:sz="0" w:space="0" w:color="auto"/>
        <w:right w:val="none" w:sz="0" w:space="0" w:color="auto"/>
      </w:divBdr>
    </w:div>
    <w:div w:id="679426338">
      <w:bodyDiv w:val="1"/>
      <w:marLeft w:val="0"/>
      <w:marRight w:val="0"/>
      <w:marTop w:val="0"/>
      <w:marBottom w:val="0"/>
      <w:divBdr>
        <w:top w:val="none" w:sz="0" w:space="0" w:color="auto"/>
        <w:left w:val="none" w:sz="0" w:space="0" w:color="auto"/>
        <w:bottom w:val="none" w:sz="0" w:space="0" w:color="auto"/>
        <w:right w:val="none" w:sz="0" w:space="0" w:color="auto"/>
      </w:divBdr>
    </w:div>
    <w:div w:id="698163274">
      <w:bodyDiv w:val="1"/>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13500957">
              <w:marLeft w:val="0"/>
              <w:marRight w:val="0"/>
              <w:marTop w:val="0"/>
              <w:marBottom w:val="0"/>
              <w:divBdr>
                <w:top w:val="none" w:sz="0" w:space="0" w:color="auto"/>
                <w:left w:val="none" w:sz="0" w:space="0" w:color="auto"/>
                <w:bottom w:val="none" w:sz="0" w:space="0" w:color="auto"/>
                <w:right w:val="none" w:sz="0" w:space="0" w:color="auto"/>
              </w:divBdr>
              <w:divsChild>
                <w:div w:id="20812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814">
      <w:bodyDiv w:val="1"/>
      <w:marLeft w:val="0"/>
      <w:marRight w:val="0"/>
      <w:marTop w:val="0"/>
      <w:marBottom w:val="0"/>
      <w:divBdr>
        <w:top w:val="none" w:sz="0" w:space="0" w:color="auto"/>
        <w:left w:val="none" w:sz="0" w:space="0" w:color="auto"/>
        <w:bottom w:val="none" w:sz="0" w:space="0" w:color="auto"/>
        <w:right w:val="none" w:sz="0" w:space="0" w:color="auto"/>
      </w:divBdr>
    </w:div>
    <w:div w:id="723918113">
      <w:bodyDiv w:val="1"/>
      <w:marLeft w:val="0"/>
      <w:marRight w:val="0"/>
      <w:marTop w:val="0"/>
      <w:marBottom w:val="0"/>
      <w:divBdr>
        <w:top w:val="none" w:sz="0" w:space="0" w:color="auto"/>
        <w:left w:val="none" w:sz="0" w:space="0" w:color="auto"/>
        <w:bottom w:val="none" w:sz="0" w:space="0" w:color="auto"/>
        <w:right w:val="none" w:sz="0" w:space="0" w:color="auto"/>
      </w:divBdr>
      <w:divsChild>
        <w:div w:id="2017612507">
          <w:marLeft w:val="0"/>
          <w:marRight w:val="0"/>
          <w:marTop w:val="0"/>
          <w:marBottom w:val="0"/>
          <w:divBdr>
            <w:top w:val="none" w:sz="0" w:space="0" w:color="auto"/>
            <w:left w:val="none" w:sz="0" w:space="0" w:color="auto"/>
            <w:bottom w:val="none" w:sz="0" w:space="0" w:color="auto"/>
            <w:right w:val="none" w:sz="0" w:space="0" w:color="auto"/>
          </w:divBdr>
          <w:divsChild>
            <w:div w:id="1249658654">
              <w:marLeft w:val="0"/>
              <w:marRight w:val="0"/>
              <w:marTop w:val="0"/>
              <w:marBottom w:val="0"/>
              <w:divBdr>
                <w:top w:val="none" w:sz="0" w:space="0" w:color="auto"/>
                <w:left w:val="none" w:sz="0" w:space="0" w:color="auto"/>
                <w:bottom w:val="none" w:sz="0" w:space="0" w:color="auto"/>
                <w:right w:val="none" w:sz="0" w:space="0" w:color="auto"/>
              </w:divBdr>
              <w:divsChild>
                <w:div w:id="823349355">
                  <w:marLeft w:val="0"/>
                  <w:marRight w:val="0"/>
                  <w:marTop w:val="0"/>
                  <w:marBottom w:val="0"/>
                  <w:divBdr>
                    <w:top w:val="none" w:sz="0" w:space="0" w:color="auto"/>
                    <w:left w:val="none" w:sz="0" w:space="0" w:color="auto"/>
                    <w:bottom w:val="none" w:sz="0" w:space="0" w:color="auto"/>
                    <w:right w:val="none" w:sz="0" w:space="0" w:color="auto"/>
                  </w:divBdr>
                  <w:divsChild>
                    <w:div w:id="12543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43254">
      <w:bodyDiv w:val="1"/>
      <w:marLeft w:val="0"/>
      <w:marRight w:val="0"/>
      <w:marTop w:val="0"/>
      <w:marBottom w:val="0"/>
      <w:divBdr>
        <w:top w:val="none" w:sz="0" w:space="0" w:color="auto"/>
        <w:left w:val="none" w:sz="0" w:space="0" w:color="auto"/>
        <w:bottom w:val="none" w:sz="0" w:space="0" w:color="auto"/>
        <w:right w:val="none" w:sz="0" w:space="0" w:color="auto"/>
      </w:divBdr>
    </w:div>
    <w:div w:id="741367451">
      <w:bodyDiv w:val="1"/>
      <w:marLeft w:val="0"/>
      <w:marRight w:val="0"/>
      <w:marTop w:val="0"/>
      <w:marBottom w:val="0"/>
      <w:divBdr>
        <w:top w:val="none" w:sz="0" w:space="0" w:color="auto"/>
        <w:left w:val="none" w:sz="0" w:space="0" w:color="auto"/>
        <w:bottom w:val="none" w:sz="0" w:space="0" w:color="auto"/>
        <w:right w:val="none" w:sz="0" w:space="0" w:color="auto"/>
      </w:divBdr>
    </w:div>
    <w:div w:id="761221361">
      <w:bodyDiv w:val="1"/>
      <w:marLeft w:val="0"/>
      <w:marRight w:val="0"/>
      <w:marTop w:val="0"/>
      <w:marBottom w:val="0"/>
      <w:divBdr>
        <w:top w:val="none" w:sz="0" w:space="0" w:color="auto"/>
        <w:left w:val="none" w:sz="0" w:space="0" w:color="auto"/>
        <w:bottom w:val="none" w:sz="0" w:space="0" w:color="auto"/>
        <w:right w:val="none" w:sz="0" w:space="0" w:color="auto"/>
      </w:divBdr>
    </w:div>
    <w:div w:id="776943489">
      <w:bodyDiv w:val="1"/>
      <w:marLeft w:val="0"/>
      <w:marRight w:val="0"/>
      <w:marTop w:val="0"/>
      <w:marBottom w:val="0"/>
      <w:divBdr>
        <w:top w:val="none" w:sz="0" w:space="0" w:color="auto"/>
        <w:left w:val="none" w:sz="0" w:space="0" w:color="auto"/>
        <w:bottom w:val="none" w:sz="0" w:space="0" w:color="auto"/>
        <w:right w:val="none" w:sz="0" w:space="0" w:color="auto"/>
      </w:divBdr>
    </w:div>
    <w:div w:id="850723622">
      <w:bodyDiv w:val="1"/>
      <w:marLeft w:val="0"/>
      <w:marRight w:val="0"/>
      <w:marTop w:val="0"/>
      <w:marBottom w:val="0"/>
      <w:divBdr>
        <w:top w:val="none" w:sz="0" w:space="0" w:color="auto"/>
        <w:left w:val="none" w:sz="0" w:space="0" w:color="auto"/>
        <w:bottom w:val="none" w:sz="0" w:space="0" w:color="auto"/>
        <w:right w:val="none" w:sz="0" w:space="0" w:color="auto"/>
      </w:divBdr>
    </w:div>
    <w:div w:id="855849768">
      <w:bodyDiv w:val="1"/>
      <w:marLeft w:val="0"/>
      <w:marRight w:val="0"/>
      <w:marTop w:val="0"/>
      <w:marBottom w:val="0"/>
      <w:divBdr>
        <w:top w:val="none" w:sz="0" w:space="0" w:color="auto"/>
        <w:left w:val="none" w:sz="0" w:space="0" w:color="auto"/>
        <w:bottom w:val="none" w:sz="0" w:space="0" w:color="auto"/>
        <w:right w:val="none" w:sz="0" w:space="0" w:color="auto"/>
      </w:divBdr>
    </w:div>
    <w:div w:id="902373250">
      <w:bodyDiv w:val="1"/>
      <w:marLeft w:val="0"/>
      <w:marRight w:val="0"/>
      <w:marTop w:val="0"/>
      <w:marBottom w:val="0"/>
      <w:divBdr>
        <w:top w:val="none" w:sz="0" w:space="0" w:color="auto"/>
        <w:left w:val="none" w:sz="0" w:space="0" w:color="auto"/>
        <w:bottom w:val="none" w:sz="0" w:space="0" w:color="auto"/>
        <w:right w:val="none" w:sz="0" w:space="0" w:color="auto"/>
      </w:divBdr>
    </w:div>
    <w:div w:id="943852101">
      <w:bodyDiv w:val="1"/>
      <w:marLeft w:val="0"/>
      <w:marRight w:val="0"/>
      <w:marTop w:val="0"/>
      <w:marBottom w:val="0"/>
      <w:divBdr>
        <w:top w:val="none" w:sz="0" w:space="0" w:color="auto"/>
        <w:left w:val="none" w:sz="0" w:space="0" w:color="auto"/>
        <w:bottom w:val="none" w:sz="0" w:space="0" w:color="auto"/>
        <w:right w:val="none" w:sz="0" w:space="0" w:color="auto"/>
      </w:divBdr>
    </w:div>
    <w:div w:id="1019164476">
      <w:bodyDiv w:val="1"/>
      <w:marLeft w:val="0"/>
      <w:marRight w:val="0"/>
      <w:marTop w:val="0"/>
      <w:marBottom w:val="0"/>
      <w:divBdr>
        <w:top w:val="none" w:sz="0" w:space="0" w:color="auto"/>
        <w:left w:val="none" w:sz="0" w:space="0" w:color="auto"/>
        <w:bottom w:val="none" w:sz="0" w:space="0" w:color="auto"/>
        <w:right w:val="none" w:sz="0" w:space="0" w:color="auto"/>
      </w:divBdr>
    </w:div>
    <w:div w:id="1043287894">
      <w:bodyDiv w:val="1"/>
      <w:marLeft w:val="0"/>
      <w:marRight w:val="0"/>
      <w:marTop w:val="0"/>
      <w:marBottom w:val="0"/>
      <w:divBdr>
        <w:top w:val="none" w:sz="0" w:space="0" w:color="auto"/>
        <w:left w:val="none" w:sz="0" w:space="0" w:color="auto"/>
        <w:bottom w:val="none" w:sz="0" w:space="0" w:color="auto"/>
        <w:right w:val="none" w:sz="0" w:space="0" w:color="auto"/>
      </w:divBdr>
    </w:div>
    <w:div w:id="1048184448">
      <w:bodyDiv w:val="1"/>
      <w:marLeft w:val="0"/>
      <w:marRight w:val="0"/>
      <w:marTop w:val="0"/>
      <w:marBottom w:val="0"/>
      <w:divBdr>
        <w:top w:val="none" w:sz="0" w:space="0" w:color="auto"/>
        <w:left w:val="none" w:sz="0" w:space="0" w:color="auto"/>
        <w:bottom w:val="none" w:sz="0" w:space="0" w:color="auto"/>
        <w:right w:val="none" w:sz="0" w:space="0" w:color="auto"/>
      </w:divBdr>
    </w:div>
    <w:div w:id="1125348326">
      <w:bodyDiv w:val="1"/>
      <w:marLeft w:val="0"/>
      <w:marRight w:val="0"/>
      <w:marTop w:val="0"/>
      <w:marBottom w:val="0"/>
      <w:divBdr>
        <w:top w:val="none" w:sz="0" w:space="0" w:color="auto"/>
        <w:left w:val="none" w:sz="0" w:space="0" w:color="auto"/>
        <w:bottom w:val="none" w:sz="0" w:space="0" w:color="auto"/>
        <w:right w:val="none" w:sz="0" w:space="0" w:color="auto"/>
      </w:divBdr>
      <w:divsChild>
        <w:div w:id="1905682763">
          <w:marLeft w:val="0"/>
          <w:marRight w:val="0"/>
          <w:marTop w:val="0"/>
          <w:marBottom w:val="0"/>
          <w:divBdr>
            <w:top w:val="none" w:sz="0" w:space="0" w:color="auto"/>
            <w:left w:val="none" w:sz="0" w:space="0" w:color="auto"/>
            <w:bottom w:val="none" w:sz="0" w:space="0" w:color="auto"/>
            <w:right w:val="none" w:sz="0" w:space="0" w:color="auto"/>
          </w:divBdr>
          <w:divsChild>
            <w:div w:id="1008677798">
              <w:marLeft w:val="0"/>
              <w:marRight w:val="0"/>
              <w:marTop w:val="0"/>
              <w:marBottom w:val="0"/>
              <w:divBdr>
                <w:top w:val="none" w:sz="0" w:space="0" w:color="auto"/>
                <w:left w:val="none" w:sz="0" w:space="0" w:color="auto"/>
                <w:bottom w:val="none" w:sz="0" w:space="0" w:color="auto"/>
                <w:right w:val="none" w:sz="0" w:space="0" w:color="auto"/>
              </w:divBdr>
              <w:divsChild>
                <w:div w:id="4997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993">
          <w:marLeft w:val="0"/>
          <w:marRight w:val="0"/>
          <w:marTop w:val="0"/>
          <w:marBottom w:val="0"/>
          <w:divBdr>
            <w:top w:val="none" w:sz="0" w:space="0" w:color="auto"/>
            <w:left w:val="none" w:sz="0" w:space="0" w:color="auto"/>
            <w:bottom w:val="none" w:sz="0" w:space="0" w:color="auto"/>
            <w:right w:val="none" w:sz="0" w:space="0" w:color="auto"/>
          </w:divBdr>
          <w:divsChild>
            <w:div w:id="1821144049">
              <w:marLeft w:val="0"/>
              <w:marRight w:val="0"/>
              <w:marTop w:val="0"/>
              <w:marBottom w:val="0"/>
              <w:divBdr>
                <w:top w:val="none" w:sz="0" w:space="0" w:color="auto"/>
                <w:left w:val="none" w:sz="0" w:space="0" w:color="auto"/>
                <w:bottom w:val="none" w:sz="0" w:space="0" w:color="auto"/>
                <w:right w:val="none" w:sz="0" w:space="0" w:color="auto"/>
              </w:divBdr>
              <w:divsChild>
                <w:div w:id="21037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6903">
      <w:bodyDiv w:val="1"/>
      <w:marLeft w:val="0"/>
      <w:marRight w:val="0"/>
      <w:marTop w:val="0"/>
      <w:marBottom w:val="0"/>
      <w:divBdr>
        <w:top w:val="none" w:sz="0" w:space="0" w:color="auto"/>
        <w:left w:val="none" w:sz="0" w:space="0" w:color="auto"/>
        <w:bottom w:val="none" w:sz="0" w:space="0" w:color="auto"/>
        <w:right w:val="none" w:sz="0" w:space="0" w:color="auto"/>
      </w:divBdr>
    </w:div>
    <w:div w:id="1159734943">
      <w:bodyDiv w:val="1"/>
      <w:marLeft w:val="0"/>
      <w:marRight w:val="0"/>
      <w:marTop w:val="0"/>
      <w:marBottom w:val="0"/>
      <w:divBdr>
        <w:top w:val="none" w:sz="0" w:space="0" w:color="auto"/>
        <w:left w:val="none" w:sz="0" w:space="0" w:color="auto"/>
        <w:bottom w:val="none" w:sz="0" w:space="0" w:color="auto"/>
        <w:right w:val="none" w:sz="0" w:space="0" w:color="auto"/>
      </w:divBdr>
      <w:divsChild>
        <w:div w:id="1699086538">
          <w:marLeft w:val="0"/>
          <w:marRight w:val="0"/>
          <w:marTop w:val="0"/>
          <w:marBottom w:val="0"/>
          <w:divBdr>
            <w:top w:val="none" w:sz="0" w:space="0" w:color="auto"/>
            <w:left w:val="none" w:sz="0" w:space="0" w:color="auto"/>
            <w:bottom w:val="none" w:sz="0" w:space="0" w:color="auto"/>
            <w:right w:val="none" w:sz="0" w:space="0" w:color="auto"/>
          </w:divBdr>
        </w:div>
      </w:divsChild>
    </w:div>
    <w:div w:id="1185441467">
      <w:bodyDiv w:val="1"/>
      <w:marLeft w:val="0"/>
      <w:marRight w:val="0"/>
      <w:marTop w:val="0"/>
      <w:marBottom w:val="0"/>
      <w:divBdr>
        <w:top w:val="none" w:sz="0" w:space="0" w:color="auto"/>
        <w:left w:val="none" w:sz="0" w:space="0" w:color="auto"/>
        <w:bottom w:val="none" w:sz="0" w:space="0" w:color="auto"/>
        <w:right w:val="none" w:sz="0" w:space="0" w:color="auto"/>
      </w:divBdr>
    </w:div>
    <w:div w:id="1227298166">
      <w:bodyDiv w:val="1"/>
      <w:marLeft w:val="0"/>
      <w:marRight w:val="0"/>
      <w:marTop w:val="0"/>
      <w:marBottom w:val="0"/>
      <w:divBdr>
        <w:top w:val="none" w:sz="0" w:space="0" w:color="auto"/>
        <w:left w:val="none" w:sz="0" w:space="0" w:color="auto"/>
        <w:bottom w:val="none" w:sz="0" w:space="0" w:color="auto"/>
        <w:right w:val="none" w:sz="0" w:space="0" w:color="auto"/>
      </w:divBdr>
    </w:div>
    <w:div w:id="1227376198">
      <w:bodyDiv w:val="1"/>
      <w:marLeft w:val="0"/>
      <w:marRight w:val="0"/>
      <w:marTop w:val="0"/>
      <w:marBottom w:val="0"/>
      <w:divBdr>
        <w:top w:val="none" w:sz="0" w:space="0" w:color="auto"/>
        <w:left w:val="none" w:sz="0" w:space="0" w:color="auto"/>
        <w:bottom w:val="none" w:sz="0" w:space="0" w:color="auto"/>
        <w:right w:val="none" w:sz="0" w:space="0" w:color="auto"/>
      </w:divBdr>
    </w:div>
    <w:div w:id="1260866738">
      <w:bodyDiv w:val="1"/>
      <w:marLeft w:val="0"/>
      <w:marRight w:val="0"/>
      <w:marTop w:val="0"/>
      <w:marBottom w:val="0"/>
      <w:divBdr>
        <w:top w:val="none" w:sz="0" w:space="0" w:color="auto"/>
        <w:left w:val="none" w:sz="0" w:space="0" w:color="auto"/>
        <w:bottom w:val="none" w:sz="0" w:space="0" w:color="auto"/>
        <w:right w:val="none" w:sz="0" w:space="0" w:color="auto"/>
      </w:divBdr>
    </w:div>
    <w:div w:id="1264799507">
      <w:bodyDiv w:val="1"/>
      <w:marLeft w:val="0"/>
      <w:marRight w:val="0"/>
      <w:marTop w:val="0"/>
      <w:marBottom w:val="0"/>
      <w:divBdr>
        <w:top w:val="none" w:sz="0" w:space="0" w:color="auto"/>
        <w:left w:val="none" w:sz="0" w:space="0" w:color="auto"/>
        <w:bottom w:val="none" w:sz="0" w:space="0" w:color="auto"/>
        <w:right w:val="none" w:sz="0" w:space="0" w:color="auto"/>
      </w:divBdr>
    </w:div>
    <w:div w:id="1286542407">
      <w:bodyDiv w:val="1"/>
      <w:marLeft w:val="0"/>
      <w:marRight w:val="0"/>
      <w:marTop w:val="0"/>
      <w:marBottom w:val="0"/>
      <w:divBdr>
        <w:top w:val="none" w:sz="0" w:space="0" w:color="auto"/>
        <w:left w:val="none" w:sz="0" w:space="0" w:color="auto"/>
        <w:bottom w:val="none" w:sz="0" w:space="0" w:color="auto"/>
        <w:right w:val="none" w:sz="0" w:space="0" w:color="auto"/>
      </w:divBdr>
    </w:div>
    <w:div w:id="1293748253">
      <w:bodyDiv w:val="1"/>
      <w:marLeft w:val="0"/>
      <w:marRight w:val="0"/>
      <w:marTop w:val="0"/>
      <w:marBottom w:val="0"/>
      <w:divBdr>
        <w:top w:val="none" w:sz="0" w:space="0" w:color="auto"/>
        <w:left w:val="none" w:sz="0" w:space="0" w:color="auto"/>
        <w:bottom w:val="none" w:sz="0" w:space="0" w:color="auto"/>
        <w:right w:val="none" w:sz="0" w:space="0" w:color="auto"/>
      </w:divBdr>
      <w:divsChild>
        <w:div w:id="418404250">
          <w:marLeft w:val="0"/>
          <w:marRight w:val="0"/>
          <w:marTop w:val="0"/>
          <w:marBottom w:val="0"/>
          <w:divBdr>
            <w:top w:val="none" w:sz="0" w:space="0" w:color="auto"/>
            <w:left w:val="none" w:sz="0" w:space="0" w:color="auto"/>
            <w:bottom w:val="none" w:sz="0" w:space="0" w:color="auto"/>
            <w:right w:val="none" w:sz="0" w:space="0" w:color="auto"/>
          </w:divBdr>
          <w:divsChild>
            <w:div w:id="2048872130">
              <w:marLeft w:val="0"/>
              <w:marRight w:val="0"/>
              <w:marTop w:val="0"/>
              <w:marBottom w:val="0"/>
              <w:divBdr>
                <w:top w:val="none" w:sz="0" w:space="0" w:color="auto"/>
                <w:left w:val="none" w:sz="0" w:space="0" w:color="auto"/>
                <w:bottom w:val="none" w:sz="0" w:space="0" w:color="auto"/>
                <w:right w:val="none" w:sz="0" w:space="0" w:color="auto"/>
              </w:divBdr>
              <w:divsChild>
                <w:div w:id="790055621">
                  <w:marLeft w:val="0"/>
                  <w:marRight w:val="0"/>
                  <w:marTop w:val="0"/>
                  <w:marBottom w:val="0"/>
                  <w:divBdr>
                    <w:top w:val="none" w:sz="0" w:space="0" w:color="auto"/>
                    <w:left w:val="none" w:sz="0" w:space="0" w:color="auto"/>
                    <w:bottom w:val="none" w:sz="0" w:space="0" w:color="auto"/>
                    <w:right w:val="none" w:sz="0" w:space="0" w:color="auto"/>
                  </w:divBdr>
                  <w:divsChild>
                    <w:div w:id="8286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58453">
      <w:bodyDiv w:val="1"/>
      <w:marLeft w:val="0"/>
      <w:marRight w:val="0"/>
      <w:marTop w:val="0"/>
      <w:marBottom w:val="0"/>
      <w:divBdr>
        <w:top w:val="none" w:sz="0" w:space="0" w:color="auto"/>
        <w:left w:val="none" w:sz="0" w:space="0" w:color="auto"/>
        <w:bottom w:val="none" w:sz="0" w:space="0" w:color="auto"/>
        <w:right w:val="none" w:sz="0" w:space="0" w:color="auto"/>
      </w:divBdr>
    </w:div>
    <w:div w:id="1301376611">
      <w:bodyDiv w:val="1"/>
      <w:marLeft w:val="0"/>
      <w:marRight w:val="0"/>
      <w:marTop w:val="0"/>
      <w:marBottom w:val="0"/>
      <w:divBdr>
        <w:top w:val="none" w:sz="0" w:space="0" w:color="auto"/>
        <w:left w:val="none" w:sz="0" w:space="0" w:color="auto"/>
        <w:bottom w:val="none" w:sz="0" w:space="0" w:color="auto"/>
        <w:right w:val="none" w:sz="0" w:space="0" w:color="auto"/>
      </w:divBdr>
      <w:divsChild>
        <w:div w:id="1926526973">
          <w:marLeft w:val="0"/>
          <w:marRight w:val="0"/>
          <w:marTop w:val="0"/>
          <w:marBottom w:val="0"/>
          <w:divBdr>
            <w:top w:val="none" w:sz="0" w:space="0" w:color="auto"/>
            <w:left w:val="none" w:sz="0" w:space="0" w:color="auto"/>
            <w:bottom w:val="none" w:sz="0" w:space="0" w:color="auto"/>
            <w:right w:val="none" w:sz="0" w:space="0" w:color="auto"/>
          </w:divBdr>
          <w:divsChild>
            <w:div w:id="1996177836">
              <w:marLeft w:val="0"/>
              <w:marRight w:val="0"/>
              <w:marTop w:val="0"/>
              <w:marBottom w:val="0"/>
              <w:divBdr>
                <w:top w:val="none" w:sz="0" w:space="0" w:color="auto"/>
                <w:left w:val="none" w:sz="0" w:space="0" w:color="auto"/>
                <w:bottom w:val="none" w:sz="0" w:space="0" w:color="auto"/>
                <w:right w:val="none" w:sz="0" w:space="0" w:color="auto"/>
              </w:divBdr>
              <w:divsChild>
                <w:div w:id="2128547674">
                  <w:marLeft w:val="0"/>
                  <w:marRight w:val="0"/>
                  <w:marTop w:val="0"/>
                  <w:marBottom w:val="0"/>
                  <w:divBdr>
                    <w:top w:val="none" w:sz="0" w:space="0" w:color="auto"/>
                    <w:left w:val="none" w:sz="0" w:space="0" w:color="auto"/>
                    <w:bottom w:val="none" w:sz="0" w:space="0" w:color="auto"/>
                    <w:right w:val="none" w:sz="0" w:space="0" w:color="auto"/>
                  </w:divBdr>
                  <w:divsChild>
                    <w:div w:id="3046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34575">
      <w:marLeft w:val="0"/>
      <w:marRight w:val="0"/>
      <w:marTop w:val="0"/>
      <w:marBottom w:val="0"/>
      <w:divBdr>
        <w:top w:val="none" w:sz="0" w:space="0" w:color="auto"/>
        <w:left w:val="none" w:sz="0" w:space="0" w:color="auto"/>
        <w:bottom w:val="none" w:sz="0" w:space="0" w:color="auto"/>
        <w:right w:val="none" w:sz="0" w:space="0" w:color="auto"/>
      </w:divBdr>
    </w:div>
    <w:div w:id="1323856386">
      <w:bodyDiv w:val="1"/>
      <w:marLeft w:val="0"/>
      <w:marRight w:val="0"/>
      <w:marTop w:val="0"/>
      <w:marBottom w:val="0"/>
      <w:divBdr>
        <w:top w:val="none" w:sz="0" w:space="0" w:color="auto"/>
        <w:left w:val="none" w:sz="0" w:space="0" w:color="auto"/>
        <w:bottom w:val="none" w:sz="0" w:space="0" w:color="auto"/>
        <w:right w:val="none" w:sz="0" w:space="0" w:color="auto"/>
      </w:divBdr>
    </w:div>
    <w:div w:id="1337882760">
      <w:bodyDiv w:val="1"/>
      <w:marLeft w:val="0"/>
      <w:marRight w:val="0"/>
      <w:marTop w:val="0"/>
      <w:marBottom w:val="0"/>
      <w:divBdr>
        <w:top w:val="none" w:sz="0" w:space="0" w:color="auto"/>
        <w:left w:val="none" w:sz="0" w:space="0" w:color="auto"/>
        <w:bottom w:val="none" w:sz="0" w:space="0" w:color="auto"/>
        <w:right w:val="none" w:sz="0" w:space="0" w:color="auto"/>
      </w:divBdr>
      <w:divsChild>
        <w:div w:id="87969810">
          <w:marLeft w:val="0"/>
          <w:marRight w:val="0"/>
          <w:marTop w:val="0"/>
          <w:marBottom w:val="0"/>
          <w:divBdr>
            <w:top w:val="none" w:sz="0" w:space="0" w:color="auto"/>
            <w:left w:val="none" w:sz="0" w:space="0" w:color="auto"/>
            <w:bottom w:val="none" w:sz="0" w:space="0" w:color="auto"/>
            <w:right w:val="none" w:sz="0" w:space="0" w:color="auto"/>
          </w:divBdr>
          <w:divsChild>
            <w:div w:id="958997263">
              <w:marLeft w:val="0"/>
              <w:marRight w:val="0"/>
              <w:marTop w:val="0"/>
              <w:marBottom w:val="0"/>
              <w:divBdr>
                <w:top w:val="none" w:sz="0" w:space="0" w:color="auto"/>
                <w:left w:val="none" w:sz="0" w:space="0" w:color="auto"/>
                <w:bottom w:val="none" w:sz="0" w:space="0" w:color="auto"/>
                <w:right w:val="none" w:sz="0" w:space="0" w:color="auto"/>
              </w:divBdr>
              <w:divsChild>
                <w:div w:id="9229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5434">
      <w:bodyDiv w:val="1"/>
      <w:marLeft w:val="0"/>
      <w:marRight w:val="0"/>
      <w:marTop w:val="0"/>
      <w:marBottom w:val="0"/>
      <w:divBdr>
        <w:top w:val="none" w:sz="0" w:space="0" w:color="auto"/>
        <w:left w:val="none" w:sz="0" w:space="0" w:color="auto"/>
        <w:bottom w:val="none" w:sz="0" w:space="0" w:color="auto"/>
        <w:right w:val="none" w:sz="0" w:space="0" w:color="auto"/>
      </w:divBdr>
    </w:div>
    <w:div w:id="1414009983">
      <w:bodyDiv w:val="1"/>
      <w:marLeft w:val="0"/>
      <w:marRight w:val="0"/>
      <w:marTop w:val="0"/>
      <w:marBottom w:val="0"/>
      <w:divBdr>
        <w:top w:val="none" w:sz="0" w:space="0" w:color="auto"/>
        <w:left w:val="none" w:sz="0" w:space="0" w:color="auto"/>
        <w:bottom w:val="none" w:sz="0" w:space="0" w:color="auto"/>
        <w:right w:val="none" w:sz="0" w:space="0" w:color="auto"/>
      </w:divBdr>
    </w:div>
    <w:div w:id="1427271002">
      <w:bodyDiv w:val="1"/>
      <w:marLeft w:val="0"/>
      <w:marRight w:val="0"/>
      <w:marTop w:val="0"/>
      <w:marBottom w:val="0"/>
      <w:divBdr>
        <w:top w:val="none" w:sz="0" w:space="0" w:color="auto"/>
        <w:left w:val="none" w:sz="0" w:space="0" w:color="auto"/>
        <w:bottom w:val="none" w:sz="0" w:space="0" w:color="auto"/>
        <w:right w:val="none" w:sz="0" w:space="0" w:color="auto"/>
      </w:divBdr>
    </w:div>
    <w:div w:id="1434787760">
      <w:bodyDiv w:val="1"/>
      <w:marLeft w:val="0"/>
      <w:marRight w:val="0"/>
      <w:marTop w:val="0"/>
      <w:marBottom w:val="0"/>
      <w:divBdr>
        <w:top w:val="none" w:sz="0" w:space="0" w:color="auto"/>
        <w:left w:val="none" w:sz="0" w:space="0" w:color="auto"/>
        <w:bottom w:val="none" w:sz="0" w:space="0" w:color="auto"/>
        <w:right w:val="none" w:sz="0" w:space="0" w:color="auto"/>
      </w:divBdr>
      <w:divsChild>
        <w:div w:id="1767768857">
          <w:marLeft w:val="0"/>
          <w:marRight w:val="0"/>
          <w:marTop w:val="0"/>
          <w:marBottom w:val="0"/>
          <w:divBdr>
            <w:top w:val="none" w:sz="0" w:space="0" w:color="auto"/>
            <w:left w:val="none" w:sz="0" w:space="0" w:color="auto"/>
            <w:bottom w:val="none" w:sz="0" w:space="0" w:color="auto"/>
            <w:right w:val="none" w:sz="0" w:space="0" w:color="auto"/>
          </w:divBdr>
          <w:divsChild>
            <w:div w:id="2072383929">
              <w:marLeft w:val="0"/>
              <w:marRight w:val="0"/>
              <w:marTop w:val="0"/>
              <w:marBottom w:val="0"/>
              <w:divBdr>
                <w:top w:val="none" w:sz="0" w:space="0" w:color="auto"/>
                <w:left w:val="none" w:sz="0" w:space="0" w:color="auto"/>
                <w:bottom w:val="none" w:sz="0" w:space="0" w:color="auto"/>
                <w:right w:val="none" w:sz="0" w:space="0" w:color="auto"/>
              </w:divBdr>
              <w:divsChild>
                <w:div w:id="20696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9274">
      <w:bodyDiv w:val="1"/>
      <w:marLeft w:val="0"/>
      <w:marRight w:val="0"/>
      <w:marTop w:val="0"/>
      <w:marBottom w:val="0"/>
      <w:divBdr>
        <w:top w:val="none" w:sz="0" w:space="0" w:color="auto"/>
        <w:left w:val="none" w:sz="0" w:space="0" w:color="auto"/>
        <w:bottom w:val="none" w:sz="0" w:space="0" w:color="auto"/>
        <w:right w:val="none" w:sz="0" w:space="0" w:color="auto"/>
      </w:divBdr>
    </w:div>
    <w:div w:id="1486319482">
      <w:bodyDiv w:val="1"/>
      <w:marLeft w:val="0"/>
      <w:marRight w:val="0"/>
      <w:marTop w:val="0"/>
      <w:marBottom w:val="0"/>
      <w:divBdr>
        <w:top w:val="none" w:sz="0" w:space="0" w:color="auto"/>
        <w:left w:val="none" w:sz="0" w:space="0" w:color="auto"/>
        <w:bottom w:val="none" w:sz="0" w:space="0" w:color="auto"/>
        <w:right w:val="none" w:sz="0" w:space="0" w:color="auto"/>
      </w:divBdr>
    </w:div>
    <w:div w:id="1494639127">
      <w:bodyDiv w:val="1"/>
      <w:marLeft w:val="0"/>
      <w:marRight w:val="0"/>
      <w:marTop w:val="0"/>
      <w:marBottom w:val="0"/>
      <w:divBdr>
        <w:top w:val="none" w:sz="0" w:space="0" w:color="auto"/>
        <w:left w:val="none" w:sz="0" w:space="0" w:color="auto"/>
        <w:bottom w:val="none" w:sz="0" w:space="0" w:color="auto"/>
        <w:right w:val="none" w:sz="0" w:space="0" w:color="auto"/>
      </w:divBdr>
    </w:div>
    <w:div w:id="1497573932">
      <w:bodyDiv w:val="1"/>
      <w:marLeft w:val="0"/>
      <w:marRight w:val="0"/>
      <w:marTop w:val="0"/>
      <w:marBottom w:val="0"/>
      <w:divBdr>
        <w:top w:val="none" w:sz="0" w:space="0" w:color="auto"/>
        <w:left w:val="none" w:sz="0" w:space="0" w:color="auto"/>
        <w:bottom w:val="none" w:sz="0" w:space="0" w:color="auto"/>
        <w:right w:val="none" w:sz="0" w:space="0" w:color="auto"/>
      </w:divBdr>
    </w:div>
    <w:div w:id="1530025182">
      <w:bodyDiv w:val="1"/>
      <w:marLeft w:val="0"/>
      <w:marRight w:val="0"/>
      <w:marTop w:val="0"/>
      <w:marBottom w:val="0"/>
      <w:divBdr>
        <w:top w:val="none" w:sz="0" w:space="0" w:color="auto"/>
        <w:left w:val="none" w:sz="0" w:space="0" w:color="auto"/>
        <w:bottom w:val="none" w:sz="0" w:space="0" w:color="auto"/>
        <w:right w:val="none" w:sz="0" w:space="0" w:color="auto"/>
      </w:divBdr>
      <w:divsChild>
        <w:div w:id="1230648399">
          <w:marLeft w:val="0"/>
          <w:marRight w:val="0"/>
          <w:marTop w:val="0"/>
          <w:marBottom w:val="0"/>
          <w:divBdr>
            <w:top w:val="none" w:sz="0" w:space="0" w:color="auto"/>
            <w:left w:val="none" w:sz="0" w:space="0" w:color="auto"/>
            <w:bottom w:val="none" w:sz="0" w:space="0" w:color="auto"/>
            <w:right w:val="none" w:sz="0" w:space="0" w:color="auto"/>
          </w:divBdr>
          <w:divsChild>
            <w:div w:id="54158985">
              <w:marLeft w:val="0"/>
              <w:marRight w:val="0"/>
              <w:marTop w:val="0"/>
              <w:marBottom w:val="0"/>
              <w:divBdr>
                <w:top w:val="none" w:sz="0" w:space="0" w:color="auto"/>
                <w:left w:val="none" w:sz="0" w:space="0" w:color="auto"/>
                <w:bottom w:val="none" w:sz="0" w:space="0" w:color="auto"/>
                <w:right w:val="none" w:sz="0" w:space="0" w:color="auto"/>
              </w:divBdr>
              <w:divsChild>
                <w:div w:id="10436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41997">
      <w:bodyDiv w:val="1"/>
      <w:marLeft w:val="0"/>
      <w:marRight w:val="0"/>
      <w:marTop w:val="0"/>
      <w:marBottom w:val="0"/>
      <w:divBdr>
        <w:top w:val="none" w:sz="0" w:space="0" w:color="auto"/>
        <w:left w:val="none" w:sz="0" w:space="0" w:color="auto"/>
        <w:bottom w:val="none" w:sz="0" w:space="0" w:color="auto"/>
        <w:right w:val="none" w:sz="0" w:space="0" w:color="auto"/>
      </w:divBdr>
    </w:div>
    <w:div w:id="1581988974">
      <w:bodyDiv w:val="1"/>
      <w:marLeft w:val="0"/>
      <w:marRight w:val="0"/>
      <w:marTop w:val="0"/>
      <w:marBottom w:val="0"/>
      <w:divBdr>
        <w:top w:val="none" w:sz="0" w:space="0" w:color="auto"/>
        <w:left w:val="none" w:sz="0" w:space="0" w:color="auto"/>
        <w:bottom w:val="none" w:sz="0" w:space="0" w:color="auto"/>
        <w:right w:val="none" w:sz="0" w:space="0" w:color="auto"/>
      </w:divBdr>
    </w:div>
    <w:div w:id="1600796777">
      <w:bodyDiv w:val="1"/>
      <w:marLeft w:val="0"/>
      <w:marRight w:val="0"/>
      <w:marTop w:val="0"/>
      <w:marBottom w:val="0"/>
      <w:divBdr>
        <w:top w:val="none" w:sz="0" w:space="0" w:color="auto"/>
        <w:left w:val="none" w:sz="0" w:space="0" w:color="auto"/>
        <w:bottom w:val="none" w:sz="0" w:space="0" w:color="auto"/>
        <w:right w:val="none" w:sz="0" w:space="0" w:color="auto"/>
      </w:divBdr>
    </w:div>
    <w:div w:id="1608731107">
      <w:bodyDiv w:val="1"/>
      <w:marLeft w:val="0"/>
      <w:marRight w:val="0"/>
      <w:marTop w:val="0"/>
      <w:marBottom w:val="0"/>
      <w:divBdr>
        <w:top w:val="none" w:sz="0" w:space="0" w:color="auto"/>
        <w:left w:val="none" w:sz="0" w:space="0" w:color="auto"/>
        <w:bottom w:val="none" w:sz="0" w:space="0" w:color="auto"/>
        <w:right w:val="none" w:sz="0" w:space="0" w:color="auto"/>
      </w:divBdr>
    </w:div>
    <w:div w:id="1643924706">
      <w:bodyDiv w:val="1"/>
      <w:marLeft w:val="0"/>
      <w:marRight w:val="0"/>
      <w:marTop w:val="0"/>
      <w:marBottom w:val="0"/>
      <w:divBdr>
        <w:top w:val="none" w:sz="0" w:space="0" w:color="auto"/>
        <w:left w:val="none" w:sz="0" w:space="0" w:color="auto"/>
        <w:bottom w:val="none" w:sz="0" w:space="0" w:color="auto"/>
        <w:right w:val="none" w:sz="0" w:space="0" w:color="auto"/>
      </w:divBdr>
    </w:div>
    <w:div w:id="1652171608">
      <w:bodyDiv w:val="1"/>
      <w:marLeft w:val="0"/>
      <w:marRight w:val="0"/>
      <w:marTop w:val="0"/>
      <w:marBottom w:val="0"/>
      <w:divBdr>
        <w:top w:val="none" w:sz="0" w:space="0" w:color="auto"/>
        <w:left w:val="none" w:sz="0" w:space="0" w:color="auto"/>
        <w:bottom w:val="none" w:sz="0" w:space="0" w:color="auto"/>
        <w:right w:val="none" w:sz="0" w:space="0" w:color="auto"/>
      </w:divBdr>
    </w:div>
    <w:div w:id="1675107634">
      <w:marLeft w:val="0"/>
      <w:marRight w:val="0"/>
      <w:marTop w:val="0"/>
      <w:marBottom w:val="0"/>
      <w:divBdr>
        <w:top w:val="none" w:sz="0" w:space="0" w:color="auto"/>
        <w:left w:val="none" w:sz="0" w:space="0" w:color="auto"/>
        <w:bottom w:val="none" w:sz="0" w:space="0" w:color="auto"/>
        <w:right w:val="none" w:sz="0" w:space="0" w:color="auto"/>
      </w:divBdr>
    </w:div>
    <w:div w:id="1676608267">
      <w:marLeft w:val="0"/>
      <w:marRight w:val="0"/>
      <w:marTop w:val="0"/>
      <w:marBottom w:val="0"/>
      <w:divBdr>
        <w:top w:val="none" w:sz="0" w:space="0" w:color="auto"/>
        <w:left w:val="none" w:sz="0" w:space="0" w:color="auto"/>
        <w:bottom w:val="none" w:sz="0" w:space="0" w:color="auto"/>
        <w:right w:val="none" w:sz="0" w:space="0" w:color="auto"/>
      </w:divBdr>
    </w:div>
    <w:div w:id="1704475199">
      <w:bodyDiv w:val="1"/>
      <w:marLeft w:val="0"/>
      <w:marRight w:val="0"/>
      <w:marTop w:val="0"/>
      <w:marBottom w:val="0"/>
      <w:divBdr>
        <w:top w:val="none" w:sz="0" w:space="0" w:color="auto"/>
        <w:left w:val="none" w:sz="0" w:space="0" w:color="auto"/>
        <w:bottom w:val="none" w:sz="0" w:space="0" w:color="auto"/>
        <w:right w:val="none" w:sz="0" w:space="0" w:color="auto"/>
      </w:divBdr>
    </w:div>
    <w:div w:id="1717927827">
      <w:bodyDiv w:val="1"/>
      <w:marLeft w:val="0"/>
      <w:marRight w:val="0"/>
      <w:marTop w:val="0"/>
      <w:marBottom w:val="0"/>
      <w:divBdr>
        <w:top w:val="none" w:sz="0" w:space="0" w:color="auto"/>
        <w:left w:val="none" w:sz="0" w:space="0" w:color="auto"/>
        <w:bottom w:val="none" w:sz="0" w:space="0" w:color="auto"/>
        <w:right w:val="none" w:sz="0" w:space="0" w:color="auto"/>
      </w:divBdr>
    </w:div>
    <w:div w:id="1721440742">
      <w:bodyDiv w:val="1"/>
      <w:marLeft w:val="0"/>
      <w:marRight w:val="0"/>
      <w:marTop w:val="0"/>
      <w:marBottom w:val="0"/>
      <w:divBdr>
        <w:top w:val="none" w:sz="0" w:space="0" w:color="auto"/>
        <w:left w:val="none" w:sz="0" w:space="0" w:color="auto"/>
        <w:bottom w:val="none" w:sz="0" w:space="0" w:color="auto"/>
        <w:right w:val="none" w:sz="0" w:space="0" w:color="auto"/>
      </w:divBdr>
    </w:div>
    <w:div w:id="1745177433">
      <w:bodyDiv w:val="1"/>
      <w:marLeft w:val="0"/>
      <w:marRight w:val="0"/>
      <w:marTop w:val="0"/>
      <w:marBottom w:val="0"/>
      <w:divBdr>
        <w:top w:val="none" w:sz="0" w:space="0" w:color="auto"/>
        <w:left w:val="none" w:sz="0" w:space="0" w:color="auto"/>
        <w:bottom w:val="none" w:sz="0" w:space="0" w:color="auto"/>
        <w:right w:val="none" w:sz="0" w:space="0" w:color="auto"/>
      </w:divBdr>
    </w:div>
    <w:div w:id="1762484144">
      <w:bodyDiv w:val="1"/>
      <w:marLeft w:val="0"/>
      <w:marRight w:val="0"/>
      <w:marTop w:val="0"/>
      <w:marBottom w:val="0"/>
      <w:divBdr>
        <w:top w:val="none" w:sz="0" w:space="0" w:color="auto"/>
        <w:left w:val="none" w:sz="0" w:space="0" w:color="auto"/>
        <w:bottom w:val="none" w:sz="0" w:space="0" w:color="auto"/>
        <w:right w:val="none" w:sz="0" w:space="0" w:color="auto"/>
      </w:divBdr>
    </w:div>
    <w:div w:id="1833717169">
      <w:bodyDiv w:val="1"/>
      <w:marLeft w:val="0"/>
      <w:marRight w:val="0"/>
      <w:marTop w:val="0"/>
      <w:marBottom w:val="0"/>
      <w:divBdr>
        <w:top w:val="none" w:sz="0" w:space="0" w:color="auto"/>
        <w:left w:val="none" w:sz="0" w:space="0" w:color="auto"/>
        <w:bottom w:val="none" w:sz="0" w:space="0" w:color="auto"/>
        <w:right w:val="none" w:sz="0" w:space="0" w:color="auto"/>
      </w:divBdr>
    </w:div>
    <w:div w:id="1852185971">
      <w:bodyDiv w:val="1"/>
      <w:marLeft w:val="0"/>
      <w:marRight w:val="0"/>
      <w:marTop w:val="0"/>
      <w:marBottom w:val="0"/>
      <w:divBdr>
        <w:top w:val="none" w:sz="0" w:space="0" w:color="auto"/>
        <w:left w:val="none" w:sz="0" w:space="0" w:color="auto"/>
        <w:bottom w:val="none" w:sz="0" w:space="0" w:color="auto"/>
        <w:right w:val="none" w:sz="0" w:space="0" w:color="auto"/>
      </w:divBdr>
    </w:div>
    <w:div w:id="1853837316">
      <w:bodyDiv w:val="1"/>
      <w:marLeft w:val="0"/>
      <w:marRight w:val="0"/>
      <w:marTop w:val="0"/>
      <w:marBottom w:val="0"/>
      <w:divBdr>
        <w:top w:val="none" w:sz="0" w:space="0" w:color="auto"/>
        <w:left w:val="none" w:sz="0" w:space="0" w:color="auto"/>
        <w:bottom w:val="none" w:sz="0" w:space="0" w:color="auto"/>
        <w:right w:val="none" w:sz="0" w:space="0" w:color="auto"/>
      </w:divBdr>
    </w:div>
    <w:div w:id="1870220997">
      <w:bodyDiv w:val="1"/>
      <w:marLeft w:val="0"/>
      <w:marRight w:val="0"/>
      <w:marTop w:val="0"/>
      <w:marBottom w:val="0"/>
      <w:divBdr>
        <w:top w:val="none" w:sz="0" w:space="0" w:color="auto"/>
        <w:left w:val="none" w:sz="0" w:space="0" w:color="auto"/>
        <w:bottom w:val="none" w:sz="0" w:space="0" w:color="auto"/>
        <w:right w:val="none" w:sz="0" w:space="0" w:color="auto"/>
      </w:divBdr>
      <w:divsChild>
        <w:div w:id="758256160">
          <w:marLeft w:val="0"/>
          <w:marRight w:val="0"/>
          <w:marTop w:val="0"/>
          <w:marBottom w:val="0"/>
          <w:divBdr>
            <w:top w:val="none" w:sz="0" w:space="0" w:color="auto"/>
            <w:left w:val="none" w:sz="0" w:space="0" w:color="auto"/>
            <w:bottom w:val="none" w:sz="0" w:space="0" w:color="auto"/>
            <w:right w:val="none" w:sz="0" w:space="0" w:color="auto"/>
          </w:divBdr>
          <w:divsChild>
            <w:div w:id="964694645">
              <w:marLeft w:val="0"/>
              <w:marRight w:val="0"/>
              <w:marTop w:val="0"/>
              <w:marBottom w:val="0"/>
              <w:divBdr>
                <w:top w:val="none" w:sz="0" w:space="0" w:color="auto"/>
                <w:left w:val="none" w:sz="0" w:space="0" w:color="auto"/>
                <w:bottom w:val="none" w:sz="0" w:space="0" w:color="auto"/>
                <w:right w:val="none" w:sz="0" w:space="0" w:color="auto"/>
              </w:divBdr>
              <w:divsChild>
                <w:div w:id="1018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447">
      <w:bodyDiv w:val="1"/>
      <w:marLeft w:val="0"/>
      <w:marRight w:val="0"/>
      <w:marTop w:val="0"/>
      <w:marBottom w:val="0"/>
      <w:divBdr>
        <w:top w:val="none" w:sz="0" w:space="0" w:color="auto"/>
        <w:left w:val="none" w:sz="0" w:space="0" w:color="auto"/>
        <w:bottom w:val="none" w:sz="0" w:space="0" w:color="auto"/>
        <w:right w:val="none" w:sz="0" w:space="0" w:color="auto"/>
      </w:divBdr>
      <w:divsChild>
        <w:div w:id="1126199050">
          <w:marLeft w:val="0"/>
          <w:marRight w:val="0"/>
          <w:marTop w:val="0"/>
          <w:marBottom w:val="0"/>
          <w:divBdr>
            <w:top w:val="none" w:sz="0" w:space="0" w:color="auto"/>
            <w:left w:val="none" w:sz="0" w:space="0" w:color="auto"/>
            <w:bottom w:val="none" w:sz="0" w:space="0" w:color="auto"/>
            <w:right w:val="none" w:sz="0" w:space="0" w:color="auto"/>
          </w:divBdr>
          <w:divsChild>
            <w:div w:id="15246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294">
      <w:bodyDiv w:val="1"/>
      <w:marLeft w:val="0"/>
      <w:marRight w:val="0"/>
      <w:marTop w:val="0"/>
      <w:marBottom w:val="0"/>
      <w:divBdr>
        <w:top w:val="none" w:sz="0" w:space="0" w:color="auto"/>
        <w:left w:val="none" w:sz="0" w:space="0" w:color="auto"/>
        <w:bottom w:val="none" w:sz="0" w:space="0" w:color="auto"/>
        <w:right w:val="none" w:sz="0" w:space="0" w:color="auto"/>
      </w:divBdr>
    </w:div>
    <w:div w:id="1873421330">
      <w:bodyDiv w:val="1"/>
      <w:marLeft w:val="0"/>
      <w:marRight w:val="0"/>
      <w:marTop w:val="0"/>
      <w:marBottom w:val="0"/>
      <w:divBdr>
        <w:top w:val="none" w:sz="0" w:space="0" w:color="auto"/>
        <w:left w:val="none" w:sz="0" w:space="0" w:color="auto"/>
        <w:bottom w:val="none" w:sz="0" w:space="0" w:color="auto"/>
        <w:right w:val="none" w:sz="0" w:space="0" w:color="auto"/>
      </w:divBdr>
    </w:div>
    <w:div w:id="1909799408">
      <w:bodyDiv w:val="1"/>
      <w:marLeft w:val="0"/>
      <w:marRight w:val="0"/>
      <w:marTop w:val="0"/>
      <w:marBottom w:val="0"/>
      <w:divBdr>
        <w:top w:val="none" w:sz="0" w:space="0" w:color="auto"/>
        <w:left w:val="none" w:sz="0" w:space="0" w:color="auto"/>
        <w:bottom w:val="none" w:sz="0" w:space="0" w:color="auto"/>
        <w:right w:val="none" w:sz="0" w:space="0" w:color="auto"/>
      </w:divBdr>
      <w:divsChild>
        <w:div w:id="83577260">
          <w:marLeft w:val="0"/>
          <w:marRight w:val="0"/>
          <w:marTop w:val="0"/>
          <w:marBottom w:val="0"/>
          <w:divBdr>
            <w:top w:val="none" w:sz="0" w:space="0" w:color="auto"/>
            <w:left w:val="none" w:sz="0" w:space="0" w:color="auto"/>
            <w:bottom w:val="none" w:sz="0" w:space="0" w:color="auto"/>
            <w:right w:val="none" w:sz="0" w:space="0" w:color="auto"/>
          </w:divBdr>
          <w:divsChild>
            <w:div w:id="1749888534">
              <w:marLeft w:val="0"/>
              <w:marRight w:val="0"/>
              <w:marTop w:val="0"/>
              <w:marBottom w:val="0"/>
              <w:divBdr>
                <w:top w:val="none" w:sz="0" w:space="0" w:color="auto"/>
                <w:left w:val="none" w:sz="0" w:space="0" w:color="auto"/>
                <w:bottom w:val="none" w:sz="0" w:space="0" w:color="auto"/>
                <w:right w:val="none" w:sz="0" w:space="0" w:color="auto"/>
              </w:divBdr>
              <w:divsChild>
                <w:div w:id="15784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8928">
      <w:bodyDiv w:val="1"/>
      <w:marLeft w:val="0"/>
      <w:marRight w:val="0"/>
      <w:marTop w:val="0"/>
      <w:marBottom w:val="0"/>
      <w:divBdr>
        <w:top w:val="none" w:sz="0" w:space="0" w:color="auto"/>
        <w:left w:val="none" w:sz="0" w:space="0" w:color="auto"/>
        <w:bottom w:val="none" w:sz="0" w:space="0" w:color="auto"/>
        <w:right w:val="none" w:sz="0" w:space="0" w:color="auto"/>
      </w:divBdr>
    </w:div>
    <w:div w:id="1930579874">
      <w:bodyDiv w:val="1"/>
      <w:marLeft w:val="0"/>
      <w:marRight w:val="0"/>
      <w:marTop w:val="0"/>
      <w:marBottom w:val="0"/>
      <w:divBdr>
        <w:top w:val="none" w:sz="0" w:space="0" w:color="auto"/>
        <w:left w:val="none" w:sz="0" w:space="0" w:color="auto"/>
        <w:bottom w:val="none" w:sz="0" w:space="0" w:color="auto"/>
        <w:right w:val="none" w:sz="0" w:space="0" w:color="auto"/>
      </w:divBdr>
    </w:div>
    <w:div w:id="1959414711">
      <w:bodyDiv w:val="1"/>
      <w:marLeft w:val="0"/>
      <w:marRight w:val="0"/>
      <w:marTop w:val="0"/>
      <w:marBottom w:val="0"/>
      <w:divBdr>
        <w:top w:val="none" w:sz="0" w:space="0" w:color="auto"/>
        <w:left w:val="none" w:sz="0" w:space="0" w:color="auto"/>
        <w:bottom w:val="none" w:sz="0" w:space="0" w:color="auto"/>
        <w:right w:val="none" w:sz="0" w:space="0" w:color="auto"/>
      </w:divBdr>
    </w:div>
    <w:div w:id="2006740780">
      <w:bodyDiv w:val="1"/>
      <w:marLeft w:val="0"/>
      <w:marRight w:val="0"/>
      <w:marTop w:val="0"/>
      <w:marBottom w:val="0"/>
      <w:divBdr>
        <w:top w:val="none" w:sz="0" w:space="0" w:color="auto"/>
        <w:left w:val="none" w:sz="0" w:space="0" w:color="auto"/>
        <w:bottom w:val="none" w:sz="0" w:space="0" w:color="auto"/>
        <w:right w:val="none" w:sz="0" w:space="0" w:color="auto"/>
      </w:divBdr>
    </w:div>
    <w:div w:id="2050258880">
      <w:bodyDiv w:val="1"/>
      <w:marLeft w:val="0"/>
      <w:marRight w:val="0"/>
      <w:marTop w:val="0"/>
      <w:marBottom w:val="0"/>
      <w:divBdr>
        <w:top w:val="none" w:sz="0" w:space="0" w:color="auto"/>
        <w:left w:val="none" w:sz="0" w:space="0" w:color="auto"/>
        <w:bottom w:val="none" w:sz="0" w:space="0" w:color="auto"/>
        <w:right w:val="none" w:sz="0" w:space="0" w:color="auto"/>
      </w:divBdr>
    </w:div>
    <w:div w:id="2053653398">
      <w:bodyDiv w:val="1"/>
      <w:marLeft w:val="0"/>
      <w:marRight w:val="0"/>
      <w:marTop w:val="0"/>
      <w:marBottom w:val="0"/>
      <w:divBdr>
        <w:top w:val="none" w:sz="0" w:space="0" w:color="auto"/>
        <w:left w:val="none" w:sz="0" w:space="0" w:color="auto"/>
        <w:bottom w:val="none" w:sz="0" w:space="0" w:color="auto"/>
        <w:right w:val="none" w:sz="0" w:space="0" w:color="auto"/>
      </w:divBdr>
    </w:div>
    <w:div w:id="2075885195">
      <w:bodyDiv w:val="1"/>
      <w:marLeft w:val="0"/>
      <w:marRight w:val="0"/>
      <w:marTop w:val="0"/>
      <w:marBottom w:val="0"/>
      <w:divBdr>
        <w:top w:val="none" w:sz="0" w:space="0" w:color="auto"/>
        <w:left w:val="none" w:sz="0" w:space="0" w:color="auto"/>
        <w:bottom w:val="none" w:sz="0" w:space="0" w:color="auto"/>
        <w:right w:val="none" w:sz="0" w:space="0" w:color="auto"/>
      </w:divBdr>
    </w:div>
    <w:div w:id="2077317288">
      <w:bodyDiv w:val="1"/>
      <w:marLeft w:val="0"/>
      <w:marRight w:val="0"/>
      <w:marTop w:val="0"/>
      <w:marBottom w:val="0"/>
      <w:divBdr>
        <w:top w:val="none" w:sz="0" w:space="0" w:color="auto"/>
        <w:left w:val="none" w:sz="0" w:space="0" w:color="auto"/>
        <w:bottom w:val="none" w:sz="0" w:space="0" w:color="auto"/>
        <w:right w:val="none" w:sz="0" w:space="0" w:color="auto"/>
      </w:divBdr>
    </w:div>
    <w:div w:id="2123573151">
      <w:bodyDiv w:val="1"/>
      <w:marLeft w:val="0"/>
      <w:marRight w:val="0"/>
      <w:marTop w:val="0"/>
      <w:marBottom w:val="0"/>
      <w:divBdr>
        <w:top w:val="none" w:sz="0" w:space="0" w:color="auto"/>
        <w:left w:val="none" w:sz="0" w:space="0" w:color="auto"/>
        <w:bottom w:val="none" w:sz="0" w:space="0" w:color="auto"/>
        <w:right w:val="none" w:sz="0" w:space="0" w:color="auto"/>
      </w:divBdr>
    </w:div>
    <w:div w:id="21450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pitaliq.com/CIQDotNet/MacroEconomics/InterestRate.aspx?companyId=36183729" TargetMode="External"/><Relationship Id="rId18" Type="http://schemas.openxmlformats.org/officeDocument/2006/relationships/image" Target="media/image9.emf"/><Relationship Id="rId26" Type="http://schemas.openxmlformats.org/officeDocument/2006/relationships/image" Target="media/image15.png"/><Relationship Id="rId39" Type="http://schemas.openxmlformats.org/officeDocument/2006/relationships/hyperlink" Target="https://nationaldcp.com/what-we-do" TargetMode="External"/><Relationship Id="rId21" Type="http://schemas.openxmlformats.org/officeDocument/2006/relationships/image" Target="media/image12.emf"/><Relationship Id="rId34" Type="http://schemas.openxmlformats.org/officeDocument/2006/relationships/hyperlink" Target="https://www.sec.gov/Archives/edgar/data/829224/000082922419000051/sbux-9292019x10xk.htm"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hyperlink" Target="https://investor.dunkinbrands.com/financial-infor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apitaliq.com/CIQDotNet/company.aspx?companyId=20801430" TargetMode="External"/><Relationship Id="rId32" Type="http://schemas.openxmlformats.org/officeDocument/2006/relationships/hyperlink" Target="https://www.rbi.com/SEC-Filings" TargetMode="External"/><Relationship Id="rId37" Type="http://schemas.openxmlformats.org/officeDocument/2006/relationships/hyperlink" Target="https://corporate.mcdonalds.com/corpmcd/investors/financial-information.html" TargetMode="External"/><Relationship Id="rId40" Type="http://schemas.openxmlformats.org/officeDocument/2006/relationships/hyperlink" Target="https://www.capitaliq.com/CIQDotNet/Filings/DocumentRedirector.axd?documentId=114140207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apitaliq.com/CIQDotNet/MacroEconomics/InterestRate.aspx?companyId=36183729" TargetMode="External"/><Relationship Id="rId23" Type="http://schemas.openxmlformats.org/officeDocument/2006/relationships/image" Target="media/image13.emf"/><Relationship Id="rId28" Type="http://schemas.openxmlformats.org/officeDocument/2006/relationships/hyperlink" Target="https://www.capitaliq.com/CIQDotNet/company.aspx?companyId=20801430" TargetMode="External"/><Relationship Id="rId36" Type="http://schemas.openxmlformats.org/officeDocument/2006/relationships/hyperlink" Target="https://corporate.mcdonalds.com/corpmcd/investors/financial-information.html" TargetMode="External"/><Relationship Id="rId10" Type="http://schemas.openxmlformats.org/officeDocument/2006/relationships/hyperlink" Target="https://www.capitaliq.com/CIQDotNet/Financial/CapStructureDetails.aspx?CompanyId=20801430" TargetMode="External"/><Relationship Id="rId19" Type="http://schemas.openxmlformats.org/officeDocument/2006/relationships/image" Target="media/image10.emf"/><Relationship Id="rId31" Type="http://schemas.openxmlformats.org/officeDocument/2006/relationships/hyperlink" Target="https://www.capitaliq.com/ciqdotnet/company.aspx?companyId=24434685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hyperlink" Target="https://www.capitaliq.com/CIQDotNet/company.aspx?companyId=20801430" TargetMode="External"/><Relationship Id="rId27" Type="http://schemas.openxmlformats.org/officeDocument/2006/relationships/hyperlink" Target="https://www.bloomberg.com/profile/company/DNKN:US?sref=2AVQ99EX" TargetMode="External"/><Relationship Id="rId30" Type="http://schemas.openxmlformats.org/officeDocument/2006/relationships/hyperlink" Target="https://www.bloomberg.com/tosv2.html?vid=&amp;uuid=a32664b0-3063-11eb-b049-931941839910&amp;url=L25ld3MvdmlkZW9zLzIwMjAtMDctMzAvZHVua2luLWJyYW5kcy1leHBlY3RzLXRvLWNsb3NlLTgwMC11LXMtc3RvcmVzLXZpZGVvP3NyZWY9MkFWUTk5RVg=" TargetMode="External"/><Relationship Id="rId35" Type="http://schemas.openxmlformats.org/officeDocument/2006/relationships/hyperlink" Target="https://investor.starbucks.com/financial-data/sec-filings/default.aspx" TargetMode="External"/><Relationship Id="rId43" Type="http://schemas.openxmlformats.org/officeDocument/2006/relationships/footer" Target="footer2.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hyperlink" Target="https://www.rbi.com/SEC-Filings" TargetMode="External"/><Relationship Id="rId38" Type="http://schemas.openxmlformats.org/officeDocument/2006/relationships/hyperlink" Target="https://www.irwendys.com/financials/sec-filings/default.aspx" TargetMode="External"/><Relationship Id="rId20" Type="http://schemas.openxmlformats.org/officeDocument/2006/relationships/image" Target="media/image11.emf"/><Relationship Id="rId41" Type="http://schemas.openxmlformats.org/officeDocument/2006/relationships/hyperlink" Target="https://www.capitaliq.com/CIQDotNet/Filings/DocumentRedirector.axd?documentId=90410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19</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Betty（Zihui） Qin</dc:creator>
  <cp:keywords/>
  <dc:description/>
  <cp:lastModifiedBy>Betty（Zihui） Qin</cp:lastModifiedBy>
  <cp:revision>381</cp:revision>
  <dcterms:created xsi:type="dcterms:W3CDTF">2020-11-07T21:14:00Z</dcterms:created>
  <dcterms:modified xsi:type="dcterms:W3CDTF">2020-12-06T17:52:00Z</dcterms:modified>
</cp:coreProperties>
</file>