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TEHLİKELİ MADDE FAALİYET RAPORU</w:t>
      </w:r>
    </w:p>
    <w:p>
      <w:pPr>
        <w:pStyle w:val="Heading1"/>
      </w:pPr>
      <w:r>
        <w:t>1. Firma Bilgileri</w:t>
      </w:r>
    </w:p>
    <w:p>
      <w:r>
        <w:t>Bu rapor ADR Bölüm 1.8.3 kapsamında TMGD tarafından düzenlenmiştir. Değerlendirme dönemi: Ocak–Haziran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 No</w:t>
            </w:r>
          </w:p>
        </w:tc>
        <w:tc>
          <w:tcPr>
            <w:tcW w:type="dxa" w:w="2160"/>
          </w:tcPr>
          <w:p>
            <w:r>
              <w:t>Madde Adı</w:t>
            </w:r>
          </w:p>
        </w:tc>
        <w:tc>
          <w:tcPr>
            <w:tcW w:type="dxa" w:w="2160"/>
          </w:tcPr>
          <w:p>
            <w:r>
              <w:t>Sınıf</w:t>
            </w:r>
          </w:p>
        </w:tc>
        <w:tc>
          <w:tcPr>
            <w:tcW w:type="dxa" w:w="2160"/>
          </w:tcPr>
          <w:p>
            <w:r>
              <w:t>Miktar (kg)</w:t>
            </w:r>
          </w:p>
        </w:tc>
      </w:tr>
      <w:tr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ARGON, SIKIŞTIRILMIŞ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1203</w:t>
            </w:r>
          </w:p>
        </w:tc>
        <w:tc>
          <w:tcPr>
            <w:tcW w:type="dxa" w:w="2160"/>
          </w:tcPr>
          <w:p>
            <w:r>
              <w:t>BENZİN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12.000</w:t>
            </w:r>
          </w:p>
        </w:tc>
      </w:tr>
      <w:tr>
        <w:tc>
          <w:tcPr>
            <w:tcW w:type="dxa" w:w="2160"/>
          </w:tcPr>
          <w:p>
            <w:r>
              <w:t>3082</w:t>
            </w:r>
          </w:p>
        </w:tc>
        <w:tc>
          <w:tcPr>
            <w:tcW w:type="dxa" w:w="2160"/>
          </w:tcPr>
          <w:p>
            <w:r>
              <w:t>ÇEVRE İÇİN TEHLİKELİ MADDE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>
      <w:pPr>
        <w:pStyle w:val="Heading1"/>
      </w:pPr>
      <w:r>
        <w:t>2. Tespitler</w:t>
      </w:r>
    </w:p>
    <w:p>
      <w:pPr>
        <w:pStyle w:val="ListBullet"/>
      </w:pPr>
      <w:r>
        <w:t>Turuncu plakalar okunaklı değil</w:t>
      </w:r>
    </w:p>
    <w:p>
      <w:pPr>
        <w:pStyle w:val="ListBullet"/>
      </w:pPr>
      <w:r>
        <w:t>Yazılı talimat güncellenmeli</w:t>
      </w:r>
    </w:p>
    <w:p>
      <w:pPr>
        <w:pStyle w:val="ListBullet"/>
      </w:pPr>
      <w:r>
        <w:t>Sürücü SRC-5 belgesi geçerli</w:t>
      </w:r>
    </w:p>
    <w:p>
      <w:r>
        <w:t>Sonuç: Firma genel olarak uyumludur; eksiklikler 30 gün içinde giderilmelidir.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