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EEFAC" w14:textId="77777777" w:rsidR="008D2248" w:rsidRDefault="008D2248" w:rsidP="008D2248">
      <w:pPr>
        <w:rPr>
          <w:b/>
          <w:bCs/>
          <w:lang w:val="en-US"/>
        </w:rPr>
      </w:pPr>
      <w:r>
        <w:rPr>
          <w:rFonts w:ascii="Times New Roman" w:hAnsi="Times New Roman"/>
          <w:b/>
          <w:bCs/>
          <w:sz w:val="22"/>
          <w:lang w:val="en-US"/>
        </w:rPr>
        <w:t>Common Grace and the Gospel – Cornelius van Til</w:t>
      </w:r>
    </w:p>
    <w:p w14:paraId="05AD8695" w14:textId="77777777" w:rsidR="008D2248" w:rsidRPr="008D2248" w:rsidRDefault="008D2248" w:rsidP="008D2248">
      <w:pPr>
        <w:rPr>
          <w:b/>
          <w:bCs/>
          <w:lang w:val="en-US"/>
        </w:rPr>
      </w:pPr>
      <w:r w:rsidRPr="008D2248">
        <w:rPr>
          <w:rFonts w:ascii="Times New Roman" w:hAnsi="Times New Roman"/>
          <w:b/>
          <w:bCs/>
          <w:sz w:val="22"/>
        </w:rPr>
        <w:t>Foreword</w:t>
      </w:r>
    </w:p>
    <w:p w14:paraId="6D10C796" w14:textId="6ED54AE6" w:rsidR="008D2248" w:rsidRDefault="008D2248" w:rsidP="008D2248">
      <w:pPr>
        <w:rPr>
          <w:lang w:val="en-US"/>
        </w:rPr>
      </w:pPr>
      <w:r w:rsidRPr="008D2248">
        <w:rPr>
          <w:rFonts w:ascii="Times New Roman" w:hAnsi="Times New Roman"/>
          <w:i/>
          <w:iCs/>
          <w:sz w:val="22"/>
          <w:lang w:val="en-US"/>
        </w:rPr>
        <w:t>Common Grace and the Gospel</w:t>
      </w:r>
      <w:r>
        <w:rPr>
          <w:rFonts w:ascii="Times New Roman" w:hAnsi="Times New Roman"/>
          <w:sz w:val="22"/>
          <w:lang w:val="en-US"/>
        </w:rPr>
        <w:t xml:space="preserve"> contains a collection of essays spanning about twenty-five years. It provides a third way to the common grace problem by avoiding the right (Hoeksema denies common grace) and the left (Kuyper’s common grace is ultimately patterned after natural theology). Three themes are important in Van Til’s revision of common grace: “fearless anthropomorphism,”</w:t>
      </w:r>
      <w:r w:rsidR="004726AF">
        <w:rPr>
          <w:rFonts w:ascii="Times New Roman" w:hAnsi="Times New Roman"/>
          <w:sz w:val="22"/>
          <w:lang w:val="en-US"/>
        </w:rPr>
        <w:t xml:space="preserve"> </w:t>
      </w:r>
      <w:r>
        <w:rPr>
          <w:rFonts w:ascii="Times New Roman" w:hAnsi="Times New Roman"/>
          <w:sz w:val="22"/>
          <w:lang w:val="en-US"/>
        </w:rPr>
        <w:t xml:space="preserve">“concrete thinking,” and “limiting concept.” </w:t>
      </w:r>
      <w:r>
        <w:rPr>
          <w:rFonts w:ascii="Times New Roman" w:hAnsi="Times New Roman"/>
          <w:i/>
          <w:iCs/>
          <w:sz w:val="22"/>
          <w:lang w:val="en-US"/>
        </w:rPr>
        <w:t>Fearless anthropomorphism</w:t>
      </w:r>
      <w:r>
        <w:rPr>
          <w:rFonts w:ascii="Times New Roman" w:hAnsi="Times New Roman"/>
          <w:sz w:val="22"/>
          <w:lang w:val="en-US"/>
        </w:rPr>
        <w:t xml:space="preserve">: we need to be fearlessly anthropomorphic in our speaking of how God’s actions in eternity and history are related. </w:t>
      </w:r>
      <w:r>
        <w:rPr>
          <w:rFonts w:ascii="Times New Roman" w:hAnsi="Times New Roman"/>
          <w:i/>
          <w:iCs/>
          <w:sz w:val="22"/>
          <w:lang w:val="en-US"/>
        </w:rPr>
        <w:t>Concrete thinking</w:t>
      </w:r>
      <w:r>
        <w:rPr>
          <w:rFonts w:ascii="Times New Roman" w:hAnsi="Times New Roman"/>
          <w:sz w:val="22"/>
          <w:lang w:val="en-US"/>
        </w:rPr>
        <w:t xml:space="preserve"> means biblical and historical thinking by taking all factors of revelation seriously rather than </w:t>
      </w:r>
      <w:r>
        <w:rPr>
          <w:rFonts w:ascii="Times New Roman" w:hAnsi="Times New Roman"/>
          <w:i/>
          <w:iCs/>
          <w:sz w:val="22"/>
          <w:lang w:val="en-US"/>
        </w:rPr>
        <w:t>abstract</w:t>
      </w:r>
      <w:r>
        <w:rPr>
          <w:rFonts w:ascii="Times New Roman" w:hAnsi="Times New Roman"/>
          <w:sz w:val="22"/>
          <w:lang w:val="en-US"/>
        </w:rPr>
        <w:t xml:space="preserve"> thinking which serves logic. A </w:t>
      </w:r>
      <w:r>
        <w:rPr>
          <w:rFonts w:ascii="Times New Roman" w:hAnsi="Times New Roman"/>
          <w:i/>
          <w:iCs/>
          <w:sz w:val="22"/>
          <w:lang w:val="en-US"/>
        </w:rPr>
        <w:t>limiting concept</w:t>
      </w:r>
      <w:r>
        <w:rPr>
          <w:rFonts w:ascii="Times New Roman" w:hAnsi="Times New Roman"/>
          <w:sz w:val="22"/>
          <w:lang w:val="en-US"/>
        </w:rPr>
        <w:t xml:space="preserve"> entails both fearless anthropomorphism and concrete thinking and means transcending the standard rules of thought (e.g., syllogisms, </w:t>
      </w:r>
      <w:r>
        <w:rPr>
          <w:rFonts w:ascii="Times New Roman" w:hAnsi="Times New Roman"/>
          <w:sz w:val="22"/>
          <w:lang w:val="en-US"/>
        </w:rPr>
        <w:t xml:space="preserve">the </w:t>
      </w:r>
      <w:r>
        <w:rPr>
          <w:rFonts w:ascii="Times New Roman" w:hAnsi="Times New Roman"/>
          <w:sz w:val="22"/>
          <w:lang w:val="en-US"/>
        </w:rPr>
        <w:t>law of non-contradiction) and let</w:t>
      </w:r>
      <w:r>
        <w:rPr>
          <w:rFonts w:ascii="Times New Roman" w:hAnsi="Times New Roman"/>
          <w:sz w:val="22"/>
          <w:lang w:val="en-US"/>
        </w:rPr>
        <w:t>ting</w:t>
      </w:r>
      <w:r>
        <w:rPr>
          <w:rFonts w:ascii="Times New Roman" w:hAnsi="Times New Roman"/>
          <w:sz w:val="22"/>
          <w:lang w:val="en-US"/>
        </w:rPr>
        <w:t xml:space="preserve"> mysteries (e.g., Trinity, predestination</w:t>
      </w:r>
      <w:r>
        <w:rPr>
          <w:rFonts w:ascii="Times New Roman" w:hAnsi="Times New Roman"/>
          <w:sz w:val="22"/>
          <w:lang w:val="en-US"/>
        </w:rPr>
        <w:t>,</w:t>
      </w:r>
      <w:r>
        <w:rPr>
          <w:rFonts w:ascii="Times New Roman" w:hAnsi="Times New Roman"/>
          <w:sz w:val="22"/>
          <w:lang w:val="en-US"/>
        </w:rPr>
        <w:t xml:space="preserve"> and the free offer of the gospel) be what they are.</w:t>
      </w:r>
    </w:p>
    <w:p w14:paraId="37C5ADF1" w14:textId="77777777" w:rsidR="008D2248" w:rsidRDefault="008D2248" w:rsidP="008D2248">
      <w:pPr>
        <w:rPr>
          <w:b/>
          <w:bCs/>
          <w:lang w:val="en-US"/>
        </w:rPr>
      </w:pPr>
    </w:p>
    <w:p w14:paraId="35AED855" w14:textId="77777777" w:rsidR="008D2248" w:rsidRPr="008D2248" w:rsidRDefault="008D2248" w:rsidP="008D2248">
      <w:pPr>
        <w:rPr>
          <w:b/>
          <w:bCs/>
          <w:lang w:val="en-US"/>
        </w:rPr>
      </w:pPr>
      <w:r w:rsidRPr="008D2248">
        <w:rPr>
          <w:rFonts w:ascii="Times New Roman" w:hAnsi="Times New Roman"/>
          <w:b/>
          <w:bCs/>
          <w:sz w:val="22"/>
          <w:lang w:val="en-US"/>
        </w:rPr>
        <w:t>The Christian Philosophy of History</w:t>
      </w:r>
      <w:r>
        <w:rPr>
          <w:rFonts w:ascii="Times New Roman" w:hAnsi="Times New Roman"/>
          <w:b/>
          <w:bCs/>
          <w:sz w:val="22"/>
          <w:lang w:val="en-US"/>
        </w:rPr>
        <w:t>.</w:t>
      </w:r>
    </w:p>
    <w:p w14:paraId="0FAE104B" w14:textId="77777777" w:rsidR="008D2248" w:rsidRDefault="008D2248" w:rsidP="008D2248">
      <w:pPr>
        <w:rPr>
          <w:lang w:val="en-US"/>
        </w:rPr>
      </w:pPr>
      <w:r>
        <w:rPr>
          <w:rFonts w:ascii="Times New Roman" w:hAnsi="Times New Roman"/>
          <w:sz w:val="22"/>
          <w:lang w:val="en-US"/>
        </w:rPr>
        <w:t xml:space="preserve">A philosophy of history deals with facts under the aspect of change and the problem of the one-and-the-many (many facts, one pattern). According to Van Til, there is a difference between the believer and the unbeliever both regarding the facts and their interpretation. </w:t>
      </w:r>
      <w:proofErr w:type="spellStart"/>
      <w:r>
        <w:rPr>
          <w:rFonts w:ascii="Times New Roman" w:hAnsi="Times New Roman"/>
          <w:sz w:val="22"/>
          <w:lang w:val="en-US"/>
        </w:rPr>
        <w:t>Epistemelogically</w:t>
      </w:r>
      <w:proofErr w:type="spellEnd"/>
      <w:r>
        <w:rPr>
          <w:rFonts w:ascii="Times New Roman" w:hAnsi="Times New Roman"/>
          <w:sz w:val="22"/>
          <w:lang w:val="en-US"/>
        </w:rPr>
        <w:t>, for the unbeliever facts are brute facts governed by impersonal law waiting to be interpreted by autonomously reasoning man. For the believer, facts and laws are what they are because they are God-controlled. They are to be interpreted by a God-controlled man. Only by holding to the presupposition of the self-contained ontological trinity (who both one and many in himself) is intelligibility of facts possible. That presupposing something incomprehensible (Ontological Trinity) is required to be saved from the really contradictory (unintelligibility) might seem paradoxical to some. However, it is a limiting concept because due to the creator-creature distinction full exhaustion of reality is impossible for man.</w:t>
      </w:r>
    </w:p>
    <w:p w14:paraId="23B3D7CD" w14:textId="77777777" w:rsidR="008D2248" w:rsidRDefault="008D2248" w:rsidP="008D2248">
      <w:pPr>
        <w:rPr>
          <w:lang w:val="en-US"/>
        </w:rPr>
      </w:pPr>
    </w:p>
    <w:p w14:paraId="456AA30C" w14:textId="77777777" w:rsidR="008D2248" w:rsidRPr="008D2248" w:rsidRDefault="008D2248" w:rsidP="008D2248">
      <w:pPr>
        <w:rPr>
          <w:b/>
          <w:bCs/>
          <w:lang w:val="en-US"/>
        </w:rPr>
      </w:pPr>
      <w:r w:rsidRPr="008D2248">
        <w:rPr>
          <w:rFonts w:ascii="Times New Roman" w:hAnsi="Times New Roman"/>
          <w:b/>
          <w:bCs/>
          <w:sz w:val="22"/>
          <w:lang w:val="en-US"/>
        </w:rPr>
        <w:t>Abraham Kuyper’s Doctrine of Common Grace</w:t>
      </w:r>
      <w:r>
        <w:rPr>
          <w:rFonts w:ascii="Times New Roman" w:hAnsi="Times New Roman"/>
          <w:b/>
          <w:bCs/>
          <w:sz w:val="22"/>
          <w:lang w:val="en-US"/>
        </w:rPr>
        <w:t>.</w:t>
      </w:r>
    </w:p>
    <w:p w14:paraId="26FDD974" w14:textId="77777777" w:rsidR="008D2248" w:rsidRDefault="008D2248" w:rsidP="008D2248">
      <w:pPr>
        <w:rPr>
          <w:lang w:val="en-US"/>
        </w:rPr>
      </w:pPr>
      <w:r>
        <w:rPr>
          <w:rFonts w:ascii="Times New Roman" w:hAnsi="Times New Roman"/>
          <w:sz w:val="22"/>
          <w:lang w:val="en-US"/>
        </w:rPr>
        <w:t xml:space="preserve">Herman Bavinck maintained the absolute character of Christianity (against Pelagianism) and appreciated everything good and beautiful that God has given to sinful man (against Pietism). Abraham Kuyper’s was ambiguous on common grace in his </w:t>
      </w:r>
      <w:r>
        <w:rPr>
          <w:rFonts w:ascii="Times New Roman" w:hAnsi="Times New Roman"/>
          <w:i/>
          <w:iCs/>
          <w:sz w:val="22"/>
          <w:lang w:val="en-US"/>
        </w:rPr>
        <w:t xml:space="preserve">De </w:t>
      </w:r>
      <w:proofErr w:type="spellStart"/>
      <w:r>
        <w:rPr>
          <w:rFonts w:ascii="Times New Roman" w:hAnsi="Times New Roman"/>
          <w:i/>
          <w:iCs/>
          <w:sz w:val="22"/>
          <w:lang w:val="en-US"/>
        </w:rPr>
        <w:t>Gemeene</w:t>
      </w:r>
      <w:proofErr w:type="spellEnd"/>
      <w:r>
        <w:rPr>
          <w:rFonts w:ascii="Times New Roman" w:hAnsi="Times New Roman"/>
          <w:i/>
          <w:iCs/>
          <w:sz w:val="22"/>
          <w:lang w:val="en-US"/>
        </w:rPr>
        <w:t xml:space="preserve"> </w:t>
      </w:r>
      <w:proofErr w:type="spellStart"/>
      <w:r>
        <w:rPr>
          <w:rFonts w:ascii="Times New Roman" w:hAnsi="Times New Roman"/>
          <w:i/>
          <w:iCs/>
          <w:sz w:val="22"/>
          <w:lang w:val="en-US"/>
        </w:rPr>
        <w:t>Gratie</w:t>
      </w:r>
      <w:proofErr w:type="spellEnd"/>
      <w:r>
        <w:rPr>
          <w:rFonts w:ascii="Times New Roman" w:hAnsi="Times New Roman"/>
          <w:i/>
          <w:iCs/>
          <w:sz w:val="22"/>
          <w:lang w:val="en-US"/>
        </w:rPr>
        <w:t xml:space="preserve"> (The Common Grace)</w:t>
      </w:r>
      <w:r>
        <w:rPr>
          <w:rFonts w:ascii="Times New Roman" w:hAnsi="Times New Roman"/>
          <w:sz w:val="22"/>
          <w:lang w:val="en-US"/>
        </w:rPr>
        <w:t>. In the first volume he described its constant aspect as a restraint, an omnipresent operation of divine mercy by which the covenant-breaker’s disintegration was kept in check. It did not change man’s ethical hostility but only tamed it. In the second volume Kuyper stressed the progressive aspects of common grace as making human life and the life of the world pass through a process and develop itself more fully and richly. Man had a place in this operation as an instrument and a co-laborer (</w:t>
      </w:r>
      <w:proofErr w:type="spellStart"/>
      <w:r>
        <w:rPr>
          <w:rFonts w:ascii="Times New Roman" w:hAnsi="Times New Roman"/>
          <w:i/>
          <w:iCs/>
          <w:sz w:val="22"/>
          <w:lang w:val="en-US"/>
        </w:rPr>
        <w:t>Nebenzweck</w:t>
      </w:r>
      <w:proofErr w:type="spellEnd"/>
      <w:r>
        <w:rPr>
          <w:rFonts w:ascii="Times New Roman" w:hAnsi="Times New Roman"/>
          <w:sz w:val="22"/>
          <w:lang w:val="en-US"/>
        </w:rPr>
        <w:t>). Kuyper’s contention was defended by the Church’s Synod in 1924 by affirming (1) God’s favor to mankind in general, (2) the restraint of sin in the individual and society, and (3) ‘civic righteousness’ by the regenerate.</w:t>
      </w:r>
    </w:p>
    <w:p w14:paraId="738C05AA" w14:textId="77777777" w:rsidR="008D2248" w:rsidRDefault="008D2248" w:rsidP="008D2248">
      <w:pPr>
        <w:rPr>
          <w:lang w:val="en-US"/>
        </w:rPr>
      </w:pPr>
    </w:p>
    <w:p w14:paraId="5DC23262" w14:textId="77777777" w:rsidR="008D2248" w:rsidRPr="008D2248" w:rsidRDefault="008D2248" w:rsidP="008D2248">
      <w:pPr>
        <w:rPr>
          <w:b/>
          <w:bCs/>
          <w:lang w:val="en-US"/>
        </w:rPr>
      </w:pPr>
      <w:r w:rsidRPr="008D2248">
        <w:rPr>
          <w:rFonts w:ascii="Times New Roman" w:hAnsi="Times New Roman"/>
          <w:b/>
          <w:bCs/>
          <w:sz w:val="22"/>
          <w:lang w:val="en-US"/>
        </w:rPr>
        <w:t>Common Grace in Debate</w:t>
      </w:r>
      <w:r>
        <w:rPr>
          <w:rFonts w:ascii="Times New Roman" w:hAnsi="Times New Roman"/>
          <w:b/>
          <w:bCs/>
          <w:sz w:val="22"/>
          <w:lang w:val="en-US"/>
        </w:rPr>
        <w:t>.</w:t>
      </w:r>
    </w:p>
    <w:p w14:paraId="7E13BB88" w14:textId="77777777" w:rsidR="008D2248" w:rsidRPr="008D2248" w:rsidRDefault="008D2248" w:rsidP="008D2248">
      <w:pPr>
        <w:rPr>
          <w:lang w:val="en-US"/>
        </w:rPr>
      </w:pPr>
      <w:r>
        <w:rPr>
          <w:rFonts w:ascii="Times New Roman" w:hAnsi="Times New Roman"/>
          <w:b/>
          <w:bCs/>
          <w:sz w:val="22"/>
          <w:lang w:val="en-US"/>
        </w:rPr>
        <w:t xml:space="preserve">I. </w:t>
      </w:r>
      <w:r w:rsidRPr="008D2248">
        <w:rPr>
          <w:rFonts w:ascii="Times New Roman" w:hAnsi="Times New Roman"/>
          <w:b/>
          <w:bCs/>
          <w:sz w:val="22"/>
          <w:lang w:val="en-US"/>
        </w:rPr>
        <w:t>Recent Developments</w:t>
      </w:r>
      <w:r>
        <w:rPr>
          <w:rFonts w:ascii="Times New Roman" w:hAnsi="Times New Roman"/>
          <w:b/>
          <w:bCs/>
          <w:sz w:val="22"/>
          <w:lang w:val="en-US"/>
        </w:rPr>
        <w:t xml:space="preserve">. </w:t>
      </w:r>
      <w:r>
        <w:rPr>
          <w:rFonts w:ascii="Times New Roman" w:hAnsi="Times New Roman"/>
          <w:sz w:val="22"/>
          <w:lang w:val="en-US"/>
        </w:rPr>
        <w:t>Van Til lists three parties that are struggling with common grace: (1) Kuyper-Bavinck sympath</w:t>
      </w:r>
      <w:r>
        <w:rPr>
          <w:rFonts w:ascii="Times New Roman" w:hAnsi="Times New Roman"/>
          <w:sz w:val="22"/>
          <w:lang w:val="en-US"/>
        </w:rPr>
        <w:t>izers</w:t>
      </w:r>
      <w:r>
        <w:rPr>
          <w:rFonts w:ascii="Times New Roman" w:hAnsi="Times New Roman"/>
          <w:sz w:val="22"/>
          <w:lang w:val="en-US"/>
        </w:rPr>
        <w:t xml:space="preserve"> (Hepp), (2) those who deny common grace (Hoeksema), and (3) those who reconstructed common grace (</w:t>
      </w:r>
      <w:proofErr w:type="spellStart"/>
      <w:r>
        <w:rPr>
          <w:rFonts w:ascii="Times New Roman" w:hAnsi="Times New Roman"/>
          <w:sz w:val="22"/>
          <w:lang w:val="en-US"/>
        </w:rPr>
        <w:t>Schilder</w:t>
      </w:r>
      <w:proofErr w:type="spellEnd"/>
      <w:r>
        <w:rPr>
          <w:rFonts w:ascii="Times New Roman" w:hAnsi="Times New Roman"/>
          <w:sz w:val="22"/>
          <w:lang w:val="en-US"/>
        </w:rPr>
        <w:t xml:space="preserve">). </w:t>
      </w:r>
      <w:proofErr w:type="spellStart"/>
      <w:r>
        <w:rPr>
          <w:rFonts w:ascii="Times New Roman" w:hAnsi="Times New Roman"/>
          <w:sz w:val="22"/>
          <w:lang w:val="en-US"/>
        </w:rPr>
        <w:t>Schilder</w:t>
      </w:r>
      <w:proofErr w:type="spellEnd"/>
      <w:r>
        <w:rPr>
          <w:rFonts w:ascii="Times New Roman" w:hAnsi="Times New Roman"/>
          <w:sz w:val="22"/>
          <w:lang w:val="en-US"/>
        </w:rPr>
        <w:t xml:space="preserve"> emphasized that culture was based on the cultural mandate rather than on common grace or anything </w:t>
      </w:r>
      <w:r>
        <w:rPr>
          <w:rFonts w:ascii="Times New Roman" w:hAnsi="Times New Roman"/>
          <w:i/>
          <w:iCs/>
          <w:sz w:val="22"/>
          <w:lang w:val="en-US"/>
        </w:rPr>
        <w:t>in common</w:t>
      </w:r>
      <w:r>
        <w:rPr>
          <w:rFonts w:ascii="Times New Roman" w:hAnsi="Times New Roman"/>
          <w:sz w:val="22"/>
          <w:lang w:val="en-US"/>
        </w:rPr>
        <w:t xml:space="preserve"> with the </w:t>
      </w:r>
      <w:r>
        <w:rPr>
          <w:rFonts w:ascii="Times New Roman" w:hAnsi="Times New Roman"/>
          <w:sz w:val="22"/>
          <w:lang w:val="en-US"/>
        </w:rPr>
        <w:lastRenderedPageBreak/>
        <w:t xml:space="preserve">unbeliever. </w:t>
      </w:r>
      <w:commentRangeStart w:id="0"/>
      <w:r>
        <w:rPr>
          <w:rFonts w:ascii="Times New Roman" w:hAnsi="Times New Roman"/>
          <w:sz w:val="22"/>
          <w:lang w:val="en-US"/>
        </w:rPr>
        <w:t xml:space="preserve">For him, common grace is always connected to the common curse. Hoeksema rejects common grace because it would lead to determinism. </w:t>
      </w:r>
      <w:commentRangeEnd w:id="0"/>
      <w:r>
        <w:rPr>
          <w:rStyle w:val="CommentReference"/>
          <w:rFonts w:ascii="Times New Roman" w:hAnsi="Times New Roman"/>
          <w:sz w:val="22"/>
        </w:rPr>
        <w:commentReference w:id="0"/>
      </w:r>
      <w:r>
        <w:rPr>
          <w:rFonts w:ascii="Times New Roman" w:hAnsi="Times New Roman"/>
          <w:sz w:val="22"/>
          <w:lang w:val="en-US"/>
        </w:rPr>
        <w:t>Van Til affirms against these thinkers that common grace must be qualified by the state of the process of differentiation that genuinely appreciates history. Therefore, before the consummation of history, the elect are also objects of God’s displeasure</w:t>
      </w:r>
      <w:r>
        <w:rPr>
          <w:rFonts w:ascii="Times New Roman" w:hAnsi="Times New Roman"/>
          <w:sz w:val="22"/>
          <w:lang w:val="en-US"/>
        </w:rPr>
        <w:t>,</w:t>
      </w:r>
      <w:r>
        <w:rPr>
          <w:rFonts w:ascii="Times New Roman" w:hAnsi="Times New Roman"/>
          <w:sz w:val="22"/>
          <w:lang w:val="en-US"/>
        </w:rPr>
        <w:t xml:space="preserve"> and the non-elect are objects of his favor.</w:t>
      </w:r>
    </w:p>
    <w:p w14:paraId="560E39C1" w14:textId="77777777" w:rsidR="008D2248" w:rsidRDefault="008D2248" w:rsidP="008D2248">
      <w:pPr>
        <w:rPr>
          <w:b/>
          <w:bCs/>
          <w:lang w:val="en-US"/>
        </w:rPr>
      </w:pPr>
      <w:r>
        <w:rPr>
          <w:rFonts w:ascii="Times New Roman" w:hAnsi="Times New Roman"/>
          <w:b/>
          <w:bCs/>
          <w:sz w:val="22"/>
          <w:lang w:val="en-US"/>
        </w:rPr>
        <w:t xml:space="preserve">II. </w:t>
      </w:r>
      <w:r w:rsidRPr="008D2248">
        <w:rPr>
          <w:rFonts w:ascii="Times New Roman" w:hAnsi="Times New Roman"/>
          <w:b/>
          <w:bCs/>
          <w:sz w:val="22"/>
          <w:lang w:val="en-US"/>
        </w:rPr>
        <w:t>Some Suggestions for the Future</w:t>
      </w:r>
      <w:r>
        <w:rPr>
          <w:rFonts w:ascii="Times New Roman" w:hAnsi="Times New Roman"/>
          <w:b/>
          <w:bCs/>
          <w:sz w:val="22"/>
          <w:lang w:val="en-US"/>
        </w:rPr>
        <w:t xml:space="preserve">. </w:t>
      </w:r>
    </w:p>
    <w:p w14:paraId="7ACA89C9" w14:textId="77777777" w:rsidR="008D2248" w:rsidRDefault="008D2248" w:rsidP="008D2248">
      <w:pPr>
        <w:rPr>
          <w:lang w:val="en-US"/>
        </w:rPr>
      </w:pPr>
      <w:r>
        <w:rPr>
          <w:rFonts w:ascii="Times New Roman" w:hAnsi="Times New Roman"/>
          <w:b/>
          <w:bCs/>
          <w:sz w:val="22"/>
          <w:lang w:val="en-US"/>
        </w:rPr>
        <w:t xml:space="preserve">A. </w:t>
      </w:r>
      <w:r w:rsidRPr="008D2248">
        <w:rPr>
          <w:rFonts w:ascii="Times New Roman" w:hAnsi="Times New Roman"/>
          <w:b/>
          <w:bCs/>
          <w:sz w:val="22"/>
          <w:lang w:val="en-US"/>
        </w:rPr>
        <w:t>The Danger of Abstract Thinking</w:t>
      </w:r>
      <w:r w:rsidRPr="008D2248">
        <w:rPr>
          <w:rFonts w:ascii="Times New Roman" w:hAnsi="Times New Roman"/>
          <w:b/>
          <w:bCs/>
          <w:sz w:val="22"/>
          <w:lang w:val="en-US"/>
        </w:rPr>
        <w:t>.</w:t>
      </w:r>
      <w:r>
        <w:rPr>
          <w:rFonts w:ascii="Times New Roman" w:hAnsi="Times New Roman"/>
          <w:i/>
          <w:iCs/>
          <w:sz w:val="22"/>
          <w:lang w:val="en-US"/>
        </w:rPr>
        <w:t xml:space="preserve"> </w:t>
      </w:r>
      <w:r>
        <w:rPr>
          <w:rFonts w:ascii="Times New Roman" w:hAnsi="Times New Roman"/>
          <w:sz w:val="22"/>
          <w:lang w:val="en-US"/>
        </w:rPr>
        <w:t>According to Van Til, Kuyper, Bavinck, and Hepp all have remnants of an abstract way of thinking in their epistemologies.</w:t>
      </w:r>
      <w:r>
        <w:rPr>
          <w:rFonts w:ascii="Times New Roman" w:hAnsi="Times New Roman"/>
          <w:sz w:val="22"/>
          <w:lang w:val="en-US"/>
        </w:rPr>
        <w:t xml:space="preserve"> </w:t>
      </w:r>
      <w:r w:rsidRPr="008D2248">
        <w:rPr>
          <w:rFonts w:ascii="Times New Roman" w:hAnsi="Times New Roman"/>
          <w:b/>
          <w:bCs/>
          <w:sz w:val="22"/>
          <w:u w:val="single"/>
          <w:lang w:val="en-US"/>
        </w:rPr>
        <w:t>Kuyper</w:t>
      </w:r>
      <w:r w:rsidRPr="008D2248">
        <w:rPr>
          <w:rFonts w:ascii="Times New Roman" w:hAnsi="Times New Roman"/>
          <w:b/>
          <w:bCs/>
          <w:sz w:val="22"/>
          <w:u w:val="single"/>
          <w:lang w:val="en-US"/>
        </w:rPr>
        <w:t>.</w:t>
      </w:r>
      <w:r w:rsidRPr="008D2248">
        <w:rPr>
          <w:rFonts w:ascii="Times New Roman" w:hAnsi="Times New Roman"/>
          <w:sz w:val="22"/>
          <w:lang w:val="en-US"/>
        </w:rPr>
        <w:t xml:space="preserve"> </w:t>
      </w:r>
      <w:r>
        <w:rPr>
          <w:rFonts w:ascii="Times New Roman" w:hAnsi="Times New Roman"/>
          <w:sz w:val="22"/>
          <w:lang w:val="en-US"/>
        </w:rPr>
        <w:t xml:space="preserve">Kuyper </w:t>
      </w:r>
      <w:r>
        <w:rPr>
          <w:rFonts w:ascii="Times New Roman" w:hAnsi="Times New Roman"/>
          <w:sz w:val="22"/>
          <w:lang w:val="en-US"/>
        </w:rPr>
        <w:t>opposed</w:t>
      </w:r>
      <w:r>
        <w:rPr>
          <w:rFonts w:ascii="Times New Roman" w:hAnsi="Times New Roman"/>
          <w:sz w:val="22"/>
          <w:lang w:val="en-US"/>
        </w:rPr>
        <w:t xml:space="preserve"> neutral thinking and stated that the </w:t>
      </w:r>
      <w:r>
        <w:rPr>
          <w:rFonts w:ascii="Times New Roman" w:hAnsi="Times New Roman"/>
          <w:i/>
          <w:iCs/>
          <w:sz w:val="22"/>
          <w:lang w:val="en-US"/>
        </w:rPr>
        <w:t>attitude of the heart</w:t>
      </w:r>
      <w:r>
        <w:rPr>
          <w:rFonts w:ascii="Times New Roman" w:hAnsi="Times New Roman"/>
          <w:sz w:val="22"/>
          <w:lang w:val="en-US"/>
        </w:rPr>
        <w:t xml:space="preserve"> was involved in true scientific interpretation. Yet he seems to separate the world of perception (facts/particulars) from the world of ratiocination (laws/universals). The </w:t>
      </w:r>
      <w:r>
        <w:rPr>
          <w:rFonts w:ascii="Times New Roman" w:hAnsi="Times New Roman"/>
          <w:i/>
          <w:iCs/>
          <w:sz w:val="22"/>
          <w:lang w:val="en-US"/>
        </w:rPr>
        <w:t>passive intellect</w:t>
      </w:r>
      <w:r>
        <w:rPr>
          <w:rFonts w:ascii="Times New Roman" w:hAnsi="Times New Roman"/>
          <w:sz w:val="22"/>
          <w:lang w:val="en-US"/>
        </w:rPr>
        <w:t xml:space="preserve"> receives facts from </w:t>
      </w:r>
      <w:r>
        <w:rPr>
          <w:rFonts w:ascii="Times New Roman" w:hAnsi="Times New Roman"/>
          <w:sz w:val="22"/>
          <w:lang w:val="en-US"/>
        </w:rPr>
        <w:t xml:space="preserve">the </w:t>
      </w:r>
      <w:r>
        <w:rPr>
          <w:rFonts w:ascii="Times New Roman" w:hAnsi="Times New Roman"/>
          <w:sz w:val="22"/>
          <w:lang w:val="en-US"/>
        </w:rPr>
        <w:t>latter</w:t>
      </w:r>
      <w:r>
        <w:rPr>
          <w:rFonts w:ascii="Times New Roman" w:hAnsi="Times New Roman"/>
          <w:sz w:val="22"/>
          <w:lang w:val="en-US"/>
        </w:rPr>
        <w:t>,</w:t>
      </w:r>
      <w:r>
        <w:rPr>
          <w:rFonts w:ascii="Times New Roman" w:hAnsi="Times New Roman"/>
          <w:sz w:val="22"/>
          <w:lang w:val="en-US"/>
        </w:rPr>
        <w:t xml:space="preserve"> while the </w:t>
      </w:r>
      <w:r>
        <w:rPr>
          <w:rFonts w:ascii="Times New Roman" w:hAnsi="Times New Roman"/>
          <w:i/>
          <w:iCs/>
          <w:sz w:val="22"/>
          <w:lang w:val="en-US"/>
        </w:rPr>
        <w:t>active intellect</w:t>
      </w:r>
      <w:r>
        <w:rPr>
          <w:rFonts w:ascii="Times New Roman" w:hAnsi="Times New Roman"/>
          <w:sz w:val="22"/>
          <w:lang w:val="en-US"/>
        </w:rPr>
        <w:t xml:space="preserve"> transforms them </w:t>
      </w:r>
      <w:r>
        <w:rPr>
          <w:rFonts w:ascii="Times New Roman" w:hAnsi="Times New Roman"/>
          <w:sz w:val="22"/>
          <w:lang w:val="en-US"/>
        </w:rPr>
        <w:t xml:space="preserve">into </w:t>
      </w:r>
      <w:r>
        <w:rPr>
          <w:rFonts w:ascii="Times New Roman" w:hAnsi="Times New Roman"/>
          <w:sz w:val="22"/>
          <w:lang w:val="en-US"/>
        </w:rPr>
        <w:t xml:space="preserve">knowledge. Van Til describes this as Platonic/Kantian. Kuyper does bring in an </w:t>
      </w:r>
      <w:r>
        <w:rPr>
          <w:rFonts w:ascii="Times New Roman" w:hAnsi="Times New Roman"/>
          <w:i/>
          <w:iCs/>
          <w:sz w:val="22"/>
          <w:lang w:val="en-US"/>
        </w:rPr>
        <w:t xml:space="preserve">Original Subject </w:t>
      </w:r>
      <w:r>
        <w:rPr>
          <w:rFonts w:ascii="Times New Roman" w:hAnsi="Times New Roman"/>
          <w:sz w:val="22"/>
          <w:lang w:val="en-US"/>
        </w:rPr>
        <w:t>(God) who brought the universals in</w:t>
      </w:r>
      <w:r>
        <w:rPr>
          <w:rFonts w:ascii="Times New Roman" w:hAnsi="Times New Roman"/>
          <w:sz w:val="22"/>
          <w:lang w:val="en-US"/>
        </w:rPr>
        <w:t>to</w:t>
      </w:r>
      <w:r>
        <w:rPr>
          <w:rFonts w:ascii="Times New Roman" w:hAnsi="Times New Roman"/>
          <w:sz w:val="22"/>
          <w:lang w:val="en-US"/>
        </w:rPr>
        <w:t xml:space="preserve"> being</w:t>
      </w:r>
      <w:r>
        <w:rPr>
          <w:rFonts w:ascii="Times New Roman" w:hAnsi="Times New Roman"/>
          <w:sz w:val="22"/>
          <w:lang w:val="en-US"/>
        </w:rPr>
        <w:t>,</w:t>
      </w:r>
      <w:r>
        <w:rPr>
          <w:rFonts w:ascii="Times New Roman" w:hAnsi="Times New Roman"/>
          <w:sz w:val="22"/>
          <w:lang w:val="en-US"/>
        </w:rPr>
        <w:t xml:space="preserve"> and we are to think his thoughts after him. While this must be affirmed, argues Van Til, we need to drop the Platonic/Kantian procedure. The distinction between the perception and the ratiocination must be a </w:t>
      </w:r>
      <w:r>
        <w:rPr>
          <w:rFonts w:ascii="Times New Roman" w:hAnsi="Times New Roman"/>
          <w:i/>
          <w:iCs/>
          <w:sz w:val="22"/>
          <w:lang w:val="en-US"/>
        </w:rPr>
        <w:t>limiting concept</w:t>
      </w:r>
      <w:r>
        <w:rPr>
          <w:rFonts w:ascii="Times New Roman" w:hAnsi="Times New Roman"/>
          <w:sz w:val="22"/>
          <w:lang w:val="en-US"/>
        </w:rPr>
        <w:t xml:space="preserve"> that affirms temporal creation and God-interpretation of the universals.</w:t>
      </w:r>
      <w:r>
        <w:rPr>
          <w:rFonts w:ascii="Times New Roman" w:hAnsi="Times New Roman"/>
          <w:sz w:val="22"/>
          <w:lang w:val="en-US"/>
        </w:rPr>
        <w:t xml:space="preserve"> </w:t>
      </w:r>
      <w:r w:rsidRPr="008D2248">
        <w:rPr>
          <w:rFonts w:ascii="Times New Roman" w:hAnsi="Times New Roman"/>
          <w:b/>
          <w:bCs/>
          <w:sz w:val="22"/>
          <w:u w:val="single"/>
          <w:lang w:val="en-US"/>
        </w:rPr>
        <w:t>Bavinck</w:t>
      </w:r>
      <w:r w:rsidRPr="008D2248">
        <w:rPr>
          <w:rFonts w:ascii="Times New Roman" w:hAnsi="Times New Roman"/>
          <w:b/>
          <w:bCs/>
          <w:sz w:val="22"/>
          <w:u w:val="single"/>
          <w:lang w:val="en-US"/>
        </w:rPr>
        <w:t>.</w:t>
      </w:r>
      <w:r>
        <w:rPr>
          <w:rFonts w:ascii="Times New Roman" w:hAnsi="Times New Roman"/>
          <w:sz w:val="22"/>
          <w:u w:val="single"/>
          <w:lang w:val="en-US"/>
        </w:rPr>
        <w:t xml:space="preserve"> </w:t>
      </w:r>
      <w:r>
        <w:rPr>
          <w:rFonts w:ascii="Times New Roman" w:hAnsi="Times New Roman"/>
          <w:sz w:val="22"/>
          <w:lang w:val="en-US"/>
        </w:rPr>
        <w:t xml:space="preserve">According to Van Til, Bavinck </w:t>
      </w:r>
      <w:r>
        <w:rPr>
          <w:rFonts w:ascii="Times New Roman" w:hAnsi="Times New Roman"/>
          <w:sz w:val="22"/>
          <w:lang w:val="en-US"/>
        </w:rPr>
        <w:t>advocated</w:t>
      </w:r>
      <w:r>
        <w:rPr>
          <w:rFonts w:ascii="Times New Roman" w:hAnsi="Times New Roman"/>
          <w:sz w:val="22"/>
          <w:lang w:val="en-US"/>
        </w:rPr>
        <w:t xml:space="preserve"> a form of </w:t>
      </w:r>
      <w:r>
        <w:rPr>
          <w:rFonts w:ascii="Times New Roman" w:hAnsi="Times New Roman"/>
          <w:i/>
          <w:iCs/>
          <w:sz w:val="22"/>
          <w:lang w:val="en-US"/>
        </w:rPr>
        <w:t>moderate realism</w:t>
      </w:r>
      <w:r>
        <w:rPr>
          <w:rFonts w:ascii="Times New Roman" w:hAnsi="Times New Roman"/>
          <w:sz w:val="22"/>
          <w:lang w:val="en-US"/>
        </w:rPr>
        <w:t xml:space="preserve"> </w:t>
      </w:r>
      <w:r>
        <w:rPr>
          <w:rFonts w:ascii="Times New Roman" w:hAnsi="Times New Roman"/>
          <w:sz w:val="22"/>
          <w:lang w:val="en-US"/>
        </w:rPr>
        <w:t>that</w:t>
      </w:r>
      <w:r>
        <w:rPr>
          <w:rFonts w:ascii="Times New Roman" w:hAnsi="Times New Roman"/>
          <w:sz w:val="22"/>
          <w:lang w:val="en-US"/>
        </w:rPr>
        <w:t xml:space="preserve"> combine</w:t>
      </w:r>
      <w:r>
        <w:rPr>
          <w:rFonts w:ascii="Times New Roman" w:hAnsi="Times New Roman"/>
          <w:sz w:val="22"/>
          <w:lang w:val="en-US"/>
        </w:rPr>
        <w:t>d</w:t>
      </w:r>
      <w:r>
        <w:rPr>
          <w:rFonts w:ascii="Times New Roman" w:hAnsi="Times New Roman"/>
          <w:sz w:val="22"/>
          <w:lang w:val="en-US"/>
        </w:rPr>
        <w:t xml:space="preserve"> the good elements of rationalism and empiricism. Ultimately, according to Van Til, in doing so</w:t>
      </w:r>
      <w:r>
        <w:rPr>
          <w:rFonts w:ascii="Times New Roman" w:hAnsi="Times New Roman"/>
          <w:sz w:val="22"/>
          <w:lang w:val="en-US"/>
        </w:rPr>
        <w:t>,</w:t>
      </w:r>
      <w:r>
        <w:rPr>
          <w:rFonts w:ascii="Times New Roman" w:hAnsi="Times New Roman"/>
          <w:sz w:val="22"/>
          <w:lang w:val="en-US"/>
        </w:rPr>
        <w:t xml:space="preserve"> the “abstract principles of rationalism are not made concrete</w:t>
      </w:r>
      <w:r>
        <w:rPr>
          <w:rFonts w:ascii="Times New Roman" w:hAnsi="Times New Roman"/>
          <w:sz w:val="22"/>
          <w:lang w:val="en-US"/>
        </w:rPr>
        <w:t>,</w:t>
      </w:r>
      <w:r>
        <w:rPr>
          <w:rFonts w:ascii="Times New Roman" w:hAnsi="Times New Roman"/>
          <w:sz w:val="22"/>
          <w:lang w:val="en-US"/>
        </w:rPr>
        <w:t>” and the “brute facts of empiricism are not made accessible” (57). Rather, the Christian notion of mystery (cf. limiting concept) rest</w:t>
      </w:r>
      <w:r>
        <w:rPr>
          <w:rFonts w:ascii="Times New Roman" w:hAnsi="Times New Roman"/>
          <w:sz w:val="22"/>
          <w:lang w:val="en-US"/>
        </w:rPr>
        <w:t>s</w:t>
      </w:r>
      <w:r>
        <w:rPr>
          <w:rFonts w:ascii="Times New Roman" w:hAnsi="Times New Roman"/>
          <w:sz w:val="22"/>
          <w:lang w:val="en-US"/>
        </w:rPr>
        <w:t xml:space="preserve"> on “the presupposition of the existence of the self-contained trinity of God, who dwells in light that no man can approach unto.” Bavincks treatment of the so-called “proofs” shows that he did not do away fully with autonomous reason as he “virtually admits that the ideal of science is abstract universal validity, which every rational creature should be able and willing to accept” (61). Bavinck fails to distinguish between the psychological and the epistemological. </w:t>
      </w:r>
      <w:r w:rsidRPr="008D2248">
        <w:rPr>
          <w:rFonts w:ascii="Times New Roman" w:hAnsi="Times New Roman"/>
          <w:b/>
          <w:bCs/>
          <w:sz w:val="22"/>
          <w:u w:val="single"/>
          <w:lang w:val="en-US"/>
        </w:rPr>
        <w:t>Hepp</w:t>
      </w:r>
      <w:r>
        <w:rPr>
          <w:rFonts w:ascii="Times New Roman" w:hAnsi="Times New Roman"/>
          <w:b/>
          <w:bCs/>
          <w:sz w:val="22"/>
          <w:u w:val="single"/>
          <w:lang w:val="en-US"/>
        </w:rPr>
        <w:t xml:space="preserve">. </w:t>
      </w:r>
      <w:proofErr w:type="spellStart"/>
      <w:r>
        <w:rPr>
          <w:rFonts w:ascii="Times New Roman" w:hAnsi="Times New Roman"/>
          <w:sz w:val="22"/>
          <w:lang w:val="en-US"/>
        </w:rPr>
        <w:t>Accordin</w:t>
      </w:r>
      <w:proofErr w:type="spellEnd"/>
      <w:r>
        <w:rPr>
          <w:rFonts w:ascii="Times New Roman" w:hAnsi="Times New Roman"/>
          <w:sz w:val="22"/>
          <w:lang w:val="en-US"/>
        </w:rPr>
        <w:t xml:space="preserve"> to Hepp, as the special testimony of the Spirit testifies the truth of Scripture to us, so does the general testimony of the Spirit (</w:t>
      </w:r>
      <w:r>
        <w:rPr>
          <w:rFonts w:ascii="Times New Roman" w:hAnsi="Times New Roman"/>
          <w:i/>
          <w:iCs/>
          <w:sz w:val="22"/>
          <w:lang w:val="en-US"/>
        </w:rPr>
        <w:t xml:space="preserve">testimonium Spiritus Sancti </w:t>
      </w:r>
      <w:proofErr w:type="spellStart"/>
      <w:r>
        <w:rPr>
          <w:rFonts w:ascii="Times New Roman" w:hAnsi="Times New Roman"/>
          <w:i/>
          <w:iCs/>
          <w:sz w:val="22"/>
          <w:lang w:val="en-US"/>
        </w:rPr>
        <w:t>externum</w:t>
      </w:r>
      <w:proofErr w:type="spellEnd"/>
      <w:r>
        <w:rPr>
          <w:rFonts w:ascii="Times New Roman" w:hAnsi="Times New Roman"/>
          <w:sz w:val="22"/>
          <w:lang w:val="en-US"/>
        </w:rPr>
        <w:t>) testify within us to truth in general. Yet, Hepp has two methods of reasoning: on based on neutral premises and one based on Christian premises. For Hepp, the “proofs” have some validity and conclude that God “probably exists.” That is to say</w:t>
      </w:r>
      <w:r>
        <w:rPr>
          <w:rFonts w:ascii="Times New Roman" w:hAnsi="Times New Roman"/>
          <w:sz w:val="22"/>
          <w:lang w:val="en-US"/>
        </w:rPr>
        <w:t xml:space="preserve"> that</w:t>
      </w:r>
      <w:r>
        <w:rPr>
          <w:rFonts w:ascii="Times New Roman" w:hAnsi="Times New Roman"/>
          <w:sz w:val="22"/>
          <w:lang w:val="en-US"/>
        </w:rPr>
        <w:t xml:space="preserve"> he does not exist at all</w:t>
      </w:r>
      <w:r>
        <w:rPr>
          <w:rFonts w:ascii="Times New Roman" w:hAnsi="Times New Roman"/>
          <w:sz w:val="22"/>
          <w:lang w:val="en-US"/>
        </w:rPr>
        <w:t>, according to Van Til</w:t>
      </w:r>
      <w:r>
        <w:rPr>
          <w:rFonts w:ascii="Times New Roman" w:hAnsi="Times New Roman"/>
          <w:sz w:val="22"/>
          <w:lang w:val="en-US"/>
        </w:rPr>
        <w:t>. In contrast, Van Til argues that when the objective (the perspicuous truth of the proofs) hits the subjective</w:t>
      </w:r>
      <w:r>
        <w:rPr>
          <w:rFonts w:ascii="Times New Roman" w:hAnsi="Times New Roman"/>
          <w:sz w:val="22"/>
          <w:lang w:val="en-US"/>
        </w:rPr>
        <w:t>,</w:t>
      </w:r>
      <w:r>
        <w:rPr>
          <w:rFonts w:ascii="Times New Roman" w:hAnsi="Times New Roman"/>
          <w:sz w:val="22"/>
          <w:lang w:val="en-US"/>
        </w:rPr>
        <w:t xml:space="preserve"> he suppresses it in unbelief.</w:t>
      </w:r>
      <w:r>
        <w:rPr>
          <w:rFonts w:ascii="Times New Roman" w:hAnsi="Times New Roman"/>
          <w:sz w:val="22"/>
          <w:lang w:val="en-US"/>
        </w:rPr>
        <w:t xml:space="preserve"> </w:t>
      </w:r>
    </w:p>
    <w:p w14:paraId="4714DAB5" w14:textId="77777777" w:rsidR="008D2248" w:rsidRPr="008D2248" w:rsidRDefault="008D2248" w:rsidP="008D2248">
      <w:pPr>
        <w:rPr>
          <w:b/>
          <w:bCs/>
          <w:lang w:val="en-US"/>
        </w:rPr>
      </w:pPr>
      <w:r>
        <w:rPr>
          <w:rFonts w:ascii="Times New Roman" w:hAnsi="Times New Roman"/>
          <w:b/>
          <w:bCs/>
          <w:sz w:val="22"/>
          <w:lang w:val="en-US"/>
        </w:rPr>
        <w:t xml:space="preserve">B. </w:t>
      </w:r>
      <w:r w:rsidRPr="008D2248">
        <w:rPr>
          <w:rFonts w:ascii="Times New Roman" w:hAnsi="Times New Roman"/>
          <w:b/>
          <w:bCs/>
          <w:sz w:val="22"/>
          <w:lang w:val="en-US"/>
        </w:rPr>
        <w:t>Positive Line of Concrete Thinking</w:t>
      </w:r>
      <w:r>
        <w:rPr>
          <w:rFonts w:ascii="Times New Roman" w:hAnsi="Times New Roman"/>
          <w:b/>
          <w:bCs/>
          <w:sz w:val="22"/>
          <w:lang w:val="en-US"/>
        </w:rPr>
        <w:t>.</w:t>
      </w:r>
    </w:p>
    <w:p w14:paraId="061720CF" w14:textId="77777777" w:rsidR="008D2248" w:rsidRDefault="008D2248" w:rsidP="008D2248">
      <w:pPr>
        <w:rPr>
          <w:lang w:val="en-US"/>
        </w:rPr>
      </w:pPr>
      <w:r>
        <w:rPr>
          <w:rFonts w:ascii="Times New Roman" w:hAnsi="Times New Roman"/>
          <w:sz w:val="22"/>
          <w:lang w:val="en-US"/>
        </w:rPr>
        <w:t>Particulars and universals are what they are because of their common dependence on the ontological trinity. The facts are correlative to the universals, and therefore, there is genuine process in history. According to Calvin, man’s sin is the proximate cause and God’s counsel is the ultimate cause of man’s final perdition. This cannot be grasped by syllogisms (</w:t>
      </w:r>
      <w:proofErr w:type="spellStart"/>
      <w:r>
        <w:rPr>
          <w:rFonts w:ascii="Times New Roman" w:hAnsi="Times New Roman"/>
          <w:sz w:val="22"/>
          <w:lang w:val="en-US"/>
        </w:rPr>
        <w:t>Phigius</w:t>
      </w:r>
      <w:proofErr w:type="spellEnd"/>
      <w:r>
        <w:rPr>
          <w:rFonts w:ascii="Times New Roman" w:hAnsi="Times New Roman"/>
          <w:sz w:val="22"/>
          <w:lang w:val="en-US"/>
        </w:rPr>
        <w:t xml:space="preserve">) but only as a </w:t>
      </w:r>
      <w:r>
        <w:rPr>
          <w:rFonts w:ascii="Times New Roman" w:hAnsi="Times New Roman"/>
          <w:i/>
          <w:iCs/>
          <w:sz w:val="22"/>
          <w:lang w:val="en-US"/>
        </w:rPr>
        <w:t>limiting concept</w:t>
      </w:r>
      <w:r>
        <w:rPr>
          <w:rFonts w:ascii="Times New Roman" w:hAnsi="Times New Roman"/>
          <w:sz w:val="22"/>
          <w:lang w:val="en-US"/>
        </w:rPr>
        <w:t xml:space="preserve"> by </w:t>
      </w:r>
      <w:r w:rsidRPr="00561ED1">
        <w:rPr>
          <w:rFonts w:ascii="Times New Roman" w:hAnsi="Times New Roman"/>
          <w:i/>
          <w:iCs/>
          <w:sz w:val="22"/>
          <w:lang w:val="en-US"/>
        </w:rPr>
        <w:t>thinking concretely</w:t>
      </w:r>
      <w:r>
        <w:rPr>
          <w:rFonts w:ascii="Times New Roman" w:hAnsi="Times New Roman"/>
          <w:sz w:val="22"/>
          <w:lang w:val="en-US"/>
        </w:rPr>
        <w:t xml:space="preserve">, that is, biblically and in </w:t>
      </w:r>
      <w:r w:rsidRPr="00561ED1">
        <w:rPr>
          <w:rFonts w:ascii="Times New Roman" w:hAnsi="Times New Roman"/>
          <w:i/>
          <w:iCs/>
          <w:sz w:val="22"/>
          <w:lang w:val="en-US"/>
        </w:rPr>
        <w:t>history</w:t>
      </w:r>
      <w:r>
        <w:rPr>
          <w:rFonts w:ascii="Times New Roman" w:hAnsi="Times New Roman"/>
          <w:i/>
          <w:iCs/>
          <w:sz w:val="22"/>
          <w:lang w:val="en-US"/>
        </w:rPr>
        <w:t xml:space="preserve"> </w:t>
      </w:r>
      <w:r>
        <w:rPr>
          <w:rFonts w:ascii="Times New Roman" w:hAnsi="Times New Roman"/>
          <w:sz w:val="22"/>
          <w:lang w:val="en-US"/>
        </w:rPr>
        <w:t xml:space="preserve">starting with the ontological trinity as interpretive concept. Because God has determined everything, secondary causes have genuine meaning. History has genuine meaning because God controls whatsoever comes to pass. In history – before the full differentiation – God shows both favor and displeasure to both the elect and the reprobate. God increases his attitude of wrath upon the reprobate as time goes on and vice versa with the elect. The fact that the unbeliever is capable of civil righteousness is due to this rather than because there exist, in some lower dimension, some neutral territory. </w:t>
      </w:r>
    </w:p>
    <w:p w14:paraId="40524A84" w14:textId="77777777" w:rsidR="008D2248" w:rsidRDefault="008D2248" w:rsidP="008D2248">
      <w:pPr>
        <w:rPr>
          <w:lang w:val="en-US"/>
        </w:rPr>
      </w:pPr>
    </w:p>
    <w:p w14:paraId="30016EF7" w14:textId="77777777" w:rsidR="008D2248" w:rsidRDefault="008D2248" w:rsidP="008D2248">
      <w:pPr>
        <w:rPr>
          <w:b/>
          <w:bCs/>
          <w:lang w:val="en-US"/>
        </w:rPr>
      </w:pPr>
      <w:r w:rsidRPr="008D2248">
        <w:rPr>
          <w:rFonts w:ascii="Times New Roman" w:hAnsi="Times New Roman"/>
          <w:b/>
          <w:bCs/>
          <w:sz w:val="22"/>
          <w:lang w:val="en-US"/>
        </w:rPr>
        <w:lastRenderedPageBreak/>
        <w:t>Particularism and Common Grace</w:t>
      </w:r>
      <w:r>
        <w:rPr>
          <w:rFonts w:ascii="Times New Roman" w:hAnsi="Times New Roman"/>
          <w:b/>
          <w:bCs/>
          <w:sz w:val="22"/>
          <w:lang w:val="en-US"/>
        </w:rPr>
        <w:t xml:space="preserve">. </w:t>
      </w:r>
    </w:p>
    <w:p w14:paraId="420AB85F" w14:textId="77777777" w:rsidR="008D2248" w:rsidRDefault="008D2248" w:rsidP="008D2248">
      <w:pPr>
        <w:rPr>
          <w:lang w:val="en-US"/>
        </w:rPr>
      </w:pPr>
      <w:r>
        <w:rPr>
          <w:rFonts w:ascii="Times New Roman" w:hAnsi="Times New Roman"/>
          <w:sz w:val="22"/>
          <w:lang w:val="en-US"/>
        </w:rPr>
        <w:t xml:space="preserve">Van Til maintains both the sovereignty of God and the particularism of the gospel. God approached </w:t>
      </w:r>
      <w:r w:rsidRPr="00A73CA8">
        <w:rPr>
          <w:rFonts w:ascii="Times New Roman" w:hAnsi="Times New Roman"/>
          <w:i/>
          <w:iCs/>
          <w:sz w:val="22"/>
          <w:lang w:val="en-US"/>
        </w:rPr>
        <w:t>all men</w:t>
      </w:r>
      <w:r>
        <w:rPr>
          <w:rFonts w:ascii="Times New Roman" w:hAnsi="Times New Roman"/>
          <w:sz w:val="22"/>
          <w:lang w:val="en-US"/>
        </w:rPr>
        <w:t xml:space="preserve"> with his cultural mandate through </w:t>
      </w:r>
      <w:r w:rsidRPr="00A73CA8">
        <w:rPr>
          <w:rFonts w:ascii="Times New Roman" w:hAnsi="Times New Roman"/>
          <w:i/>
          <w:iCs/>
          <w:sz w:val="22"/>
          <w:lang w:val="en-US"/>
        </w:rPr>
        <w:t>one man</w:t>
      </w:r>
      <w:r>
        <w:rPr>
          <w:rFonts w:ascii="Times New Roman" w:hAnsi="Times New Roman"/>
          <w:sz w:val="22"/>
          <w:lang w:val="en-US"/>
        </w:rPr>
        <w:t xml:space="preserve"> (Adam). Common objections raised against the commonness (task, curse) and particularism (elect/reprobate) are that it is determinism or denies free will and the genuine meaning of history. Van Til brings several Christian Theologians into conversation with each other. Aquinas, advocating some degree of human autonomy denies God’s sovereignty and makes all grace common grace. Schleiermacher, Barth, and Ritschl advocate universalism because everything is in Christ</w:t>
      </w:r>
      <w:r>
        <w:rPr>
          <w:rFonts w:ascii="Times New Roman" w:hAnsi="Times New Roman"/>
          <w:sz w:val="22"/>
          <w:lang w:val="en-US"/>
        </w:rPr>
        <w:t>,</w:t>
      </w:r>
      <w:r>
        <w:rPr>
          <w:rFonts w:ascii="Times New Roman" w:hAnsi="Times New Roman"/>
          <w:sz w:val="22"/>
          <w:lang w:val="en-US"/>
        </w:rPr>
        <w:t xml:space="preserve"> and that which is in Christ cannot be rejected. The Lutheran and the Arminian essentially believe in a “finite God [who] does the best He can to save men” who “has to limit Himself when He creates man with a full will of his own” (143-144). Only the Calvinist is able to hold on to both the sovereignty of God and the particularism of the gospel.</w:t>
      </w:r>
    </w:p>
    <w:p w14:paraId="304FE8A8" w14:textId="77777777" w:rsidR="008D2248" w:rsidRPr="00A73CA8" w:rsidRDefault="008D2248" w:rsidP="008D2248">
      <w:pPr>
        <w:rPr>
          <w:lang w:val="en-US"/>
        </w:rPr>
      </w:pPr>
    </w:p>
    <w:p w14:paraId="049D4E33" w14:textId="77777777" w:rsidR="008D2248" w:rsidRDefault="008D2248" w:rsidP="008D2248">
      <w:pPr>
        <w:rPr>
          <w:b/>
          <w:bCs/>
          <w:lang w:val="en-US"/>
        </w:rPr>
      </w:pPr>
      <w:r w:rsidRPr="008D2248">
        <w:rPr>
          <w:rFonts w:ascii="Times New Roman" w:hAnsi="Times New Roman"/>
          <w:b/>
          <w:bCs/>
          <w:sz w:val="22"/>
          <w:lang w:val="en-US"/>
        </w:rPr>
        <w:t>Common Grace and Witness-Bearing</w:t>
      </w:r>
      <w:r>
        <w:rPr>
          <w:rFonts w:ascii="Times New Roman" w:hAnsi="Times New Roman"/>
          <w:b/>
          <w:bCs/>
          <w:sz w:val="22"/>
          <w:lang w:val="en-US"/>
        </w:rPr>
        <w:t xml:space="preserve">. </w:t>
      </w:r>
    </w:p>
    <w:p w14:paraId="21CDB3DA" w14:textId="77777777" w:rsidR="008D2248" w:rsidRPr="000B21C0" w:rsidRDefault="008D2248" w:rsidP="008D2248">
      <w:pPr>
        <w:rPr>
          <w:lang w:val="en-US"/>
        </w:rPr>
      </w:pPr>
      <w:r>
        <w:rPr>
          <w:rFonts w:ascii="Times New Roman" w:hAnsi="Times New Roman"/>
          <w:sz w:val="22"/>
          <w:lang w:val="en-US"/>
        </w:rPr>
        <w:t xml:space="preserve">The elect </w:t>
      </w:r>
      <w:proofErr w:type="gramStart"/>
      <w:r>
        <w:rPr>
          <w:rFonts w:ascii="Times New Roman" w:hAnsi="Times New Roman"/>
          <w:sz w:val="22"/>
          <w:lang w:val="en-US"/>
        </w:rPr>
        <w:t>are</w:t>
      </w:r>
      <w:proofErr w:type="gramEnd"/>
      <w:r>
        <w:rPr>
          <w:rFonts w:ascii="Times New Roman" w:hAnsi="Times New Roman"/>
          <w:sz w:val="22"/>
          <w:lang w:val="en-US"/>
        </w:rPr>
        <w:t xml:space="preserve"> “formed” by God for the purpose of witnessing to the unbeliever. The unbeliever challenges our witness by questioning apparent contradictions in the Christian message: (1) between God’s universal call and the perdition of the non-elect, (2) the fact that all men know and do not know God at the same time, (3) the law that is written and at the same time unwritten on the hearts of man, (4) the proximate and the ultimate cause of election, (5) infra- and supralapsarianism. The elect must reply humbly and know their place: “Who art thou that </w:t>
      </w:r>
      <w:proofErr w:type="spellStart"/>
      <w:r>
        <w:rPr>
          <w:rFonts w:ascii="Times New Roman" w:hAnsi="Times New Roman"/>
          <w:sz w:val="22"/>
          <w:lang w:val="en-US"/>
        </w:rPr>
        <w:t>repliest</w:t>
      </w:r>
      <w:proofErr w:type="spellEnd"/>
      <w:r>
        <w:rPr>
          <w:rFonts w:ascii="Times New Roman" w:hAnsi="Times New Roman"/>
          <w:sz w:val="22"/>
          <w:lang w:val="en-US"/>
        </w:rPr>
        <w:t xml:space="preserve"> against God?” </w:t>
      </w:r>
    </w:p>
    <w:p w14:paraId="6B7963F2" w14:textId="77777777" w:rsidR="008D2248" w:rsidRDefault="008D2248" w:rsidP="008D2248">
      <w:pPr>
        <w:rPr>
          <w:lang w:val="en-US"/>
        </w:rPr>
      </w:pPr>
    </w:p>
    <w:p w14:paraId="2AFC2C22" w14:textId="77777777" w:rsidR="008D2248" w:rsidRPr="008D2248" w:rsidRDefault="008D2248" w:rsidP="008D2248">
      <w:pPr>
        <w:rPr>
          <w:b/>
          <w:bCs/>
          <w:lang w:val="en-US"/>
        </w:rPr>
      </w:pPr>
      <w:r w:rsidRPr="008D2248">
        <w:rPr>
          <w:rFonts w:ascii="Times New Roman" w:hAnsi="Times New Roman"/>
          <w:b/>
          <w:bCs/>
          <w:sz w:val="22"/>
          <w:lang w:val="en-US"/>
        </w:rPr>
        <w:t>A Letter on Common Grace</w:t>
      </w:r>
      <w:r>
        <w:rPr>
          <w:rFonts w:ascii="Times New Roman" w:hAnsi="Times New Roman"/>
          <w:b/>
          <w:bCs/>
          <w:sz w:val="22"/>
          <w:lang w:val="en-US"/>
        </w:rPr>
        <w:t>.</w:t>
      </w:r>
    </w:p>
    <w:p w14:paraId="2735D983" w14:textId="77777777" w:rsidR="008D2248" w:rsidRPr="00A75DF7" w:rsidRDefault="008D2248" w:rsidP="008D2248">
      <w:pPr>
        <w:rPr>
          <w:lang w:val="en-US"/>
        </w:rPr>
      </w:pPr>
      <w:r>
        <w:rPr>
          <w:rFonts w:ascii="Times New Roman" w:hAnsi="Times New Roman"/>
          <w:sz w:val="22"/>
          <w:lang w:val="en-US"/>
        </w:rPr>
        <w:t xml:space="preserve">In </w:t>
      </w:r>
      <w:r>
        <w:rPr>
          <w:rFonts w:ascii="Times New Roman" w:hAnsi="Times New Roman"/>
          <w:i/>
          <w:iCs/>
          <w:sz w:val="22"/>
          <w:lang w:val="en-US"/>
        </w:rPr>
        <w:t>A Letter on Common Grace</w:t>
      </w:r>
      <w:r>
        <w:rPr>
          <w:rFonts w:ascii="Times New Roman" w:hAnsi="Times New Roman"/>
          <w:sz w:val="22"/>
          <w:lang w:val="en-US"/>
        </w:rPr>
        <w:t xml:space="preserve"> Van Til discusses </w:t>
      </w:r>
      <w:proofErr w:type="spellStart"/>
      <w:r>
        <w:rPr>
          <w:rFonts w:ascii="Times New Roman" w:hAnsi="Times New Roman"/>
          <w:sz w:val="22"/>
          <w:lang w:val="en-US"/>
        </w:rPr>
        <w:t>Masselink’s</w:t>
      </w:r>
      <w:proofErr w:type="spellEnd"/>
      <w:r>
        <w:rPr>
          <w:rFonts w:ascii="Times New Roman" w:hAnsi="Times New Roman"/>
          <w:sz w:val="22"/>
          <w:lang w:val="en-US"/>
        </w:rPr>
        <w:t xml:space="preserve"> critique of his views on common grace. </w:t>
      </w:r>
      <w:proofErr w:type="spellStart"/>
      <w:r>
        <w:rPr>
          <w:rFonts w:ascii="Times New Roman" w:hAnsi="Times New Roman"/>
          <w:sz w:val="22"/>
          <w:lang w:val="en-US"/>
        </w:rPr>
        <w:t>Masselink</w:t>
      </w:r>
      <w:proofErr w:type="spellEnd"/>
      <w:r>
        <w:rPr>
          <w:rFonts w:ascii="Times New Roman" w:hAnsi="Times New Roman"/>
          <w:sz w:val="22"/>
          <w:lang w:val="en-US"/>
        </w:rPr>
        <w:t xml:space="preserve"> argues that Van Til claims that Christians ascribe to God what modern science ascribes to man (fact interpreting). The difference, however, is that God </w:t>
      </w:r>
      <w:r>
        <w:rPr>
          <w:rFonts w:ascii="Times New Roman" w:hAnsi="Times New Roman"/>
          <w:i/>
          <w:iCs/>
          <w:sz w:val="22"/>
          <w:lang w:val="en-US"/>
        </w:rPr>
        <w:t>produces</w:t>
      </w:r>
      <w:r>
        <w:rPr>
          <w:rFonts w:ascii="Times New Roman" w:hAnsi="Times New Roman"/>
          <w:sz w:val="22"/>
          <w:lang w:val="en-US"/>
        </w:rPr>
        <w:t xml:space="preserve"> facts whereas man needs material to do so. </w:t>
      </w:r>
      <w:proofErr w:type="spellStart"/>
      <w:r>
        <w:rPr>
          <w:rFonts w:ascii="Times New Roman" w:hAnsi="Times New Roman"/>
          <w:sz w:val="22"/>
          <w:lang w:val="en-US"/>
        </w:rPr>
        <w:t>Masselink</w:t>
      </w:r>
      <w:proofErr w:type="spellEnd"/>
      <w:r>
        <w:rPr>
          <w:rFonts w:ascii="Times New Roman" w:hAnsi="Times New Roman"/>
          <w:sz w:val="22"/>
          <w:lang w:val="en-US"/>
        </w:rPr>
        <w:t xml:space="preserve"> further accuses Van Til of characterizing Reformed thinkers as Greek philosophers but Van Til claims that he never discredited their </w:t>
      </w:r>
      <w:proofErr w:type="spellStart"/>
      <w:r>
        <w:rPr>
          <w:rFonts w:ascii="Times New Roman" w:hAnsi="Times New Roman"/>
          <w:sz w:val="22"/>
          <w:lang w:val="en-US"/>
        </w:rPr>
        <w:t>Reformedness</w:t>
      </w:r>
      <w:proofErr w:type="spellEnd"/>
      <w:r>
        <w:rPr>
          <w:rFonts w:ascii="Times New Roman" w:hAnsi="Times New Roman"/>
          <w:sz w:val="22"/>
          <w:lang w:val="en-US"/>
        </w:rPr>
        <w:t xml:space="preserve"> and only criticized subdivisions of their theology. Further, he contends that in Van Til’s view, the natural man has no knowledge of either God or morality, whereas Van Til argues that these are indeed not the result of common grace but rather their presupposition. </w:t>
      </w:r>
      <w:proofErr w:type="spellStart"/>
      <w:r>
        <w:rPr>
          <w:rFonts w:ascii="Times New Roman" w:hAnsi="Times New Roman"/>
          <w:sz w:val="22"/>
          <w:lang w:val="en-US"/>
        </w:rPr>
        <w:t>Masselink</w:t>
      </w:r>
      <w:proofErr w:type="spellEnd"/>
      <w:r>
        <w:rPr>
          <w:rFonts w:ascii="Times New Roman" w:hAnsi="Times New Roman"/>
          <w:sz w:val="22"/>
          <w:lang w:val="en-US"/>
        </w:rPr>
        <w:t xml:space="preserve"> criticizes Van Til’s starting point, the </w:t>
      </w:r>
      <w:r>
        <w:rPr>
          <w:rFonts w:ascii="Times New Roman" w:hAnsi="Times New Roman"/>
          <w:i/>
          <w:iCs/>
          <w:sz w:val="22"/>
          <w:lang w:val="en-US"/>
        </w:rPr>
        <w:t>absolute ethical antithesis</w:t>
      </w:r>
      <w:r>
        <w:rPr>
          <w:rFonts w:ascii="Times New Roman" w:hAnsi="Times New Roman"/>
          <w:sz w:val="22"/>
          <w:lang w:val="en-US"/>
        </w:rPr>
        <w:t xml:space="preserve">, and finds especially problem with the word “absolute.” If the antithesis would be </w:t>
      </w:r>
      <w:r w:rsidRPr="00A75DF7">
        <w:rPr>
          <w:rFonts w:ascii="Times New Roman" w:hAnsi="Times New Roman"/>
          <w:i/>
          <w:iCs/>
          <w:sz w:val="22"/>
          <w:lang w:val="en-US"/>
        </w:rPr>
        <w:t>absolute</w:t>
      </w:r>
      <w:r>
        <w:rPr>
          <w:rFonts w:ascii="Times New Roman" w:hAnsi="Times New Roman"/>
          <w:sz w:val="22"/>
          <w:lang w:val="en-US"/>
        </w:rPr>
        <w:t xml:space="preserve"> then man would be as bad as he can be, which is the devil, says </w:t>
      </w:r>
      <w:proofErr w:type="spellStart"/>
      <w:r>
        <w:rPr>
          <w:rFonts w:ascii="Times New Roman" w:hAnsi="Times New Roman"/>
          <w:sz w:val="22"/>
          <w:lang w:val="en-US"/>
        </w:rPr>
        <w:t>Masselink</w:t>
      </w:r>
      <w:proofErr w:type="spellEnd"/>
      <w:r>
        <w:rPr>
          <w:rFonts w:ascii="Times New Roman" w:hAnsi="Times New Roman"/>
          <w:sz w:val="22"/>
          <w:lang w:val="en-US"/>
        </w:rPr>
        <w:t xml:space="preserve">. Van Til objects that it is clear that he simply meant ‘total’, in the sense of total depravity, by ‘absolute.’ Due to the restraining aspect of common grace, the ethical antithesis is never fully consistent. </w:t>
      </w:r>
      <w:proofErr w:type="spellStart"/>
      <w:r>
        <w:rPr>
          <w:rFonts w:ascii="Times New Roman" w:hAnsi="Times New Roman"/>
          <w:sz w:val="22"/>
          <w:lang w:val="en-US"/>
        </w:rPr>
        <w:t>Masselink</w:t>
      </w:r>
      <w:proofErr w:type="spellEnd"/>
      <w:r>
        <w:rPr>
          <w:rFonts w:ascii="Times New Roman" w:hAnsi="Times New Roman"/>
          <w:sz w:val="22"/>
          <w:lang w:val="en-US"/>
        </w:rPr>
        <w:t xml:space="preserve"> rejects theistic proofs because they would make certainty rest on the created object (creation) or the created subject (conscience). Van Til argues that there is no lack of certainty in revelation </w:t>
      </w:r>
      <w:r>
        <w:rPr>
          <w:rFonts w:ascii="Times New Roman" w:hAnsi="Times New Roman"/>
          <w:i/>
          <w:iCs/>
          <w:sz w:val="22"/>
          <w:lang w:val="en-US"/>
        </w:rPr>
        <w:t>but only in the ethical response</w:t>
      </w:r>
      <w:r>
        <w:rPr>
          <w:rFonts w:ascii="Times New Roman" w:hAnsi="Times New Roman"/>
          <w:sz w:val="22"/>
          <w:lang w:val="en-US"/>
        </w:rPr>
        <w:t xml:space="preserve">. </w:t>
      </w:r>
    </w:p>
    <w:p w14:paraId="57E6432A" w14:textId="77777777" w:rsidR="008D2248" w:rsidRDefault="008D2248" w:rsidP="008D2248">
      <w:pPr>
        <w:rPr>
          <w:lang w:val="en-US"/>
        </w:rPr>
      </w:pPr>
    </w:p>
    <w:p w14:paraId="37AB9486" w14:textId="77777777" w:rsidR="008D2248" w:rsidRPr="008D2248" w:rsidRDefault="008D2248" w:rsidP="008D2248">
      <w:pPr>
        <w:rPr>
          <w:b/>
          <w:bCs/>
          <w:lang w:val="en-US"/>
        </w:rPr>
      </w:pPr>
      <w:r w:rsidRPr="008D2248">
        <w:rPr>
          <w:rFonts w:ascii="Times New Roman" w:hAnsi="Times New Roman"/>
          <w:b/>
          <w:bCs/>
          <w:sz w:val="22"/>
          <w:lang w:val="en-US"/>
        </w:rPr>
        <w:t>A Reply to Criticism</w:t>
      </w:r>
      <w:r>
        <w:rPr>
          <w:rFonts w:ascii="Times New Roman" w:hAnsi="Times New Roman"/>
          <w:b/>
          <w:bCs/>
          <w:sz w:val="22"/>
          <w:lang w:val="en-US"/>
        </w:rPr>
        <w:t>.</w:t>
      </w:r>
    </w:p>
    <w:p w14:paraId="4C6DB298" w14:textId="77777777" w:rsidR="008D2248" w:rsidRPr="002A3967" w:rsidRDefault="008D2248" w:rsidP="008D2248">
      <w:pPr>
        <w:rPr>
          <w:lang w:val="en-US"/>
        </w:rPr>
      </w:pPr>
      <w:proofErr w:type="spellStart"/>
      <w:r>
        <w:rPr>
          <w:rFonts w:ascii="Times New Roman" w:hAnsi="Times New Roman"/>
          <w:sz w:val="22"/>
          <w:lang w:val="en-US"/>
        </w:rPr>
        <w:t>Masselink</w:t>
      </w:r>
      <w:proofErr w:type="spellEnd"/>
      <w:r>
        <w:rPr>
          <w:rFonts w:ascii="Times New Roman" w:hAnsi="Times New Roman"/>
          <w:sz w:val="22"/>
          <w:lang w:val="en-US"/>
        </w:rPr>
        <w:t xml:space="preserve"> does not distinguish between the ethical and the metaphysical. Van Til: The image of God is never lost in man, not even in the final destination of the reprobate: “They must have this image in order to be aware of their lost condition” (228). The metaphysical aspect of man </w:t>
      </w:r>
      <w:r w:rsidRPr="00A75DF7">
        <w:rPr>
          <w:rFonts w:ascii="Times New Roman" w:hAnsi="Times New Roman"/>
          <w:i/>
          <w:iCs/>
          <w:sz w:val="22"/>
          <w:lang w:val="en-US"/>
        </w:rPr>
        <w:t>could not</w:t>
      </w:r>
      <w:r>
        <w:rPr>
          <w:rFonts w:ascii="Times New Roman" w:hAnsi="Times New Roman"/>
          <w:sz w:val="22"/>
          <w:lang w:val="en-US"/>
        </w:rPr>
        <w:t xml:space="preserve"> be affected by sin as sin cannot destroy God’s work. It only tries to and is thus ethical. Kuyper distinguishes between the image of God in the narrower (true knowledge, righteousness, and holiness) and in the wider sense (reason, understanding, knowledge, </w:t>
      </w:r>
      <w:r>
        <w:rPr>
          <w:rFonts w:ascii="Times New Roman" w:hAnsi="Times New Roman"/>
          <w:sz w:val="22"/>
          <w:lang w:val="en-US"/>
        </w:rPr>
        <w:lastRenderedPageBreak/>
        <w:t>intellect – rational-moral being). Through common grace, some remnants of the image are preserved in both the wider and the narrower sense. “</w:t>
      </w:r>
      <w:r w:rsidRPr="002A3967">
        <w:rPr>
          <w:rFonts w:ascii="Times New Roman" w:hAnsi="Times New Roman"/>
          <w:sz w:val="22"/>
          <w:lang w:val="en-US"/>
        </w:rPr>
        <w:t xml:space="preserve">In the former case common grace is required to save the metaphysical situation intact. </w:t>
      </w:r>
      <w:proofErr w:type="gramStart"/>
      <w:r w:rsidRPr="002A3967">
        <w:rPr>
          <w:rFonts w:ascii="Times New Roman" w:hAnsi="Times New Roman"/>
          <w:sz w:val="22"/>
          <w:lang w:val="en-US"/>
        </w:rPr>
        <w:t>Thus</w:t>
      </w:r>
      <w:proofErr w:type="gramEnd"/>
      <w:r w:rsidRPr="002A3967">
        <w:rPr>
          <w:rFonts w:ascii="Times New Roman" w:hAnsi="Times New Roman"/>
          <w:sz w:val="22"/>
          <w:lang w:val="en-US"/>
        </w:rPr>
        <w:t xml:space="preserve"> we are virtually back with the Romanist concept of the </w:t>
      </w:r>
      <w:r w:rsidRPr="002A3967">
        <w:rPr>
          <w:rFonts w:ascii="Times New Roman" w:hAnsi="Times New Roman"/>
          <w:i/>
          <w:iCs/>
          <w:sz w:val="22"/>
          <w:lang w:val="en-US"/>
        </w:rPr>
        <w:t xml:space="preserve">donum </w:t>
      </w:r>
      <w:proofErr w:type="spellStart"/>
      <w:r w:rsidRPr="002A3967">
        <w:rPr>
          <w:rFonts w:ascii="Times New Roman" w:hAnsi="Times New Roman"/>
          <w:i/>
          <w:iCs/>
          <w:sz w:val="22"/>
          <w:lang w:val="en-US"/>
        </w:rPr>
        <w:t>superadditum</w:t>
      </w:r>
      <w:proofErr w:type="spellEnd"/>
      <w:r w:rsidRPr="002A3967">
        <w:rPr>
          <w:rFonts w:ascii="Times New Roman" w:hAnsi="Times New Roman"/>
          <w:sz w:val="22"/>
          <w:lang w:val="en-US"/>
        </w:rPr>
        <w:t>. In the latter case common grace seems to be a means of toning down the doctrine of total depravity. The “remnants” of the image of God in the natural man then appear to be little specks of true knowledge, true righteousness, and true holiness. The difference between the believer and the unbeliever then becomes one of degree</w:t>
      </w:r>
      <w:r>
        <w:rPr>
          <w:rFonts w:ascii="Times New Roman" w:hAnsi="Times New Roman"/>
          <w:sz w:val="22"/>
          <w:lang w:val="en-US"/>
        </w:rPr>
        <w:t>” (234-235)</w:t>
      </w:r>
      <w:r w:rsidRPr="002A3967">
        <w:rPr>
          <w:rFonts w:ascii="Times New Roman" w:hAnsi="Times New Roman"/>
          <w:sz w:val="22"/>
          <w:lang w:val="en-US"/>
        </w:rPr>
        <w:t>.</w:t>
      </w:r>
      <w:r>
        <w:rPr>
          <w:rFonts w:ascii="Times New Roman" w:hAnsi="Times New Roman"/>
          <w:sz w:val="22"/>
          <w:lang w:val="en-US"/>
        </w:rPr>
        <w:t xml:space="preserve"> Van Til concludes that a strict separation between the two senses (metaphysical and ethical) leads to real contradictions. Rather, the wider and the narrower sense are </w:t>
      </w:r>
      <w:r>
        <w:rPr>
          <w:rFonts w:ascii="Times New Roman" w:hAnsi="Times New Roman"/>
          <w:i/>
          <w:iCs/>
          <w:sz w:val="22"/>
          <w:lang w:val="en-US"/>
        </w:rPr>
        <w:t>correlative</w:t>
      </w:r>
      <w:r>
        <w:rPr>
          <w:rFonts w:ascii="Times New Roman" w:hAnsi="Times New Roman"/>
          <w:sz w:val="22"/>
          <w:lang w:val="en-US"/>
        </w:rPr>
        <w:t>.</w:t>
      </w:r>
    </w:p>
    <w:p w14:paraId="276949DC" w14:textId="77777777" w:rsidR="008D2248" w:rsidRDefault="008D2248" w:rsidP="008D2248">
      <w:pPr>
        <w:rPr>
          <w:lang w:val="en-US"/>
        </w:rPr>
      </w:pPr>
    </w:p>
    <w:p w14:paraId="0D435232" w14:textId="77777777" w:rsidR="008D2248" w:rsidRPr="008D2248" w:rsidRDefault="008D2248" w:rsidP="008D2248">
      <w:pPr>
        <w:rPr>
          <w:b/>
          <w:bCs/>
          <w:lang w:val="en-US"/>
        </w:rPr>
      </w:pPr>
      <w:r w:rsidRPr="008D2248">
        <w:rPr>
          <w:rFonts w:ascii="Times New Roman" w:hAnsi="Times New Roman"/>
          <w:b/>
          <w:bCs/>
          <w:sz w:val="22"/>
          <w:lang w:val="en-US"/>
        </w:rPr>
        <w:t>“Reformed Dogmatics” of Herman Hoeksema</w:t>
      </w:r>
      <w:r>
        <w:rPr>
          <w:rFonts w:ascii="Times New Roman" w:hAnsi="Times New Roman"/>
          <w:b/>
          <w:bCs/>
          <w:sz w:val="22"/>
          <w:lang w:val="en-US"/>
        </w:rPr>
        <w:t>.</w:t>
      </w:r>
    </w:p>
    <w:p w14:paraId="6AB4F066" w14:textId="77777777" w:rsidR="008D2248" w:rsidRPr="00012295" w:rsidRDefault="008D2248" w:rsidP="008D2248">
      <w:pPr>
        <w:rPr>
          <w:lang w:val="en-US"/>
        </w:rPr>
      </w:pPr>
      <w:r>
        <w:rPr>
          <w:rFonts w:ascii="Times New Roman" w:hAnsi="Times New Roman"/>
          <w:sz w:val="22"/>
          <w:lang w:val="en-US"/>
        </w:rPr>
        <w:t xml:space="preserve">Hoeksema finds fault with the doctrine of common grace; he claims it is destructive of the whole system of Reformed theology as set forth in the Heidelberg Catechism. Says Hoeksema, there is no such thing as natural theology because God is always greater than his revelation. Only through redemption and regeneration can we receive and accept revelation. Van Til objects that although there is truth in that, revelation was already present and known – although suppressed – in man. It was present and perspicuous. Hoeksema continues to argue – similar to </w:t>
      </w:r>
      <w:proofErr w:type="spellStart"/>
      <w:r>
        <w:rPr>
          <w:rFonts w:ascii="Times New Roman" w:hAnsi="Times New Roman"/>
          <w:sz w:val="22"/>
          <w:lang w:val="en-US"/>
        </w:rPr>
        <w:t>Masselink</w:t>
      </w:r>
      <w:proofErr w:type="spellEnd"/>
      <w:r>
        <w:rPr>
          <w:rFonts w:ascii="Times New Roman" w:hAnsi="Times New Roman"/>
          <w:sz w:val="22"/>
          <w:lang w:val="en-US"/>
        </w:rPr>
        <w:t xml:space="preserve"> – that theistic proofs have </w:t>
      </w:r>
      <w:r>
        <w:rPr>
          <w:rFonts w:ascii="Times New Roman" w:hAnsi="Times New Roman"/>
          <w:i/>
          <w:iCs/>
          <w:sz w:val="22"/>
          <w:lang w:val="en-US"/>
        </w:rPr>
        <w:t xml:space="preserve">some </w:t>
      </w:r>
      <w:r>
        <w:rPr>
          <w:rFonts w:ascii="Times New Roman" w:hAnsi="Times New Roman"/>
          <w:sz w:val="22"/>
          <w:lang w:val="en-US"/>
        </w:rPr>
        <w:t xml:space="preserve">validity as they witness to the natural man. But, says Van Til, if they have some validity, they have absolute validity as they proof that all Reality is and </w:t>
      </w:r>
      <w:proofErr w:type="spellStart"/>
      <w:r>
        <w:rPr>
          <w:rFonts w:ascii="Times New Roman" w:hAnsi="Times New Roman"/>
          <w:sz w:val="22"/>
          <w:lang w:val="en-US"/>
        </w:rPr>
        <w:t>ccan</w:t>
      </w:r>
      <w:proofErr w:type="spellEnd"/>
      <w:r>
        <w:rPr>
          <w:rFonts w:ascii="Times New Roman" w:hAnsi="Times New Roman"/>
          <w:sz w:val="22"/>
          <w:lang w:val="en-US"/>
        </w:rPr>
        <w:t xml:space="preserve"> be only that which man, by his logical power, ways that it can and must be. Rather, the proofs </w:t>
      </w:r>
      <w:r>
        <w:rPr>
          <w:rFonts w:ascii="Times New Roman" w:hAnsi="Times New Roman"/>
          <w:i/>
          <w:iCs/>
          <w:sz w:val="22"/>
          <w:lang w:val="en-US"/>
        </w:rPr>
        <w:t>presuppose</w:t>
      </w:r>
      <w:r>
        <w:rPr>
          <w:rFonts w:ascii="Times New Roman" w:hAnsi="Times New Roman"/>
          <w:sz w:val="22"/>
          <w:lang w:val="en-US"/>
        </w:rPr>
        <w:t xml:space="preserve"> that the God of the Bible does not exist and does not reveal himself. Hoeksema distinguishes between a </w:t>
      </w:r>
      <w:r w:rsidRPr="00012295">
        <w:rPr>
          <w:rFonts w:ascii="Times New Roman" w:hAnsi="Times New Roman"/>
          <w:i/>
          <w:iCs/>
          <w:sz w:val="22"/>
          <w:lang w:val="en-US"/>
        </w:rPr>
        <w:t>formal</w:t>
      </w:r>
      <w:r>
        <w:rPr>
          <w:rFonts w:ascii="Times New Roman" w:hAnsi="Times New Roman"/>
          <w:sz w:val="22"/>
          <w:lang w:val="en-US"/>
        </w:rPr>
        <w:t xml:space="preserve"> (a capacity for the image of God) and a </w:t>
      </w:r>
      <w:r w:rsidRPr="00012295">
        <w:rPr>
          <w:rFonts w:ascii="Times New Roman" w:hAnsi="Times New Roman"/>
          <w:i/>
          <w:iCs/>
          <w:sz w:val="22"/>
          <w:lang w:val="en-US"/>
        </w:rPr>
        <w:t>material</w:t>
      </w:r>
      <w:r>
        <w:rPr>
          <w:rFonts w:ascii="Times New Roman" w:hAnsi="Times New Roman"/>
          <w:sz w:val="22"/>
          <w:lang w:val="en-US"/>
        </w:rPr>
        <w:t xml:space="preserve"> (spiritual ethical virtues) aspect of the image of God. Van Til objects that the </w:t>
      </w:r>
      <w:r>
        <w:rPr>
          <w:rFonts w:ascii="Times New Roman" w:hAnsi="Times New Roman"/>
          <w:i/>
          <w:iCs/>
          <w:sz w:val="22"/>
          <w:lang w:val="en-US"/>
        </w:rPr>
        <w:t>humanum</w:t>
      </w:r>
      <w:r>
        <w:rPr>
          <w:rFonts w:ascii="Times New Roman" w:hAnsi="Times New Roman"/>
          <w:sz w:val="22"/>
          <w:lang w:val="en-US"/>
        </w:rPr>
        <w:t xml:space="preserve">, the formal sense, is a Platonic abstraction. Both aspects must be taken </w:t>
      </w:r>
      <w:r w:rsidRPr="00012295">
        <w:rPr>
          <w:rFonts w:ascii="Times New Roman" w:hAnsi="Times New Roman"/>
          <w:sz w:val="22"/>
          <w:lang w:val="en-US"/>
        </w:rPr>
        <w:t>as correlative to one another on the presupposition of the presence of God's direct revelation to man</w:t>
      </w:r>
      <w:r>
        <w:rPr>
          <w:rFonts w:ascii="Times New Roman" w:hAnsi="Times New Roman"/>
          <w:sz w:val="22"/>
          <w:lang w:val="en-US"/>
        </w:rPr>
        <w:t>.</w:t>
      </w:r>
    </w:p>
    <w:p w14:paraId="3A7767A6" w14:textId="77777777" w:rsidR="008D2248" w:rsidRDefault="008D2248" w:rsidP="008D2248">
      <w:pPr>
        <w:rPr>
          <w:lang w:val="en-US"/>
        </w:rPr>
      </w:pPr>
    </w:p>
    <w:p w14:paraId="11D0290B" w14:textId="77777777" w:rsidR="008D2248" w:rsidRPr="008D2248" w:rsidRDefault="008D2248" w:rsidP="008D2248">
      <w:pPr>
        <w:rPr>
          <w:b/>
          <w:bCs/>
          <w:lang w:val="en-US"/>
        </w:rPr>
      </w:pPr>
      <w:r w:rsidRPr="008D2248">
        <w:rPr>
          <w:rFonts w:ascii="Times New Roman" w:hAnsi="Times New Roman"/>
          <w:b/>
          <w:bCs/>
          <w:sz w:val="22"/>
          <w:lang w:val="en-US"/>
        </w:rPr>
        <w:t>Terminal Considerations</w:t>
      </w:r>
      <w:r>
        <w:rPr>
          <w:rFonts w:ascii="Times New Roman" w:hAnsi="Times New Roman"/>
          <w:b/>
          <w:bCs/>
          <w:sz w:val="22"/>
          <w:lang w:val="en-US"/>
        </w:rPr>
        <w:t>.</w:t>
      </w:r>
    </w:p>
    <w:p w14:paraId="79C34763" w14:textId="77777777" w:rsidR="008D2248" w:rsidRDefault="008D2248" w:rsidP="008D2248">
      <w:pPr>
        <w:rPr>
          <w:lang w:val="en-US"/>
        </w:rPr>
      </w:pPr>
      <w:r>
        <w:rPr>
          <w:rFonts w:ascii="Times New Roman" w:hAnsi="Times New Roman"/>
          <w:sz w:val="22"/>
          <w:lang w:val="en-US"/>
        </w:rPr>
        <w:t xml:space="preserve">In the last essay, Van Til discusses </w:t>
      </w:r>
      <w:proofErr w:type="spellStart"/>
      <w:r>
        <w:rPr>
          <w:rFonts w:ascii="Times New Roman" w:hAnsi="Times New Roman"/>
          <w:i/>
          <w:iCs/>
          <w:sz w:val="22"/>
          <w:lang w:val="en-US"/>
        </w:rPr>
        <w:t>Algemene</w:t>
      </w:r>
      <w:proofErr w:type="spellEnd"/>
      <w:r>
        <w:rPr>
          <w:rFonts w:ascii="Times New Roman" w:hAnsi="Times New Roman"/>
          <w:i/>
          <w:iCs/>
          <w:sz w:val="22"/>
          <w:lang w:val="en-US"/>
        </w:rPr>
        <w:t xml:space="preserve"> </w:t>
      </w:r>
      <w:proofErr w:type="spellStart"/>
      <w:r>
        <w:rPr>
          <w:rFonts w:ascii="Times New Roman" w:hAnsi="Times New Roman"/>
          <w:i/>
          <w:iCs/>
          <w:sz w:val="22"/>
          <w:lang w:val="en-US"/>
        </w:rPr>
        <w:t>Genade</w:t>
      </w:r>
      <w:proofErr w:type="spellEnd"/>
      <w:r>
        <w:rPr>
          <w:rFonts w:ascii="Times New Roman" w:hAnsi="Times New Roman"/>
          <w:i/>
          <w:iCs/>
          <w:sz w:val="22"/>
          <w:lang w:val="en-US"/>
        </w:rPr>
        <w:t>,</w:t>
      </w:r>
      <w:r>
        <w:rPr>
          <w:rFonts w:ascii="Times New Roman" w:hAnsi="Times New Roman"/>
          <w:sz w:val="22"/>
          <w:lang w:val="en-US"/>
        </w:rPr>
        <w:t xml:space="preserve"> in which Douma evaluates Kuyper’s, </w:t>
      </w:r>
      <w:proofErr w:type="spellStart"/>
      <w:r>
        <w:rPr>
          <w:rFonts w:ascii="Times New Roman" w:hAnsi="Times New Roman"/>
          <w:sz w:val="22"/>
          <w:lang w:val="en-US"/>
        </w:rPr>
        <w:t>Schilder’s</w:t>
      </w:r>
      <w:proofErr w:type="spellEnd"/>
      <w:r>
        <w:rPr>
          <w:rFonts w:ascii="Times New Roman" w:hAnsi="Times New Roman"/>
          <w:sz w:val="22"/>
          <w:lang w:val="en-US"/>
        </w:rPr>
        <w:t xml:space="preserve">, and Calvin’s views on common grace. A couple of topics are treated: double predestination, infra- and supralapsarianism, the scope of predestination, culture and development, Christ and the covenant of grace, Kuyper’s speculative philosophy of culture, grace for the reprobate, judgment and God’s wrath, the relation between God’s attitude and facts, the necessity of grace, culture and pilgrimage, and common grace. On most topics, Van Til agrees with Douma and his assessment of Kuyper, </w:t>
      </w:r>
      <w:proofErr w:type="spellStart"/>
      <w:r>
        <w:rPr>
          <w:rFonts w:ascii="Times New Roman" w:hAnsi="Times New Roman"/>
          <w:sz w:val="22"/>
          <w:lang w:val="en-US"/>
        </w:rPr>
        <w:t>Schilder</w:t>
      </w:r>
      <w:proofErr w:type="spellEnd"/>
      <w:r>
        <w:rPr>
          <w:rFonts w:ascii="Times New Roman" w:hAnsi="Times New Roman"/>
          <w:sz w:val="22"/>
          <w:lang w:val="en-US"/>
        </w:rPr>
        <w:t xml:space="preserve">, and Calvin. Against Douma, Van Til prefers to not settle for either infra- or supralapsarianism but to treat it as a </w:t>
      </w:r>
      <w:r>
        <w:rPr>
          <w:rFonts w:ascii="Times New Roman" w:hAnsi="Times New Roman"/>
          <w:i/>
          <w:iCs/>
          <w:sz w:val="22"/>
          <w:lang w:val="en-US"/>
        </w:rPr>
        <w:t>limiting concept</w:t>
      </w:r>
      <w:r>
        <w:rPr>
          <w:rFonts w:ascii="Times New Roman" w:hAnsi="Times New Roman"/>
          <w:sz w:val="22"/>
          <w:lang w:val="en-US"/>
        </w:rPr>
        <w:t xml:space="preserve">. Against Douma’s contention that Kalamazoo holds that God’s favorable attitude is without context, Van Til maintains that we must bow before the mystery of God in Christ regarding God’s unity of purpose which the believer cannot exhaustively understand. </w:t>
      </w:r>
    </w:p>
    <w:p w14:paraId="53968A3D" w14:textId="77777777" w:rsidR="008D2248" w:rsidRDefault="008D2248" w:rsidP="008D2248">
      <w:pPr>
        <w:rPr>
          <w:lang w:val="en-US"/>
        </w:rPr>
      </w:pPr>
    </w:p>
    <w:p w14:paraId="514227F1" w14:textId="77777777" w:rsidR="008D2248" w:rsidRPr="008D2248" w:rsidRDefault="008D2248" w:rsidP="008D2248">
      <w:pPr>
        <w:rPr>
          <w:b/>
          <w:bCs/>
          <w:lang w:val="en-US"/>
        </w:rPr>
      </w:pPr>
      <w:r w:rsidRPr="008D2248">
        <w:rPr>
          <w:rFonts w:ascii="Times New Roman" w:hAnsi="Times New Roman"/>
          <w:b/>
          <w:bCs/>
          <w:sz w:val="22"/>
          <w:lang w:val="en-US"/>
        </w:rPr>
        <w:t>Discussion</w:t>
      </w:r>
      <w:r>
        <w:rPr>
          <w:rFonts w:ascii="Times New Roman" w:hAnsi="Times New Roman"/>
          <w:b/>
          <w:bCs/>
          <w:sz w:val="22"/>
          <w:lang w:val="en-US"/>
        </w:rPr>
        <w:t>.</w:t>
      </w:r>
    </w:p>
    <w:p w14:paraId="720323F6" w14:textId="77777777" w:rsidR="008D2248" w:rsidRDefault="008D2248" w:rsidP="008D2248">
      <w:pPr>
        <w:rPr>
          <w:lang w:val="en-US"/>
        </w:rPr>
      </w:pPr>
      <w:r>
        <w:rPr>
          <w:rFonts w:ascii="Times New Roman" w:hAnsi="Times New Roman"/>
          <w:i/>
          <w:iCs/>
          <w:sz w:val="22"/>
          <w:lang w:val="en-US"/>
        </w:rPr>
        <w:t>Common Grace and the Gospel</w:t>
      </w:r>
      <w:r>
        <w:rPr>
          <w:rFonts w:ascii="Times New Roman" w:hAnsi="Times New Roman"/>
          <w:sz w:val="22"/>
          <w:lang w:val="en-US"/>
        </w:rPr>
        <w:t xml:space="preserve"> was a very helpful read. Many of the questions I still had after reading Bahnsen’s analysis of Van Til’s thought were addressed here. Especially, being </w:t>
      </w:r>
      <w:r>
        <w:rPr>
          <w:rFonts w:ascii="Times New Roman" w:hAnsi="Times New Roman"/>
          <w:i/>
          <w:iCs/>
          <w:sz w:val="22"/>
          <w:lang w:val="en-US"/>
        </w:rPr>
        <w:t>fearlessly anthropomorphic</w:t>
      </w:r>
      <w:r>
        <w:rPr>
          <w:rFonts w:ascii="Times New Roman" w:hAnsi="Times New Roman"/>
          <w:sz w:val="22"/>
          <w:lang w:val="en-US"/>
        </w:rPr>
        <w:t xml:space="preserve">, </w:t>
      </w:r>
      <w:r>
        <w:rPr>
          <w:rFonts w:ascii="Times New Roman" w:hAnsi="Times New Roman"/>
          <w:i/>
          <w:iCs/>
          <w:sz w:val="22"/>
          <w:lang w:val="en-US"/>
        </w:rPr>
        <w:t>limiting concepts,</w:t>
      </w:r>
      <w:r>
        <w:rPr>
          <w:rFonts w:ascii="Times New Roman" w:hAnsi="Times New Roman"/>
          <w:sz w:val="22"/>
          <w:lang w:val="en-US"/>
        </w:rPr>
        <w:t xml:space="preserve"> </w:t>
      </w:r>
      <w:r>
        <w:rPr>
          <w:rFonts w:ascii="Times New Roman" w:hAnsi="Times New Roman"/>
          <w:i/>
          <w:iCs/>
          <w:sz w:val="22"/>
          <w:lang w:val="en-US"/>
        </w:rPr>
        <w:t>concrete thinking</w:t>
      </w:r>
      <w:r>
        <w:rPr>
          <w:rFonts w:ascii="Times New Roman" w:hAnsi="Times New Roman"/>
          <w:sz w:val="22"/>
          <w:lang w:val="en-US"/>
        </w:rPr>
        <w:t xml:space="preserve">, and </w:t>
      </w:r>
      <w:r>
        <w:rPr>
          <w:rFonts w:ascii="Times New Roman" w:hAnsi="Times New Roman"/>
          <w:i/>
          <w:iCs/>
          <w:sz w:val="22"/>
          <w:lang w:val="en-US"/>
        </w:rPr>
        <w:t>earlier</w:t>
      </w:r>
      <w:r>
        <w:rPr>
          <w:rFonts w:ascii="Times New Roman" w:hAnsi="Times New Roman"/>
          <w:sz w:val="22"/>
          <w:lang w:val="en-US"/>
        </w:rPr>
        <w:t xml:space="preserve"> and </w:t>
      </w:r>
      <w:r>
        <w:rPr>
          <w:rFonts w:ascii="Times New Roman" w:hAnsi="Times New Roman"/>
          <w:i/>
          <w:iCs/>
          <w:sz w:val="22"/>
          <w:lang w:val="en-US"/>
        </w:rPr>
        <w:t>later</w:t>
      </w:r>
      <w:r>
        <w:rPr>
          <w:rFonts w:ascii="Times New Roman" w:hAnsi="Times New Roman"/>
          <w:sz w:val="22"/>
          <w:lang w:val="en-US"/>
        </w:rPr>
        <w:t xml:space="preserve"> common grace were helpful categories that help understand Van Til better. Less helpful was </w:t>
      </w:r>
      <w:r>
        <w:rPr>
          <w:rFonts w:ascii="Times New Roman" w:hAnsi="Times New Roman"/>
          <w:sz w:val="22"/>
          <w:lang w:val="en-US"/>
        </w:rPr>
        <w:lastRenderedPageBreak/>
        <w:t>the second part of the book which contained letters and responses to criticisms. It was often not very clear who was talking and whose opinions were being refuted by whom.</w:t>
      </w:r>
    </w:p>
    <w:p w14:paraId="7D878548" w14:textId="77777777" w:rsidR="008D2248" w:rsidRDefault="008D2248" w:rsidP="008D2248">
      <w:pPr>
        <w:rPr>
          <w:lang w:val="en-US"/>
        </w:rPr>
      </w:pPr>
    </w:p>
    <w:p w14:paraId="5311112B" w14:textId="77777777" w:rsidR="008D2248" w:rsidRPr="008D2248" w:rsidRDefault="008D2248" w:rsidP="008D2248">
      <w:pPr>
        <w:rPr>
          <w:b/>
          <w:bCs/>
          <w:lang w:val="en-US"/>
        </w:rPr>
      </w:pPr>
      <w:r w:rsidRPr="008D2248">
        <w:rPr>
          <w:rFonts w:ascii="Times New Roman" w:hAnsi="Times New Roman"/>
          <w:b/>
          <w:bCs/>
          <w:sz w:val="22"/>
          <w:lang w:val="en-US"/>
        </w:rPr>
        <w:t>Questions and Comments</w:t>
      </w:r>
      <w:r>
        <w:rPr>
          <w:rFonts w:ascii="Times New Roman" w:hAnsi="Times New Roman"/>
          <w:b/>
          <w:bCs/>
          <w:sz w:val="22"/>
          <w:lang w:val="en-US"/>
        </w:rPr>
        <w:t>.</w:t>
      </w:r>
    </w:p>
    <w:p w14:paraId="50CC7BC2" w14:textId="77777777" w:rsidR="008D2248" w:rsidRDefault="008D2248" w:rsidP="008D2248">
      <w:pPr>
        <w:rPr>
          <w:lang w:val="en-US"/>
        </w:rPr>
      </w:pPr>
      <w:r>
        <w:rPr>
          <w:rFonts w:ascii="Times New Roman" w:hAnsi="Times New Roman"/>
          <w:sz w:val="22"/>
          <w:lang w:val="en-US"/>
        </w:rPr>
        <w:t xml:space="preserve">Q.1 Van Til often argues that “history has meaning just because God’s counsel is back of it.” Often Van Til uses it to argue against determinism that the particular (special grace, man’s responsibility, etc.) has meaning just because of the universal (God’s sovereign control). Obviously, these two seem contradictory. How must this be understood? As a </w:t>
      </w:r>
      <w:r>
        <w:rPr>
          <w:rFonts w:ascii="Times New Roman" w:hAnsi="Times New Roman"/>
          <w:i/>
          <w:iCs/>
          <w:sz w:val="22"/>
          <w:lang w:val="en-US"/>
        </w:rPr>
        <w:t>limiting concept</w:t>
      </w:r>
      <w:r>
        <w:rPr>
          <w:rFonts w:ascii="Times New Roman" w:hAnsi="Times New Roman"/>
          <w:sz w:val="22"/>
          <w:lang w:val="en-US"/>
        </w:rPr>
        <w:t>? And why does history have meaning because of God’s counsel? Is the idea that there would not be any facts, or intelligibility if it were not for God’s sovereign control and that the particular would be in a vacuum (if at all)?</w:t>
      </w:r>
    </w:p>
    <w:p w14:paraId="4FB492D9" w14:textId="77777777" w:rsidR="008D2248" w:rsidRDefault="008D2248" w:rsidP="008D2248">
      <w:pPr>
        <w:rPr>
          <w:lang w:val="en-US"/>
        </w:rPr>
      </w:pPr>
    </w:p>
    <w:p w14:paraId="5D7272B6" w14:textId="77777777" w:rsidR="008D2248" w:rsidRDefault="008D2248" w:rsidP="008D2248">
      <w:pPr>
        <w:rPr>
          <w:lang w:val="en-US"/>
        </w:rPr>
      </w:pPr>
      <w:r>
        <w:rPr>
          <w:rFonts w:ascii="Times New Roman" w:hAnsi="Times New Roman"/>
          <w:sz w:val="22"/>
          <w:lang w:val="en-US"/>
        </w:rPr>
        <w:t xml:space="preserve">Q.2 What exactly does Van Til mean by the Roman Catholic view of man as having a natural tendency toward </w:t>
      </w:r>
      <w:r>
        <w:rPr>
          <w:rFonts w:ascii="Times New Roman" w:hAnsi="Times New Roman"/>
          <w:i/>
          <w:iCs/>
          <w:sz w:val="22"/>
          <w:lang w:val="en-US"/>
        </w:rPr>
        <w:t>non-being</w:t>
      </w:r>
      <w:r>
        <w:rPr>
          <w:rFonts w:ascii="Times New Roman" w:hAnsi="Times New Roman"/>
          <w:sz w:val="22"/>
          <w:lang w:val="en-US"/>
        </w:rPr>
        <w:t xml:space="preserve"> if it were not for the </w:t>
      </w:r>
      <w:r w:rsidRPr="005206AC">
        <w:rPr>
          <w:rFonts w:ascii="Times New Roman" w:hAnsi="Times New Roman"/>
          <w:i/>
          <w:iCs/>
          <w:sz w:val="22"/>
          <w:lang w:val="en-US"/>
        </w:rPr>
        <w:t xml:space="preserve">donum </w:t>
      </w:r>
      <w:proofErr w:type="spellStart"/>
      <w:r w:rsidRPr="005206AC">
        <w:rPr>
          <w:rFonts w:ascii="Times New Roman" w:hAnsi="Times New Roman"/>
          <w:i/>
          <w:iCs/>
          <w:sz w:val="22"/>
          <w:lang w:val="en-US"/>
        </w:rPr>
        <w:t>superadditum</w:t>
      </w:r>
      <w:proofErr w:type="spellEnd"/>
      <w:r>
        <w:rPr>
          <w:rFonts w:ascii="Times New Roman" w:hAnsi="Times New Roman"/>
          <w:sz w:val="22"/>
          <w:lang w:val="en-US"/>
        </w:rPr>
        <w:t xml:space="preserve">? </w:t>
      </w:r>
    </w:p>
    <w:p w14:paraId="0AA78ED5" w14:textId="77777777" w:rsidR="008D2248" w:rsidRDefault="008D2248" w:rsidP="008D2248">
      <w:pPr>
        <w:rPr>
          <w:lang w:val="en-US"/>
        </w:rPr>
      </w:pPr>
    </w:p>
    <w:p w14:paraId="591F2545" w14:textId="77777777" w:rsidR="008D2248" w:rsidRDefault="008D2248" w:rsidP="008D2248">
      <w:pPr>
        <w:rPr>
          <w:lang w:val="en-US"/>
        </w:rPr>
      </w:pPr>
      <w:r>
        <w:rPr>
          <w:rFonts w:ascii="Times New Roman" w:hAnsi="Times New Roman"/>
          <w:sz w:val="22"/>
          <w:lang w:val="en-US"/>
        </w:rPr>
        <w:t>C.1 Van Til is very helpful in showing that there is both a common grace/favor (depending on the state of history) and a common curse. He uses this to show that God has a favorable attitude even toward those who were not elected to glory. “</w:t>
      </w:r>
      <w:r w:rsidRPr="00F2304C">
        <w:rPr>
          <w:rFonts w:ascii="Times New Roman" w:hAnsi="Times New Roman"/>
          <w:sz w:val="22"/>
          <w:lang w:val="en-US"/>
        </w:rPr>
        <w:t>If we can say of one who is elect that he was at one point in his history totally depraved, we can, with equal justice, say of a reprobate that he was at one point in his history in some sense good</w:t>
      </w:r>
      <w:r>
        <w:rPr>
          <w:rFonts w:ascii="Times New Roman" w:hAnsi="Times New Roman"/>
          <w:sz w:val="22"/>
          <w:lang w:val="en-US"/>
        </w:rPr>
        <w:t xml:space="preserve">” (112). There is a positive development in God’s attitude toward the elect as history unfolds and a negative development in God’s attitude toward the reprobate. </w:t>
      </w:r>
    </w:p>
    <w:p w14:paraId="1AE5A222" w14:textId="77777777" w:rsidR="008D2248" w:rsidRDefault="008D2248" w:rsidP="008D2248">
      <w:pPr>
        <w:rPr>
          <w:lang w:val="en-US"/>
        </w:rPr>
      </w:pPr>
    </w:p>
    <w:p w14:paraId="7689B290" w14:textId="77777777" w:rsidR="008D2248" w:rsidRPr="005206AC" w:rsidRDefault="008D2248" w:rsidP="008D2248">
      <w:r>
        <w:rPr>
          <w:rFonts w:ascii="Times New Roman" w:hAnsi="Times New Roman"/>
          <w:sz w:val="22"/>
          <w:lang w:val="en-US"/>
        </w:rPr>
        <w:t>C.2 “I</w:t>
      </w:r>
      <w:r w:rsidRPr="005206AC">
        <w:rPr>
          <w:rFonts w:ascii="Times New Roman" w:hAnsi="Times New Roman"/>
          <w:sz w:val="22"/>
          <w:lang w:val="en-US"/>
        </w:rPr>
        <w:t>t was also impossible to agree with the Old Princeton position to the effect that appeal must be made to reason without differentiating between a reason conceived of as autonomous and reason conceived of as created. Finally, it was impossible to agree with what seemed to be a lowering of the claim for Christianity by Kuyper and Bavinck when they concluded from the fact that sinful man cannot of himself accept the truth to the idea that there is no objectively valid reason to be given for the truth</w:t>
      </w:r>
      <w:r>
        <w:rPr>
          <w:rFonts w:ascii="Times New Roman" w:hAnsi="Times New Roman"/>
          <w:sz w:val="22"/>
          <w:lang w:val="en-US"/>
        </w:rPr>
        <w:t xml:space="preserve">” (214). </w:t>
      </w:r>
      <w:r>
        <w:rPr>
          <w:rFonts w:ascii="Times New Roman" w:hAnsi="Times New Roman"/>
          <w:i/>
          <w:iCs/>
          <w:sz w:val="22"/>
          <w:lang w:val="en-US"/>
        </w:rPr>
        <w:t>Common Grace and the Gospel</w:t>
      </w:r>
      <w:r>
        <w:rPr>
          <w:rFonts w:ascii="Times New Roman" w:hAnsi="Times New Roman"/>
          <w:sz w:val="22"/>
          <w:lang w:val="en-US"/>
        </w:rPr>
        <w:t xml:space="preserve"> shows clearly how and where Van Til differs from Old Princeton and Amsterdam. This is very helpful.</w:t>
      </w:r>
    </w:p>
    <w:p w14:paraId="1B9431B4" w14:textId="77777777" w:rsidR="00AA008D" w:rsidRDefault="00AA008D" w:rsidP="008D2248"/>
    <w:sectPr w:rsidR="00AA008D" w:rsidSect="008D2248">
      <w:headerReference w:type="default" r:id="rId12"/>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3-03-15T16:02:00Z" w:initials="MK">
    <w:p w14:paraId="78985D43" w14:textId="77777777" w:rsidR="008D2248" w:rsidRDefault="008D2248" w:rsidP="008D2248">
      <w:pPr>
        <w:jc w:val="left"/>
      </w:pPr>
      <w:r>
        <w:rPr>
          <w:rStyle w:val="CommentReference"/>
        </w:rPr>
        <w:annotationRef/>
      </w:r>
      <w:r>
        <w:rPr>
          <w:color w:val="000000"/>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985D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BC6A87" w16cex:dateUtc="2023-03-15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985D43" w16cid:durableId="27BC6A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VanC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Common Grace and the Gospel</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487776"/>
    <w:multiLevelType w:val="hybridMultilevel"/>
    <w:tmpl w:val="7C9863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851C3E"/>
    <w:multiLevelType w:val="hybridMultilevel"/>
    <w:tmpl w:val="42309D46"/>
    <w:lvl w:ilvl="0" w:tplc="C7243F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13220">
    <w:abstractNumId w:val="0"/>
  </w:num>
  <w:num w:numId="2" w16cid:durableId="2532482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48"/>
    <w:rsid w:val="003F4997"/>
    <w:rsid w:val="004726AF"/>
    <w:rsid w:val="008D2248"/>
    <w:rsid w:val="00A57F40"/>
    <w:rsid w:val="00AA008D"/>
    <w:rsid w:val="00E5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CFD4EE"/>
  <w15:chartTrackingRefBased/>
  <w15:docId w15:val="{430E720D-3AB5-4442-BFCD-192EAF77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248"/>
    <w:pPr>
      <w:jc w:val="both"/>
    </w:pPr>
    <w:rPr>
      <w:lang/>
    </w:rPr>
  </w:style>
  <w:style w:type="paragraph" w:styleId="Heading1">
    <w:name w:val="heading 1"/>
    <w:basedOn w:val="Normal"/>
    <w:next w:val="Normal"/>
    <w:link w:val="Heading1Char"/>
    <w:uiPriority w:val="9"/>
    <w:qFormat/>
    <w:rsid w:val="008D224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224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224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D224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48"/>
    <w:rPr>
      <w:rFonts w:asciiTheme="majorHAnsi" w:eastAsiaTheme="majorEastAsia" w:hAnsiTheme="majorHAnsi" w:cstheme="majorBidi"/>
      <w:color w:val="2F5496" w:themeColor="accent1" w:themeShade="BF"/>
      <w:sz w:val="32"/>
      <w:szCs w:val="32"/>
      <w:lang/>
    </w:rPr>
  </w:style>
  <w:style w:type="character" w:customStyle="1" w:styleId="Heading2Char">
    <w:name w:val="Heading 2 Char"/>
    <w:basedOn w:val="DefaultParagraphFont"/>
    <w:link w:val="Heading2"/>
    <w:uiPriority w:val="9"/>
    <w:rsid w:val="008D2248"/>
    <w:rPr>
      <w:rFonts w:asciiTheme="majorHAnsi" w:eastAsiaTheme="majorEastAsia" w:hAnsiTheme="majorHAnsi" w:cstheme="majorBidi"/>
      <w:color w:val="2F5496" w:themeColor="accent1" w:themeShade="BF"/>
      <w:sz w:val="26"/>
      <w:szCs w:val="26"/>
      <w:lang/>
    </w:rPr>
  </w:style>
  <w:style w:type="character" w:customStyle="1" w:styleId="Heading3Char">
    <w:name w:val="Heading 3 Char"/>
    <w:basedOn w:val="DefaultParagraphFont"/>
    <w:link w:val="Heading3"/>
    <w:uiPriority w:val="9"/>
    <w:rsid w:val="008D2248"/>
    <w:rPr>
      <w:rFonts w:asciiTheme="majorHAnsi" w:eastAsiaTheme="majorEastAsia" w:hAnsiTheme="majorHAnsi" w:cstheme="majorBidi"/>
      <w:color w:val="1F3763" w:themeColor="accent1" w:themeShade="7F"/>
      <w:lang/>
    </w:rPr>
  </w:style>
  <w:style w:type="character" w:customStyle="1" w:styleId="Heading4Char">
    <w:name w:val="Heading 4 Char"/>
    <w:basedOn w:val="DefaultParagraphFont"/>
    <w:link w:val="Heading4"/>
    <w:uiPriority w:val="9"/>
    <w:rsid w:val="008D2248"/>
    <w:rPr>
      <w:rFonts w:asciiTheme="majorHAnsi" w:eastAsiaTheme="majorEastAsia" w:hAnsiTheme="majorHAnsi" w:cstheme="majorBidi"/>
      <w:i/>
      <w:iCs/>
      <w:color w:val="2F5496" w:themeColor="accent1" w:themeShade="BF"/>
      <w:lang/>
    </w:rPr>
  </w:style>
  <w:style w:type="character" w:styleId="CommentReference">
    <w:name w:val="annotation reference"/>
    <w:basedOn w:val="DefaultParagraphFont"/>
    <w:uiPriority w:val="99"/>
    <w:semiHidden/>
    <w:unhideWhenUsed/>
    <w:rsid w:val="008D2248"/>
    <w:rPr>
      <w:sz w:val="16"/>
      <w:szCs w:val="16"/>
    </w:rPr>
  </w:style>
  <w:style w:type="paragraph" w:styleId="ListParagraph">
    <w:name w:val="List Paragraph"/>
    <w:basedOn w:val="Normal"/>
    <w:uiPriority w:val="34"/>
    <w:qFormat/>
    <w:rsid w:val="008D2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2529</Words>
  <Characters>14417</Characters>
  <Application>Microsoft Office Word</Application>
  <DocSecurity>0</DocSecurity>
  <Lines>120</Lines>
  <Paragraphs>33</Paragraphs>
  <ScaleCrop>false</ScaleCrop>
  <Company/>
  <LinksUpToDate>false</LinksUpToDate>
  <CharactersWithSpaces>16913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2024-11-12T15:08:00Z</dcterms:created>
  <dcterms:modified xsi:type="dcterms:W3CDTF">2024-11-12T15:37:00Z</dcterms:modified>
</cp:coreProperties>
</file>