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516ED" w:rsidRPr="00D516ED" w:rsidRDefault="00D516ED" w:rsidP="00D516ED">
      <w:pPr>
        <w:jc w:val="both"/>
        <w:rPr>
          <w:b/>
          <w:bCs/>
        </w:rPr>
      </w:pPr>
      <w:r w:rsidRPr="00D516ED">
        <w:rPr>
          <w:rFonts w:ascii="Times New Roman" w:hAnsi="Times New Roman"/>
          <w:b/>
          <w:bCs/>
          <w:sz w:val="22"/>
        </w:rPr>
        <w:t>"Interpretations of the Reformation" by Roland H. Bainton</w:t>
      </w:r>
      <w:r>
        <w:rPr>
          <w:rFonts w:ascii="Times New Roman" w:hAnsi="Times New Roman"/>
          <w:b/>
          <w:bCs/>
          <w:sz w:val="22"/>
        </w:rPr>
        <w:t>.</w:t>
      </w:r>
    </w:p>
    <w:p w:rsidR="00D516ED" w:rsidRPr="00D516ED" w:rsidRDefault="00D516ED" w:rsidP="00D516ED">
      <w:pPr>
        <w:jc w:val="both"/>
      </w:pPr>
      <w:r w:rsidRPr="00D516ED">
        <w:rPr>
          <w:rFonts w:ascii="Times New Roman" w:hAnsi="Times New Roman"/>
          <w:b/>
          <w:bCs/>
          <w:sz w:val="22"/>
        </w:rPr>
        <w:t>Ranke and Objectivity</w:t>
      </w:r>
      <w:r>
        <w:rPr>
          <w:rFonts w:ascii="Times New Roman" w:hAnsi="Times New Roman"/>
          <w:b/>
          <w:bCs/>
          <w:sz w:val="22"/>
        </w:rPr>
        <w:t>. R</w:t>
      </w:r>
      <w:r w:rsidRPr="00D516ED">
        <w:rPr>
          <w:rFonts w:ascii="Times New Roman" w:hAnsi="Times New Roman"/>
          <w:sz w:val="22"/>
        </w:rPr>
        <w:t>anke advocated for pure objectivity in historical interpretation, yet the selection of sources inherently involves subjectivity, as seen in comparisons with Janssen and Döllinger. Modern historians strive to declare biases upfront, although this is not always feasible.</w:t>
      </w:r>
      <w:r>
        <w:rPr>
          <w:rFonts w:ascii="Times New Roman" w:hAnsi="Times New Roman"/>
          <w:sz w:val="22"/>
        </w:rPr>
        <w:t xml:space="preserve"> </w:t>
      </w:r>
      <w:r w:rsidRPr="00D516ED">
        <w:rPr>
          <w:rFonts w:ascii="Times New Roman" w:hAnsi="Times New Roman"/>
          <w:b/>
          <w:bCs/>
          <w:sz w:val="22"/>
        </w:rPr>
        <w:t>Lack of Great Interpretive Works</w:t>
      </w:r>
      <w:r>
        <w:rPr>
          <w:rFonts w:ascii="Times New Roman" w:hAnsi="Times New Roman"/>
          <w:b/>
          <w:bCs/>
          <w:sz w:val="22"/>
        </w:rPr>
        <w:t xml:space="preserve">. </w:t>
      </w:r>
      <w:r w:rsidRPr="00D516ED">
        <w:rPr>
          <w:rFonts w:ascii="Times New Roman" w:hAnsi="Times New Roman"/>
          <w:sz w:val="22"/>
        </w:rPr>
        <w:t>The Reformation lacks a seminal interpretive work, despite being shaped by great thinkers. This void is partly due to its polemical and documentary nature, characterized by confessions and religious documents.</w:t>
      </w:r>
      <w:r>
        <w:rPr>
          <w:rFonts w:ascii="Times New Roman" w:hAnsi="Times New Roman"/>
          <w:sz w:val="22"/>
        </w:rPr>
        <w:t xml:space="preserve"> </w:t>
      </w:r>
      <w:r w:rsidRPr="00D516ED">
        <w:rPr>
          <w:rFonts w:ascii="Times New Roman" w:hAnsi="Times New Roman"/>
          <w:b/>
          <w:bCs/>
          <w:sz w:val="22"/>
        </w:rPr>
        <w:t>E</w:t>
      </w:r>
      <w:r w:rsidRPr="00D516ED">
        <w:rPr>
          <w:rFonts w:ascii="Times New Roman" w:hAnsi="Times New Roman"/>
          <w:b/>
          <w:bCs/>
          <w:sz w:val="22"/>
        </w:rPr>
        <w:t>ighteenth and Nineteenth-Century Perspectives</w:t>
      </w:r>
      <w:r>
        <w:rPr>
          <w:rFonts w:ascii="Times New Roman" w:hAnsi="Times New Roman"/>
          <w:b/>
          <w:bCs/>
          <w:sz w:val="22"/>
        </w:rPr>
        <w:t xml:space="preserve">. </w:t>
      </w:r>
      <w:r w:rsidRPr="00D516ED">
        <w:rPr>
          <w:rFonts w:ascii="Times New Roman" w:hAnsi="Times New Roman"/>
          <w:sz w:val="22"/>
        </w:rPr>
        <w:t xml:space="preserve">In the 18th century, Rationalists aimed for impartiality, while Pietists sought equal sympathy. The 19th-century idealists looked for motifs and laws, with Hegel viewing history as the emancipation of </w:t>
      </w:r>
      <w:r>
        <w:rPr>
          <w:rFonts w:ascii="Times New Roman" w:hAnsi="Times New Roman"/>
          <w:sz w:val="22"/>
        </w:rPr>
        <w:t xml:space="preserve">the </w:t>
      </w:r>
      <w:r w:rsidRPr="00D516ED">
        <w:rPr>
          <w:rFonts w:ascii="Times New Roman" w:hAnsi="Times New Roman"/>
          <w:i/>
          <w:iCs/>
          <w:sz w:val="22"/>
        </w:rPr>
        <w:t>Weltgeist</w:t>
      </w:r>
      <w:r w:rsidRPr="00D516ED">
        <w:rPr>
          <w:rFonts w:ascii="Times New Roman" w:hAnsi="Times New Roman"/>
          <w:sz w:val="22"/>
        </w:rPr>
        <w:t>. However, this did not result in a comprehensive history of the Reformation. Ranke’s focus on sources eschewed theorizing, yet he acknowledged divine providence in history.</w:t>
      </w:r>
      <w:r>
        <w:rPr>
          <w:rFonts w:ascii="Times New Roman" w:hAnsi="Times New Roman"/>
          <w:sz w:val="22"/>
        </w:rPr>
        <w:t xml:space="preserve"> </w:t>
      </w:r>
      <w:r w:rsidRPr="00D516ED">
        <w:rPr>
          <w:rFonts w:ascii="Times New Roman" w:hAnsi="Times New Roman"/>
          <w:b/>
          <w:bCs/>
          <w:sz w:val="22"/>
        </w:rPr>
        <w:t>Liberal Interpretations and Karl Holl</w:t>
      </w:r>
      <w:r>
        <w:rPr>
          <w:rFonts w:ascii="Times New Roman" w:hAnsi="Times New Roman"/>
          <w:b/>
          <w:bCs/>
          <w:sz w:val="22"/>
        </w:rPr>
        <w:t xml:space="preserve">. </w:t>
      </w:r>
      <w:r w:rsidRPr="00D516ED">
        <w:rPr>
          <w:rFonts w:ascii="Times New Roman" w:hAnsi="Times New Roman"/>
          <w:sz w:val="22"/>
        </w:rPr>
        <w:t>L</w:t>
      </w:r>
      <w:r w:rsidRPr="00D516ED">
        <w:rPr>
          <w:rFonts w:ascii="Times New Roman" w:hAnsi="Times New Roman"/>
          <w:sz w:val="22"/>
        </w:rPr>
        <w:t>iberal historians saw the Reformation and Renaissance as moves away from Church authority, with Troeltsch emphasizing the connection between religion and culture. Karl Holl argued that only religion could explain Luther’s significance, initiating a Luther renaissance.</w:t>
      </w:r>
      <w:r>
        <w:rPr>
          <w:rFonts w:ascii="Times New Roman" w:hAnsi="Times New Roman"/>
          <w:sz w:val="22"/>
        </w:rPr>
        <w:t xml:space="preserve"> </w:t>
      </w:r>
      <w:r w:rsidRPr="00D516ED">
        <w:rPr>
          <w:rFonts w:ascii="Times New Roman" w:hAnsi="Times New Roman"/>
          <w:b/>
          <w:bCs/>
          <w:sz w:val="22"/>
        </w:rPr>
        <w:t>Debate on Luther’s Originality</w:t>
      </w:r>
      <w:r>
        <w:rPr>
          <w:rFonts w:ascii="Times New Roman" w:hAnsi="Times New Roman"/>
          <w:b/>
          <w:bCs/>
          <w:sz w:val="22"/>
        </w:rPr>
        <w:t xml:space="preserve">. </w:t>
      </w:r>
      <w:r w:rsidRPr="00D516ED">
        <w:rPr>
          <w:rFonts w:ascii="Times New Roman" w:hAnsi="Times New Roman"/>
          <w:sz w:val="22"/>
        </w:rPr>
        <w:t>Questions of Luther’s originality arise, with Erich Hassinger asserting that Luther rediscovered Christianity’s historical core, emphasizing Christ's continual presence in Scripture through the Spirit. This challenged mysticism, moralism, and institutionalism, which emphasized God’s constant accessibility, salvation by works, and the Church’s custodianship, respectively.</w:t>
      </w:r>
      <w:r>
        <w:rPr>
          <w:rFonts w:ascii="Times New Roman" w:hAnsi="Times New Roman"/>
          <w:sz w:val="22"/>
        </w:rPr>
        <w:t xml:space="preserve"> </w:t>
      </w:r>
      <w:r w:rsidRPr="00D516ED">
        <w:rPr>
          <w:rFonts w:ascii="Times New Roman" w:hAnsi="Times New Roman"/>
          <w:b/>
          <w:bCs/>
          <w:sz w:val="22"/>
        </w:rPr>
        <w:t>Motivations of Luther’s Disciples</w:t>
      </w:r>
      <w:r>
        <w:rPr>
          <w:rFonts w:ascii="Times New Roman" w:hAnsi="Times New Roman"/>
          <w:b/>
          <w:bCs/>
          <w:sz w:val="22"/>
        </w:rPr>
        <w:t xml:space="preserve">. </w:t>
      </w:r>
      <w:r w:rsidRPr="00D516ED">
        <w:rPr>
          <w:rFonts w:ascii="Times New Roman" w:hAnsi="Times New Roman"/>
          <w:sz w:val="22"/>
        </w:rPr>
        <w:t>Luther’s disciples are scrutinized for their motivations, whether religious or economic. Arguments suggest that both populace and princes risked everything out of genuine belief, and that some laypeople grasped Luther’s theology.</w:t>
      </w:r>
      <w:r>
        <w:rPr>
          <w:rFonts w:ascii="Times New Roman" w:hAnsi="Times New Roman"/>
          <w:sz w:val="22"/>
        </w:rPr>
        <w:t xml:space="preserve"> </w:t>
      </w:r>
      <w:r w:rsidRPr="00C4475B">
        <w:rPr>
          <w:rFonts w:ascii="Times New Roman" w:hAnsi="Times New Roman"/>
          <w:b/>
          <w:bCs/>
          <w:sz w:val="22"/>
        </w:rPr>
        <w:t>I</w:t>
      </w:r>
      <w:r w:rsidRPr="00D516ED">
        <w:rPr>
          <w:rFonts w:ascii="Times New Roman" w:hAnsi="Times New Roman"/>
          <w:b/>
          <w:bCs/>
          <w:sz w:val="22"/>
        </w:rPr>
        <w:t>talian Failure and Political Context</w:t>
      </w:r>
      <w:r w:rsidR="00C4475B">
        <w:rPr>
          <w:rFonts w:ascii="Times New Roman" w:hAnsi="Times New Roman"/>
          <w:b/>
          <w:bCs/>
          <w:sz w:val="22"/>
        </w:rPr>
        <w:t xml:space="preserve">. </w:t>
      </w:r>
      <w:r w:rsidR="00C4475B" w:rsidRPr="00C4475B">
        <w:rPr>
          <w:rFonts w:ascii="Times New Roman" w:hAnsi="Times New Roman"/>
          <w:sz w:val="22"/>
        </w:rPr>
        <w:t>T</w:t>
      </w:r>
      <w:r w:rsidRPr="00D516ED">
        <w:rPr>
          <w:rFonts w:ascii="Times New Roman" w:hAnsi="Times New Roman"/>
          <w:sz w:val="22"/>
        </w:rPr>
        <w:t>he Reformation's failure in Italy is attributed to economic stability, ingrained Catholicism, and political factors, such as German decentralization and mysticism’s affinity with grace. The author suggests that the Reformation thrived where political interests aligned yet cautions against oversimplification.</w:t>
      </w:r>
      <w:r w:rsidR="00C4475B">
        <w:rPr>
          <w:rFonts w:ascii="Times New Roman" w:hAnsi="Times New Roman"/>
          <w:sz w:val="22"/>
        </w:rPr>
        <w:t xml:space="preserve"> </w:t>
      </w:r>
      <w:r w:rsidRPr="00D516ED">
        <w:rPr>
          <w:rFonts w:ascii="Times New Roman" w:hAnsi="Times New Roman"/>
          <w:b/>
          <w:bCs/>
          <w:sz w:val="22"/>
        </w:rPr>
        <w:t>Contemporary and Neoorthodox Perspectives</w:t>
      </w:r>
      <w:r w:rsidR="00C4475B">
        <w:rPr>
          <w:rFonts w:ascii="Times New Roman" w:hAnsi="Times New Roman"/>
          <w:b/>
          <w:bCs/>
          <w:sz w:val="22"/>
        </w:rPr>
        <w:t xml:space="preserve">. </w:t>
      </w:r>
      <w:r w:rsidRPr="00D516ED">
        <w:rPr>
          <w:rFonts w:ascii="Times New Roman" w:hAnsi="Times New Roman"/>
          <w:sz w:val="22"/>
        </w:rPr>
        <w:t>Contemporary histories emphasize politics and sociology over religion. Karl Holl and Erich Hassinger ponder the religious foundation of the Reformation, while Neoorthodox scholars attempt to revive Reformers' theology. They find discrepancies, such as Calvin’s and Luther’s views diverging on natural theology.</w:t>
      </w:r>
      <w:r w:rsidR="00C4475B">
        <w:rPr>
          <w:rFonts w:ascii="Times New Roman" w:hAnsi="Times New Roman"/>
          <w:sz w:val="22"/>
        </w:rPr>
        <w:t xml:space="preserve"> </w:t>
      </w:r>
      <w:r w:rsidRPr="00D516ED">
        <w:rPr>
          <w:rFonts w:ascii="Times New Roman" w:hAnsi="Times New Roman"/>
          <w:b/>
          <w:bCs/>
          <w:sz w:val="22"/>
        </w:rPr>
        <w:t>Newer Scholarship and Critical Editions</w:t>
      </w:r>
      <w:r w:rsidR="00C4475B">
        <w:rPr>
          <w:rFonts w:ascii="Times New Roman" w:hAnsi="Times New Roman"/>
          <w:b/>
          <w:bCs/>
          <w:sz w:val="22"/>
        </w:rPr>
        <w:t xml:space="preserve">. </w:t>
      </w:r>
      <w:r w:rsidRPr="00D516ED">
        <w:rPr>
          <w:rFonts w:ascii="Times New Roman" w:hAnsi="Times New Roman"/>
          <w:sz w:val="22"/>
        </w:rPr>
        <w:t>Recent scholarship by Catholics and Protestants is more balanced, contextualizing Luther within Medieval Catholicism. However, a lack of critical editions hinders verification of documentary evidence, complicating efforts to draw clear conclusions.</w:t>
      </w:r>
    </w:p>
    <w:p w:rsidR="00AA008D" w:rsidRDefault="00AA008D" w:rsidP="00D516ED">
      <w:pPr>
        <w:jc w:val="both"/>
      </w:pPr>
    </w:p>
    <w:sectPr w:rsidR="00AA008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BaiRH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Interpretations of the Reformation</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ED"/>
    <w:rsid w:val="00282F99"/>
    <w:rsid w:val="00A57F40"/>
    <w:rsid w:val="00AA008D"/>
    <w:rsid w:val="00C4475B"/>
    <w:rsid w:val="00D516ED"/>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FDDDCC"/>
  <w15:chartTrackingRefBased/>
  <w15:docId w15:val="{84CA208E-B6F3-594F-918C-3E5EF961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863347">
      <w:bodyDiv w:val="1"/>
      <w:marLeft w:val="0"/>
      <w:marRight w:val="0"/>
      <w:marTop w:val="0"/>
      <w:marBottom w:val="0"/>
      <w:divBdr>
        <w:top w:val="none" w:sz="0" w:space="0" w:color="auto"/>
        <w:left w:val="none" w:sz="0" w:space="0" w:color="auto"/>
        <w:bottom w:val="none" w:sz="0" w:space="0" w:color="auto"/>
        <w:right w:val="none" w:sz="0" w:space="0" w:color="auto"/>
      </w:divBdr>
    </w:div>
    <w:div w:id="133275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2024-11-20T17:40:00Z</dcterms:created>
  <dcterms:modified xsi:type="dcterms:W3CDTF">2024-11-20T18:00:00Z</dcterms:modified>
</cp:coreProperties>
</file>