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23BE1" w:rsidRPr="009E0E6B" w:rsidRDefault="00323BE1" w:rsidP="00323BE1">
      <w:pPr>
        <w:jc w:val="both"/>
        <w:rPr>
          <w:rFonts w:ascii="Times New Roman" w:hAnsi="Times New Roman" w:cs="Times New Roman"/>
          <w:b/>
          <w:bCs/>
          <w:sz w:val="22"/>
          <w:szCs w:val="22"/>
        </w:rPr>
      </w:pPr>
      <w:r w:rsidRPr="009E0E6B">
        <w:rPr>
          <w:rFonts w:ascii="Times New Roman" w:hAnsi="Times New Roman" w:cs="Times New Roman"/>
          <w:b/>
          <w:bCs/>
          <w:sz w:val="22"/>
          <w:szCs w:val="22"/>
        </w:rPr>
        <w:t>De Regno Christi – Martin Bucer</w:t>
      </w:r>
    </w:p>
    <w:p w:rsidR="00323BE1" w:rsidRPr="00323BE1" w:rsidRDefault="00323BE1" w:rsidP="00323BE1">
      <w:pPr>
        <w:jc w:val="both"/>
        <w:rPr>
          <w:rFonts w:ascii="Times New Roman" w:hAnsi="Times New Roman" w:cs="Times New Roman"/>
          <w:sz w:val="22"/>
          <w:szCs w:val="22"/>
        </w:rPr>
      </w:pPr>
      <w:r w:rsidRPr="00323BE1">
        <w:rPr>
          <w:rFonts w:ascii="Times New Roman" w:hAnsi="Times New Roman" w:cs="Times New Roman"/>
          <w:sz w:val="22"/>
          <w:szCs w:val="22"/>
        </w:rPr>
        <w:t>Martin Bucer</w:t>
      </w:r>
      <w:r w:rsidR="005549D4">
        <w:rPr>
          <w:rFonts w:ascii="Times New Roman" w:hAnsi="Times New Roman" w:cs="Times New Roman"/>
          <w:sz w:val="22"/>
          <w:szCs w:val="22"/>
        </w:rPr>
        <w:t>’</w:t>
      </w:r>
      <w:r w:rsidRPr="00323BE1">
        <w:rPr>
          <w:rFonts w:ascii="Times New Roman" w:hAnsi="Times New Roman" w:cs="Times New Roman"/>
          <w:sz w:val="22"/>
          <w:szCs w:val="22"/>
        </w:rPr>
        <w:t xml:space="preserve">s </w:t>
      </w:r>
      <w:r w:rsidRPr="009E0E6B">
        <w:rPr>
          <w:rFonts w:ascii="Times New Roman" w:hAnsi="Times New Roman" w:cs="Times New Roman"/>
          <w:i/>
          <w:iCs/>
          <w:sz w:val="22"/>
          <w:szCs w:val="22"/>
        </w:rPr>
        <w:t>De Regno Christi</w:t>
      </w:r>
      <w:r w:rsidRPr="00323BE1">
        <w:rPr>
          <w:rFonts w:ascii="Times New Roman" w:hAnsi="Times New Roman" w:cs="Times New Roman"/>
          <w:sz w:val="22"/>
          <w:szCs w:val="22"/>
        </w:rPr>
        <w:t xml:space="preserve">, written in 1550 for young King Edward VI of England, summarizes </w:t>
      </w:r>
      <w:r w:rsidR="002D67F9">
        <w:rPr>
          <w:rFonts w:ascii="Times New Roman" w:hAnsi="Times New Roman" w:cs="Times New Roman"/>
          <w:sz w:val="22"/>
          <w:szCs w:val="22"/>
        </w:rPr>
        <w:t>his</w:t>
      </w:r>
      <w:r w:rsidRPr="00323BE1">
        <w:rPr>
          <w:rFonts w:ascii="Times New Roman" w:hAnsi="Times New Roman" w:cs="Times New Roman"/>
          <w:sz w:val="22"/>
          <w:szCs w:val="22"/>
        </w:rPr>
        <w:t xml:space="preserve"> vision for applying Christian principles to every aspect of life, not just within the Church. </w:t>
      </w:r>
      <w:r w:rsidR="002D67F9">
        <w:rPr>
          <w:rFonts w:ascii="Times New Roman" w:hAnsi="Times New Roman" w:cs="Times New Roman"/>
          <w:sz w:val="22"/>
          <w:szCs w:val="22"/>
        </w:rPr>
        <w:t>It</w:t>
      </w:r>
      <w:r w:rsidRPr="00323BE1">
        <w:rPr>
          <w:rFonts w:ascii="Times New Roman" w:hAnsi="Times New Roman" w:cs="Times New Roman"/>
          <w:sz w:val="22"/>
          <w:szCs w:val="22"/>
        </w:rPr>
        <w:t xml:space="preserve"> proposes Christ-centered governance, </w:t>
      </w:r>
      <w:r w:rsidR="002D67F9">
        <w:rPr>
          <w:rFonts w:ascii="Times New Roman" w:hAnsi="Times New Roman" w:cs="Times New Roman"/>
          <w:sz w:val="22"/>
          <w:szCs w:val="22"/>
        </w:rPr>
        <w:t xml:space="preserve">which he termed </w:t>
      </w:r>
      <w:r w:rsidR="005549D4">
        <w:rPr>
          <w:rFonts w:ascii="Times New Roman" w:hAnsi="Times New Roman" w:cs="Times New Roman"/>
          <w:sz w:val="22"/>
          <w:szCs w:val="22"/>
        </w:rPr>
        <w:t>“</w:t>
      </w:r>
      <w:r w:rsidR="002D67F9">
        <w:rPr>
          <w:rFonts w:ascii="Times New Roman" w:hAnsi="Times New Roman" w:cs="Times New Roman"/>
          <w:sz w:val="22"/>
          <w:szCs w:val="22"/>
        </w:rPr>
        <w:t>Christocracy,</w:t>
      </w:r>
      <w:r w:rsidR="005549D4">
        <w:rPr>
          <w:rFonts w:ascii="Times New Roman" w:hAnsi="Times New Roman" w:cs="Times New Roman"/>
          <w:sz w:val="22"/>
          <w:szCs w:val="22"/>
        </w:rPr>
        <w:t>”</w:t>
      </w:r>
      <w:r w:rsidR="002D67F9">
        <w:rPr>
          <w:rFonts w:ascii="Times New Roman" w:hAnsi="Times New Roman" w:cs="Times New Roman"/>
          <w:sz w:val="22"/>
          <w:szCs w:val="22"/>
        </w:rPr>
        <w:t xml:space="preserve"> </w:t>
      </w:r>
      <w:r w:rsidRPr="00323BE1">
        <w:rPr>
          <w:rFonts w:ascii="Times New Roman" w:hAnsi="Times New Roman" w:cs="Times New Roman"/>
          <w:sz w:val="22"/>
          <w:szCs w:val="22"/>
        </w:rPr>
        <w:t xml:space="preserve">detailing </w:t>
      </w:r>
      <w:r w:rsidR="002D67F9">
        <w:rPr>
          <w:rFonts w:ascii="Times New Roman" w:hAnsi="Times New Roman" w:cs="Times New Roman"/>
          <w:sz w:val="22"/>
          <w:szCs w:val="22"/>
        </w:rPr>
        <w:t>fourteen</w:t>
      </w:r>
      <w:r w:rsidRPr="00323BE1">
        <w:rPr>
          <w:rFonts w:ascii="Times New Roman" w:hAnsi="Times New Roman" w:cs="Times New Roman"/>
          <w:sz w:val="22"/>
          <w:szCs w:val="22"/>
        </w:rPr>
        <w:t xml:space="preserve"> specific laws aimed at reforming both church and societal structures</w:t>
      </w:r>
      <w:r w:rsidR="002D67F9">
        <w:rPr>
          <w:rFonts w:ascii="Times New Roman" w:hAnsi="Times New Roman" w:cs="Times New Roman"/>
          <w:sz w:val="22"/>
          <w:szCs w:val="22"/>
        </w:rPr>
        <w:t xml:space="preserve"> </w:t>
      </w:r>
      <w:r w:rsidRPr="00323BE1">
        <w:rPr>
          <w:rFonts w:ascii="Times New Roman" w:hAnsi="Times New Roman" w:cs="Times New Roman"/>
          <w:sz w:val="22"/>
          <w:szCs w:val="22"/>
        </w:rPr>
        <w:t>grounded in the Word of God</w:t>
      </w:r>
      <w:r w:rsidR="002D67F9">
        <w:rPr>
          <w:rFonts w:ascii="Times New Roman" w:hAnsi="Times New Roman" w:cs="Times New Roman"/>
          <w:sz w:val="22"/>
          <w:szCs w:val="22"/>
        </w:rPr>
        <w:t xml:space="preserve"> and guiding</w:t>
      </w:r>
      <w:r w:rsidRPr="00323BE1">
        <w:rPr>
          <w:rFonts w:ascii="Times New Roman" w:hAnsi="Times New Roman" w:cs="Times New Roman"/>
          <w:sz w:val="22"/>
          <w:szCs w:val="22"/>
        </w:rPr>
        <w:t xml:space="preserve"> rulers</w:t>
      </w:r>
      <w:r w:rsidR="002D67F9">
        <w:rPr>
          <w:rFonts w:ascii="Times New Roman" w:hAnsi="Times New Roman" w:cs="Times New Roman"/>
          <w:sz w:val="22"/>
          <w:szCs w:val="22"/>
        </w:rPr>
        <w:t xml:space="preserve">. </w:t>
      </w:r>
      <w:r w:rsidRPr="00323BE1">
        <w:rPr>
          <w:rFonts w:ascii="Times New Roman" w:hAnsi="Times New Roman" w:cs="Times New Roman"/>
          <w:sz w:val="22"/>
          <w:szCs w:val="22"/>
        </w:rPr>
        <w:t xml:space="preserve">Though his direct influence faded after his death in 1551 </w:t>
      </w:r>
      <w:r>
        <w:rPr>
          <w:rFonts w:ascii="Times New Roman" w:hAnsi="Times New Roman" w:cs="Times New Roman"/>
          <w:sz w:val="22"/>
          <w:szCs w:val="22"/>
        </w:rPr>
        <w:t>and Edward</w:t>
      </w:r>
      <w:r w:rsidR="005549D4">
        <w:rPr>
          <w:rFonts w:ascii="Times New Roman" w:hAnsi="Times New Roman" w:cs="Times New Roman"/>
          <w:sz w:val="22"/>
          <w:szCs w:val="22"/>
        </w:rPr>
        <w:t>’</w:t>
      </w:r>
      <w:r>
        <w:rPr>
          <w:rFonts w:ascii="Times New Roman" w:hAnsi="Times New Roman" w:cs="Times New Roman"/>
          <w:sz w:val="22"/>
          <w:szCs w:val="22"/>
        </w:rPr>
        <w:t xml:space="preserve">s in 1553 </w:t>
      </w:r>
      <w:r w:rsidRPr="00323BE1">
        <w:rPr>
          <w:rFonts w:ascii="Times New Roman" w:hAnsi="Times New Roman" w:cs="Times New Roman"/>
          <w:sz w:val="22"/>
          <w:szCs w:val="22"/>
        </w:rPr>
        <w:t>and the subsequent accession of Mary I, who viewed Bucer as a heretic, his ideas arguably influenced certain educational reforms under Edward VI.</w:t>
      </w:r>
      <w:r>
        <w:rPr>
          <w:rFonts w:ascii="Times New Roman" w:hAnsi="Times New Roman" w:cs="Times New Roman"/>
          <w:sz w:val="22"/>
          <w:szCs w:val="22"/>
        </w:rPr>
        <w:t xml:space="preserve"> This precis will mainly focus on Bucer</w:t>
      </w:r>
      <w:r w:rsidR="005549D4">
        <w:rPr>
          <w:rFonts w:ascii="Times New Roman" w:hAnsi="Times New Roman" w:cs="Times New Roman"/>
          <w:sz w:val="22"/>
          <w:szCs w:val="22"/>
        </w:rPr>
        <w:t>’</w:t>
      </w:r>
      <w:r>
        <w:rPr>
          <w:rFonts w:ascii="Times New Roman" w:hAnsi="Times New Roman" w:cs="Times New Roman"/>
          <w:sz w:val="22"/>
          <w:szCs w:val="22"/>
        </w:rPr>
        <w:t xml:space="preserve">s fourteen </w:t>
      </w:r>
      <w:r w:rsidR="00035C8C">
        <w:rPr>
          <w:rFonts w:ascii="Times New Roman" w:hAnsi="Times New Roman" w:cs="Times New Roman"/>
          <w:sz w:val="22"/>
          <w:szCs w:val="22"/>
        </w:rPr>
        <w:t xml:space="preserve">laws but will also address the remaining portion of the work. </w:t>
      </w:r>
    </w:p>
    <w:p w:rsidR="00323BE1" w:rsidRPr="00323BE1" w:rsidRDefault="00323BE1" w:rsidP="00323BE1">
      <w:pPr>
        <w:jc w:val="both"/>
        <w:rPr>
          <w:rFonts w:ascii="Times New Roman" w:hAnsi="Times New Roman" w:cs="Times New Roman"/>
          <w:sz w:val="22"/>
          <w:szCs w:val="22"/>
        </w:rPr>
      </w:pPr>
      <w:r w:rsidRPr="00323BE1">
        <w:rPr>
          <w:rFonts w:ascii="Times New Roman" w:hAnsi="Times New Roman" w:cs="Times New Roman"/>
          <w:sz w:val="22"/>
          <w:szCs w:val="22"/>
        </w:rPr>
        <w:t xml:space="preserve">In </w:t>
      </w:r>
      <w:r w:rsidRPr="001C0B4A">
        <w:rPr>
          <w:rFonts w:ascii="Times New Roman" w:hAnsi="Times New Roman" w:cs="Times New Roman"/>
          <w:b/>
          <w:bCs/>
          <w:sz w:val="22"/>
          <w:szCs w:val="22"/>
        </w:rPr>
        <w:t>Book I</w:t>
      </w:r>
      <w:r w:rsidRPr="00323BE1">
        <w:rPr>
          <w:rFonts w:ascii="Times New Roman" w:hAnsi="Times New Roman" w:cs="Times New Roman"/>
          <w:sz w:val="22"/>
          <w:szCs w:val="22"/>
        </w:rPr>
        <w:t xml:space="preserve"> of </w:t>
      </w:r>
      <w:r w:rsidRPr="00323BE1">
        <w:rPr>
          <w:rFonts w:ascii="Times New Roman" w:hAnsi="Times New Roman" w:cs="Times New Roman"/>
          <w:i/>
          <w:iCs/>
          <w:sz w:val="22"/>
          <w:szCs w:val="22"/>
        </w:rPr>
        <w:t>De Regno Christi</w:t>
      </w:r>
      <w:r w:rsidRPr="00323BE1">
        <w:rPr>
          <w:rFonts w:ascii="Times New Roman" w:hAnsi="Times New Roman" w:cs="Times New Roman"/>
          <w:sz w:val="22"/>
          <w:szCs w:val="22"/>
        </w:rPr>
        <w:t>, Martin Bucer presents a focused theological discourse alongside practical guidelines intended to establish Christ</w:t>
      </w:r>
      <w:r w:rsidR="005549D4">
        <w:rPr>
          <w:rFonts w:ascii="Times New Roman" w:hAnsi="Times New Roman" w:cs="Times New Roman"/>
          <w:sz w:val="22"/>
          <w:szCs w:val="22"/>
        </w:rPr>
        <w:t>’</w:t>
      </w:r>
      <w:r w:rsidRPr="00323BE1">
        <w:rPr>
          <w:rFonts w:ascii="Times New Roman" w:hAnsi="Times New Roman" w:cs="Times New Roman"/>
          <w:sz w:val="22"/>
          <w:szCs w:val="22"/>
        </w:rPr>
        <w:t>s Kingdom on Earth</w:t>
      </w:r>
      <w:r w:rsidR="00035C8C">
        <w:rPr>
          <w:rFonts w:ascii="Times New Roman" w:hAnsi="Times New Roman" w:cs="Times New Roman"/>
          <w:sz w:val="22"/>
          <w:szCs w:val="22"/>
        </w:rPr>
        <w:t>. The book was expressly written for the guidance of King Edward of England. The book opens with a preface in which</w:t>
      </w:r>
      <w:r w:rsidRPr="00323BE1">
        <w:rPr>
          <w:rFonts w:ascii="Times New Roman" w:hAnsi="Times New Roman" w:cs="Times New Roman"/>
          <w:sz w:val="22"/>
          <w:szCs w:val="22"/>
        </w:rPr>
        <w:t xml:space="preserve"> Bucer commends King Edward, portraying him as divinely chosen to accept and champion the establishment of Christ</w:t>
      </w:r>
      <w:r w:rsidR="005549D4">
        <w:rPr>
          <w:rFonts w:ascii="Times New Roman" w:hAnsi="Times New Roman" w:cs="Times New Roman"/>
          <w:sz w:val="22"/>
          <w:szCs w:val="22"/>
        </w:rPr>
        <w:t>’</w:t>
      </w:r>
      <w:r w:rsidRPr="00323BE1">
        <w:rPr>
          <w:rFonts w:ascii="Times New Roman" w:hAnsi="Times New Roman" w:cs="Times New Roman"/>
          <w:sz w:val="22"/>
          <w:szCs w:val="22"/>
        </w:rPr>
        <w:t>s Kingdom.</w:t>
      </w:r>
    </w:p>
    <w:p w:rsidR="00323BE1" w:rsidRDefault="00323BE1" w:rsidP="00323BE1">
      <w:pPr>
        <w:jc w:val="both"/>
        <w:rPr>
          <w:rFonts w:ascii="Times New Roman" w:hAnsi="Times New Roman" w:cs="Times New Roman"/>
          <w:sz w:val="22"/>
          <w:szCs w:val="22"/>
        </w:rPr>
      </w:pPr>
      <w:r w:rsidRPr="00323BE1">
        <w:rPr>
          <w:rFonts w:ascii="Times New Roman" w:hAnsi="Times New Roman" w:cs="Times New Roman"/>
          <w:sz w:val="22"/>
          <w:szCs w:val="22"/>
        </w:rPr>
        <w:t>The initial chapters extensively define the Kingdom of Christ, setting it apart from earthly kingdoms. Bucer describes it as inherently spiritual and eternal, where Christ rules directly, supported by ministers who function effectively despite the adversity posed by a hostile world. He explores both similarities and differences between Christ</w:t>
      </w:r>
      <w:r w:rsidR="005549D4">
        <w:rPr>
          <w:rFonts w:ascii="Times New Roman" w:hAnsi="Times New Roman" w:cs="Times New Roman"/>
          <w:sz w:val="22"/>
          <w:szCs w:val="22"/>
        </w:rPr>
        <w:t>’</w:t>
      </w:r>
      <w:r w:rsidRPr="00323BE1">
        <w:rPr>
          <w:rFonts w:ascii="Times New Roman" w:hAnsi="Times New Roman" w:cs="Times New Roman"/>
          <w:sz w:val="22"/>
          <w:szCs w:val="22"/>
        </w:rPr>
        <w:t>s spiritual kingdom and secular governments. Similarities include the hierarchical structure featuring a supreme ruler and the responsibility for the moral guidance of the populace. They share challenges in managing the coexistence of good and evil within society, and both seek to gather people under a unified cause. However, Christ</w:t>
      </w:r>
      <w:r w:rsidR="005549D4">
        <w:rPr>
          <w:rFonts w:ascii="Times New Roman" w:hAnsi="Times New Roman" w:cs="Times New Roman"/>
          <w:sz w:val="22"/>
          <w:szCs w:val="22"/>
        </w:rPr>
        <w:t>’</w:t>
      </w:r>
      <w:r w:rsidRPr="00323BE1">
        <w:rPr>
          <w:rFonts w:ascii="Times New Roman" w:hAnsi="Times New Roman" w:cs="Times New Roman"/>
          <w:sz w:val="22"/>
          <w:szCs w:val="22"/>
        </w:rPr>
        <w:t>s Kingdom is distinguished by Christ</w:t>
      </w:r>
      <w:r w:rsidR="005549D4">
        <w:rPr>
          <w:rFonts w:ascii="Times New Roman" w:hAnsi="Times New Roman" w:cs="Times New Roman"/>
          <w:sz w:val="22"/>
          <w:szCs w:val="22"/>
        </w:rPr>
        <w:t>’</w:t>
      </w:r>
      <w:r w:rsidRPr="00323BE1">
        <w:rPr>
          <w:rFonts w:ascii="Times New Roman" w:hAnsi="Times New Roman" w:cs="Times New Roman"/>
          <w:sz w:val="22"/>
          <w:szCs w:val="22"/>
        </w:rPr>
        <w:t>s omnipresence, negating the need for earthly representations, and by its eternal nature, transcending the temporal limits of earthly rule.</w:t>
      </w:r>
      <w:r w:rsidR="00035C8C">
        <w:rPr>
          <w:rFonts w:ascii="Times New Roman" w:hAnsi="Times New Roman" w:cs="Times New Roman"/>
          <w:sz w:val="22"/>
          <w:szCs w:val="22"/>
        </w:rPr>
        <w:t xml:space="preserve"> </w:t>
      </w:r>
      <w:r w:rsidRPr="00323BE1">
        <w:rPr>
          <w:rFonts w:ascii="Times New Roman" w:hAnsi="Times New Roman" w:cs="Times New Roman"/>
          <w:sz w:val="22"/>
          <w:szCs w:val="22"/>
        </w:rPr>
        <w:t>Bucer uses prophetic texts, particularly from the book of Isaiah, to illustrate the divine attributes and expectations of Christ</w:t>
      </w:r>
      <w:r w:rsidR="005549D4">
        <w:rPr>
          <w:rFonts w:ascii="Times New Roman" w:hAnsi="Times New Roman" w:cs="Times New Roman"/>
          <w:sz w:val="22"/>
          <w:szCs w:val="22"/>
        </w:rPr>
        <w:t>’</w:t>
      </w:r>
      <w:r w:rsidRPr="00323BE1">
        <w:rPr>
          <w:rFonts w:ascii="Times New Roman" w:hAnsi="Times New Roman" w:cs="Times New Roman"/>
          <w:sz w:val="22"/>
          <w:szCs w:val="22"/>
        </w:rPr>
        <w:t>s Kingdom. These passages underscore themes such as divine justice, peace, and the transformative power of the Holy Spirit. The scriptures paint a picture of a renewed society where the gospel facilitates righteousness and mercy.</w:t>
      </w:r>
      <w:r w:rsidR="00035C8C">
        <w:rPr>
          <w:rFonts w:ascii="Times New Roman" w:hAnsi="Times New Roman" w:cs="Times New Roman"/>
          <w:sz w:val="22"/>
          <w:szCs w:val="22"/>
        </w:rPr>
        <w:t xml:space="preserve"> </w:t>
      </w:r>
      <w:r w:rsidRPr="00323BE1">
        <w:rPr>
          <w:rFonts w:ascii="Times New Roman" w:hAnsi="Times New Roman" w:cs="Times New Roman"/>
          <w:sz w:val="22"/>
          <w:szCs w:val="22"/>
        </w:rPr>
        <w:t>In a historical context, Bucer reviews the Church</w:t>
      </w:r>
      <w:r w:rsidR="005549D4">
        <w:rPr>
          <w:rFonts w:ascii="Times New Roman" w:hAnsi="Times New Roman" w:cs="Times New Roman"/>
          <w:sz w:val="22"/>
          <w:szCs w:val="22"/>
        </w:rPr>
        <w:t>’</w:t>
      </w:r>
      <w:r w:rsidRPr="00323BE1">
        <w:rPr>
          <w:rFonts w:ascii="Times New Roman" w:hAnsi="Times New Roman" w:cs="Times New Roman"/>
          <w:sz w:val="22"/>
          <w:szCs w:val="22"/>
        </w:rPr>
        <w:t>s evolution from the era of Constantine and Theodosius through the corruptions introduced by what he labels as the Roman Antichrist</w:t>
      </w:r>
      <w:r w:rsidR="00035C8C">
        <w:rPr>
          <w:rFonts w:ascii="Times New Roman" w:hAnsi="Times New Roman" w:cs="Times New Roman"/>
          <w:sz w:val="22"/>
          <w:szCs w:val="22"/>
        </w:rPr>
        <w:t xml:space="preserve"> – </w:t>
      </w:r>
      <w:r w:rsidRPr="00323BE1">
        <w:rPr>
          <w:rFonts w:ascii="Times New Roman" w:hAnsi="Times New Roman" w:cs="Times New Roman"/>
          <w:sz w:val="22"/>
          <w:szCs w:val="22"/>
        </w:rPr>
        <w:t xml:space="preserve">referring to the medieval Roman Catholic Church. He criticizes this era for its restrictive practices towards scripture and doctrinal errors, contrasting these with the </w:t>
      </w:r>
      <w:r w:rsidR="00035C8C" w:rsidRPr="00323BE1">
        <w:rPr>
          <w:rFonts w:ascii="Times New Roman" w:hAnsi="Times New Roman" w:cs="Times New Roman"/>
          <w:sz w:val="22"/>
          <w:szCs w:val="22"/>
        </w:rPr>
        <w:t>revival</w:t>
      </w:r>
      <w:r w:rsidRPr="00323BE1">
        <w:rPr>
          <w:rFonts w:ascii="Times New Roman" w:hAnsi="Times New Roman" w:cs="Times New Roman"/>
          <w:sz w:val="22"/>
          <w:szCs w:val="22"/>
        </w:rPr>
        <w:t xml:space="preserve"> seen in contemporary reformation efforts </w:t>
      </w:r>
      <w:r w:rsidR="00035C8C">
        <w:rPr>
          <w:rFonts w:ascii="Times New Roman" w:hAnsi="Times New Roman" w:cs="Times New Roman"/>
          <w:sz w:val="22"/>
          <w:szCs w:val="22"/>
        </w:rPr>
        <w:t>in, among other places,</w:t>
      </w:r>
      <w:r w:rsidRPr="00323BE1">
        <w:rPr>
          <w:rFonts w:ascii="Times New Roman" w:hAnsi="Times New Roman" w:cs="Times New Roman"/>
          <w:sz w:val="22"/>
          <w:szCs w:val="22"/>
        </w:rPr>
        <w:t xml:space="preserve"> Germany and Hungary. Bucer praises these movements as closer to fulfilling the biblical prophecies and embodying the true spirit of the gospel.</w:t>
      </w:r>
      <w:r w:rsidR="00035C8C">
        <w:rPr>
          <w:rFonts w:ascii="Times New Roman" w:hAnsi="Times New Roman" w:cs="Times New Roman"/>
          <w:sz w:val="22"/>
          <w:szCs w:val="22"/>
        </w:rPr>
        <w:t xml:space="preserve"> </w:t>
      </w:r>
      <w:r w:rsidRPr="00323BE1">
        <w:rPr>
          <w:rFonts w:ascii="Times New Roman" w:hAnsi="Times New Roman" w:cs="Times New Roman"/>
          <w:sz w:val="22"/>
          <w:szCs w:val="22"/>
        </w:rPr>
        <w:t xml:space="preserve">Overall, </w:t>
      </w:r>
      <w:r w:rsidR="005549D4">
        <w:rPr>
          <w:rFonts w:ascii="Times New Roman" w:hAnsi="Times New Roman" w:cs="Times New Roman"/>
          <w:sz w:val="22"/>
          <w:szCs w:val="22"/>
        </w:rPr>
        <w:t>“</w:t>
      </w:r>
      <w:r w:rsidRPr="00323BE1">
        <w:rPr>
          <w:rFonts w:ascii="Times New Roman" w:hAnsi="Times New Roman" w:cs="Times New Roman"/>
          <w:sz w:val="22"/>
          <w:szCs w:val="22"/>
        </w:rPr>
        <w:t>De Regno Christi</w:t>
      </w:r>
      <w:r w:rsidR="005549D4">
        <w:rPr>
          <w:rFonts w:ascii="Times New Roman" w:hAnsi="Times New Roman" w:cs="Times New Roman"/>
          <w:sz w:val="22"/>
          <w:szCs w:val="22"/>
        </w:rPr>
        <w:t>”</w:t>
      </w:r>
      <w:r w:rsidRPr="00323BE1">
        <w:rPr>
          <w:rFonts w:ascii="Times New Roman" w:hAnsi="Times New Roman" w:cs="Times New Roman"/>
          <w:sz w:val="22"/>
          <w:szCs w:val="22"/>
        </w:rPr>
        <w:t xml:space="preserve"> Book I functions as a deeply instructive manual aimed at rulers and clergy. Bucer envisions them guiding the societal and spiritual reform necessary to align more closely with what he perceives as the divine governance prescribed by Christ. This reformation, while rooted in</w:t>
      </w:r>
      <w:r w:rsidR="00035C8C">
        <w:rPr>
          <w:rFonts w:ascii="Times New Roman" w:hAnsi="Times New Roman" w:cs="Times New Roman"/>
          <w:sz w:val="22"/>
          <w:szCs w:val="22"/>
        </w:rPr>
        <w:t xml:space="preserve"> theoretical</w:t>
      </w:r>
      <w:r w:rsidRPr="00323BE1">
        <w:rPr>
          <w:rFonts w:ascii="Times New Roman" w:hAnsi="Times New Roman" w:cs="Times New Roman"/>
          <w:sz w:val="22"/>
          <w:szCs w:val="22"/>
        </w:rPr>
        <w:t xml:space="preserve"> theological insight, is intended to have </w:t>
      </w:r>
      <w:r w:rsidR="00035C8C">
        <w:rPr>
          <w:rFonts w:ascii="Times New Roman" w:hAnsi="Times New Roman" w:cs="Times New Roman"/>
          <w:sz w:val="22"/>
          <w:szCs w:val="22"/>
        </w:rPr>
        <w:t>practical</w:t>
      </w:r>
      <w:r w:rsidRPr="00323BE1">
        <w:rPr>
          <w:rFonts w:ascii="Times New Roman" w:hAnsi="Times New Roman" w:cs="Times New Roman"/>
          <w:sz w:val="22"/>
          <w:szCs w:val="22"/>
        </w:rPr>
        <w:t xml:space="preserve"> impacts on the structure and operation of society.</w:t>
      </w:r>
    </w:p>
    <w:p w:rsidR="00035C8C" w:rsidRDefault="00035C8C" w:rsidP="00035C8C">
      <w:pPr>
        <w:jc w:val="both"/>
        <w:rPr>
          <w:rFonts w:ascii="Times New Roman" w:hAnsi="Times New Roman" w:cs="Times New Roman"/>
          <w:sz w:val="22"/>
          <w:szCs w:val="22"/>
        </w:rPr>
      </w:pPr>
      <w:r>
        <w:rPr>
          <w:rFonts w:ascii="Times New Roman" w:hAnsi="Times New Roman" w:cs="Times New Roman"/>
          <w:sz w:val="22"/>
          <w:szCs w:val="22"/>
        </w:rPr>
        <w:t xml:space="preserve">The opening chapters of </w:t>
      </w:r>
      <w:r w:rsidRPr="001C0B4A">
        <w:rPr>
          <w:rFonts w:ascii="Times New Roman" w:hAnsi="Times New Roman" w:cs="Times New Roman"/>
          <w:b/>
          <w:bCs/>
          <w:sz w:val="22"/>
          <w:szCs w:val="22"/>
        </w:rPr>
        <w:t>Book II</w:t>
      </w:r>
      <w:r>
        <w:rPr>
          <w:rFonts w:ascii="Times New Roman" w:hAnsi="Times New Roman" w:cs="Times New Roman"/>
          <w:sz w:val="22"/>
          <w:szCs w:val="22"/>
        </w:rPr>
        <w:t xml:space="preserve"> provide a detailed blueprint for the reformation of Christ</w:t>
      </w:r>
      <w:r w:rsidR="005549D4">
        <w:rPr>
          <w:rFonts w:ascii="Times New Roman" w:hAnsi="Times New Roman" w:cs="Times New Roman"/>
          <w:sz w:val="22"/>
          <w:szCs w:val="22"/>
        </w:rPr>
        <w:t>’</w:t>
      </w:r>
      <w:r>
        <w:rPr>
          <w:rFonts w:ascii="Times New Roman" w:hAnsi="Times New Roman" w:cs="Times New Roman"/>
          <w:sz w:val="22"/>
          <w:szCs w:val="22"/>
        </w:rPr>
        <w:t xml:space="preserve">s Kingdom, concentrating on the roles of leaders and the need for preaching the Gospel. </w:t>
      </w:r>
      <w:r w:rsidRPr="00035C8C">
        <w:rPr>
          <w:rFonts w:ascii="Times New Roman" w:hAnsi="Times New Roman" w:cs="Times New Roman"/>
          <w:sz w:val="22"/>
          <w:szCs w:val="22"/>
        </w:rPr>
        <w:t xml:space="preserve">He argues that effective reform is most plausible under devout kings, drawing on historical biblical rulers and emphasizing the selection of advisors who </w:t>
      </w:r>
      <w:r>
        <w:rPr>
          <w:rFonts w:ascii="Times New Roman" w:hAnsi="Times New Roman" w:cs="Times New Roman"/>
          <w:sz w:val="22"/>
          <w:szCs w:val="22"/>
        </w:rPr>
        <w:t xml:space="preserve">are </w:t>
      </w:r>
      <w:r w:rsidRPr="00035C8C">
        <w:rPr>
          <w:rFonts w:ascii="Times New Roman" w:hAnsi="Times New Roman" w:cs="Times New Roman"/>
          <w:sz w:val="22"/>
          <w:szCs w:val="22"/>
        </w:rPr>
        <w:t>deeply commit</w:t>
      </w:r>
      <w:r>
        <w:rPr>
          <w:rFonts w:ascii="Times New Roman" w:hAnsi="Times New Roman" w:cs="Times New Roman"/>
          <w:sz w:val="22"/>
          <w:szCs w:val="22"/>
        </w:rPr>
        <w:t>ted</w:t>
      </w:r>
      <w:r w:rsidRPr="00035C8C">
        <w:rPr>
          <w:rFonts w:ascii="Times New Roman" w:hAnsi="Times New Roman" w:cs="Times New Roman"/>
          <w:sz w:val="22"/>
          <w:szCs w:val="22"/>
        </w:rPr>
        <w:t xml:space="preserve"> to Christ</w:t>
      </w:r>
      <w:r w:rsidR="005549D4">
        <w:rPr>
          <w:rFonts w:ascii="Times New Roman" w:hAnsi="Times New Roman" w:cs="Times New Roman"/>
          <w:sz w:val="22"/>
          <w:szCs w:val="22"/>
        </w:rPr>
        <w:t>’</w:t>
      </w:r>
      <w:r w:rsidRPr="00035C8C">
        <w:rPr>
          <w:rFonts w:ascii="Times New Roman" w:hAnsi="Times New Roman" w:cs="Times New Roman"/>
          <w:sz w:val="22"/>
          <w:szCs w:val="22"/>
        </w:rPr>
        <w:t xml:space="preserve">s teachings without personal gain. Bucer asserts that true reform extends beyond mere edicts; it requires devout persuasion and clear, convincing preaching </w:t>
      </w:r>
      <w:r>
        <w:rPr>
          <w:rFonts w:ascii="Times New Roman" w:hAnsi="Times New Roman" w:cs="Times New Roman"/>
          <w:sz w:val="22"/>
          <w:szCs w:val="22"/>
        </w:rPr>
        <w:t xml:space="preserve">of the gospel </w:t>
      </w:r>
      <w:r w:rsidRPr="00035C8C">
        <w:rPr>
          <w:rFonts w:ascii="Times New Roman" w:hAnsi="Times New Roman" w:cs="Times New Roman"/>
          <w:sz w:val="22"/>
          <w:szCs w:val="22"/>
        </w:rPr>
        <w:t xml:space="preserve">to instill genuine faith and adherence to Christian principles. He stresses the importance of training evangelists in institutions like Oxford and Cambridge, focusing on theology to nurture knowledgeable and dedicated preachers. </w:t>
      </w:r>
      <w:r>
        <w:rPr>
          <w:rFonts w:ascii="Times New Roman" w:hAnsi="Times New Roman" w:cs="Times New Roman"/>
          <w:sz w:val="22"/>
          <w:szCs w:val="22"/>
        </w:rPr>
        <w:t>Moreover, h</w:t>
      </w:r>
      <w:r w:rsidRPr="00035C8C">
        <w:rPr>
          <w:rFonts w:ascii="Times New Roman" w:hAnsi="Times New Roman" w:cs="Times New Roman"/>
          <w:sz w:val="22"/>
          <w:szCs w:val="22"/>
        </w:rPr>
        <w:t xml:space="preserve">e suggests that these efforts should be supported by royal stipends and the advocacy for holy laws and proper religious education to ensure a sustainable </w:t>
      </w:r>
      <w:r>
        <w:rPr>
          <w:rFonts w:ascii="Times New Roman" w:hAnsi="Times New Roman" w:cs="Times New Roman"/>
          <w:sz w:val="22"/>
          <w:szCs w:val="22"/>
        </w:rPr>
        <w:t xml:space="preserve">reform of and </w:t>
      </w:r>
      <w:r w:rsidRPr="00035C8C">
        <w:rPr>
          <w:rFonts w:ascii="Times New Roman" w:hAnsi="Times New Roman" w:cs="Times New Roman"/>
          <w:sz w:val="22"/>
          <w:szCs w:val="22"/>
        </w:rPr>
        <w:t>return to a true Christian life.</w:t>
      </w:r>
    </w:p>
    <w:p w:rsidR="009E0E6B" w:rsidRPr="009E0E6B" w:rsidRDefault="00655F36" w:rsidP="009E0E6B">
      <w:pPr>
        <w:jc w:val="both"/>
        <w:rPr>
          <w:rFonts w:ascii="Times New Roman" w:hAnsi="Times New Roman" w:cs="Times New Roman"/>
          <w:sz w:val="22"/>
          <w:szCs w:val="22"/>
        </w:rPr>
      </w:pPr>
      <w:r>
        <w:rPr>
          <w:rFonts w:ascii="Times New Roman" w:hAnsi="Times New Roman" w:cs="Times New Roman"/>
          <w:sz w:val="22"/>
          <w:szCs w:val="22"/>
        </w:rPr>
        <w:t xml:space="preserve">In the remaining part of the book, Bucer discusses fourteen laws. The first six apply to the church, the seventh – which is discussed in tremendous detail – to both church and state, and the final seven chapters to the state. </w:t>
      </w:r>
      <w:r w:rsidR="009E0E6B">
        <w:rPr>
          <w:rFonts w:ascii="Times New Roman" w:hAnsi="Times New Roman" w:cs="Times New Roman"/>
          <w:sz w:val="22"/>
          <w:szCs w:val="22"/>
        </w:rPr>
        <w:t xml:space="preserve">The first law </w:t>
      </w:r>
      <w:r w:rsidR="009E0E6B" w:rsidRPr="009E0E6B">
        <w:rPr>
          <w:rFonts w:ascii="Times New Roman" w:hAnsi="Times New Roman" w:cs="Times New Roman"/>
          <w:sz w:val="22"/>
          <w:szCs w:val="22"/>
        </w:rPr>
        <w:t>asserts the necessity of religious education for children, emphasizing the importance of catechism in nurturing faith from a young age.</w:t>
      </w:r>
      <w:r w:rsidR="009E0E6B">
        <w:rPr>
          <w:rFonts w:ascii="Times New Roman" w:hAnsi="Times New Roman" w:cs="Times New Roman"/>
          <w:sz w:val="22"/>
          <w:szCs w:val="22"/>
        </w:rPr>
        <w:t xml:space="preserve"> </w:t>
      </w:r>
      <w:r w:rsidR="009E0E6B" w:rsidRPr="009E0E6B">
        <w:rPr>
          <w:rFonts w:ascii="Times New Roman" w:hAnsi="Times New Roman" w:cs="Times New Roman"/>
          <w:sz w:val="22"/>
          <w:szCs w:val="22"/>
        </w:rPr>
        <w:t>Bucer specifies</w:t>
      </w:r>
      <w:r w:rsidR="009E0E6B">
        <w:rPr>
          <w:rFonts w:ascii="Times New Roman" w:hAnsi="Times New Roman" w:cs="Times New Roman"/>
          <w:sz w:val="22"/>
          <w:szCs w:val="22"/>
        </w:rPr>
        <w:t xml:space="preserve"> the sanctification of holy days in the second law</w:t>
      </w:r>
      <w:r w:rsidR="009E0E6B" w:rsidRPr="009E0E6B">
        <w:rPr>
          <w:rFonts w:ascii="Times New Roman" w:hAnsi="Times New Roman" w:cs="Times New Roman"/>
          <w:sz w:val="22"/>
          <w:szCs w:val="22"/>
        </w:rPr>
        <w:t xml:space="preserve">, urging that these days be kept free from secular entertainments such as races, animal shows, spectacles, and all forms of obscene pleasures. He also restricts social gatherings like feasts and weddings on these days to </w:t>
      </w:r>
      <w:r w:rsidR="009E0E6B">
        <w:rPr>
          <w:rFonts w:ascii="Times New Roman" w:hAnsi="Times New Roman" w:cs="Times New Roman"/>
          <w:sz w:val="22"/>
          <w:szCs w:val="22"/>
        </w:rPr>
        <w:t>safeguard</w:t>
      </w:r>
      <w:r w:rsidR="009E0E6B" w:rsidRPr="009E0E6B">
        <w:rPr>
          <w:rFonts w:ascii="Times New Roman" w:hAnsi="Times New Roman" w:cs="Times New Roman"/>
          <w:sz w:val="22"/>
          <w:szCs w:val="22"/>
        </w:rPr>
        <w:t xml:space="preserve"> their sacredness.</w:t>
      </w:r>
      <w:r w:rsidR="009E0E6B">
        <w:rPr>
          <w:rFonts w:ascii="Times New Roman" w:hAnsi="Times New Roman" w:cs="Times New Roman"/>
          <w:sz w:val="22"/>
          <w:szCs w:val="22"/>
        </w:rPr>
        <w:t xml:space="preserve"> </w:t>
      </w:r>
      <w:r w:rsidR="009E0E6B" w:rsidRPr="009E0E6B">
        <w:rPr>
          <w:rFonts w:ascii="Times New Roman" w:hAnsi="Times New Roman" w:cs="Times New Roman"/>
          <w:sz w:val="22"/>
          <w:szCs w:val="22"/>
        </w:rPr>
        <w:t xml:space="preserve">Under </w:t>
      </w:r>
      <w:r w:rsidR="009E0E6B">
        <w:rPr>
          <w:rFonts w:ascii="Times New Roman" w:hAnsi="Times New Roman" w:cs="Times New Roman"/>
          <w:sz w:val="22"/>
          <w:szCs w:val="22"/>
        </w:rPr>
        <w:t>the third</w:t>
      </w:r>
      <w:r w:rsidR="009E0E6B" w:rsidRPr="009E0E6B">
        <w:rPr>
          <w:rFonts w:ascii="Times New Roman" w:hAnsi="Times New Roman" w:cs="Times New Roman"/>
          <w:sz w:val="22"/>
          <w:szCs w:val="22"/>
        </w:rPr>
        <w:t xml:space="preserve"> law, churches are to be </w:t>
      </w:r>
      <w:r w:rsidR="009E0E6B">
        <w:rPr>
          <w:rFonts w:ascii="Times New Roman" w:hAnsi="Times New Roman" w:cs="Times New Roman"/>
          <w:sz w:val="22"/>
          <w:szCs w:val="22"/>
        </w:rPr>
        <w:t>used</w:t>
      </w:r>
      <w:r w:rsidR="009E0E6B" w:rsidRPr="009E0E6B">
        <w:rPr>
          <w:rFonts w:ascii="Times New Roman" w:hAnsi="Times New Roman" w:cs="Times New Roman"/>
          <w:sz w:val="22"/>
          <w:szCs w:val="22"/>
        </w:rPr>
        <w:t xml:space="preserve"> solely </w:t>
      </w:r>
      <w:r w:rsidR="009E0E6B">
        <w:rPr>
          <w:rFonts w:ascii="Times New Roman" w:hAnsi="Times New Roman" w:cs="Times New Roman"/>
          <w:sz w:val="22"/>
          <w:szCs w:val="22"/>
        </w:rPr>
        <w:t>for</w:t>
      </w:r>
      <w:r w:rsidR="009E0E6B" w:rsidRPr="009E0E6B">
        <w:rPr>
          <w:rFonts w:ascii="Times New Roman" w:hAnsi="Times New Roman" w:cs="Times New Roman"/>
          <w:sz w:val="22"/>
          <w:szCs w:val="22"/>
        </w:rPr>
        <w:t xml:space="preserve"> activities sanctioned by the Lord, ensuring that these spaces remain sacred and are not used for any non-</w:t>
      </w:r>
      <w:r w:rsidR="009E0E6B" w:rsidRPr="009E0E6B">
        <w:rPr>
          <w:rFonts w:ascii="Times New Roman" w:hAnsi="Times New Roman" w:cs="Times New Roman"/>
          <w:sz w:val="22"/>
          <w:szCs w:val="22"/>
        </w:rPr>
        <w:lastRenderedPageBreak/>
        <w:t>religious activities.</w:t>
      </w:r>
      <w:r w:rsidR="009E0E6B">
        <w:rPr>
          <w:rFonts w:ascii="Times New Roman" w:hAnsi="Times New Roman" w:cs="Times New Roman"/>
          <w:sz w:val="22"/>
          <w:szCs w:val="22"/>
        </w:rPr>
        <w:t xml:space="preserve"> The fourth law f</w:t>
      </w:r>
      <w:r w:rsidR="009E0E6B" w:rsidRPr="009E0E6B">
        <w:rPr>
          <w:rFonts w:ascii="Times New Roman" w:hAnsi="Times New Roman" w:cs="Times New Roman"/>
          <w:sz w:val="22"/>
          <w:szCs w:val="22"/>
        </w:rPr>
        <w:t>ocuses on rectifying the clergy</w:t>
      </w:r>
      <w:r w:rsidR="005549D4">
        <w:rPr>
          <w:rFonts w:ascii="Times New Roman" w:hAnsi="Times New Roman" w:cs="Times New Roman"/>
          <w:sz w:val="22"/>
          <w:szCs w:val="22"/>
        </w:rPr>
        <w:t>’</w:t>
      </w:r>
      <w:r w:rsidR="009E0E6B" w:rsidRPr="009E0E6B">
        <w:rPr>
          <w:rFonts w:ascii="Times New Roman" w:hAnsi="Times New Roman" w:cs="Times New Roman"/>
          <w:sz w:val="22"/>
          <w:szCs w:val="22"/>
        </w:rPr>
        <w:t>s perversity by restoring proper ecclesiastical practices and structures. It includes annual church visitations by bishops, eliminati</w:t>
      </w:r>
      <w:r w:rsidR="009E0E6B">
        <w:rPr>
          <w:rFonts w:ascii="Times New Roman" w:hAnsi="Times New Roman" w:cs="Times New Roman"/>
          <w:sz w:val="22"/>
          <w:szCs w:val="22"/>
        </w:rPr>
        <w:t>ng mandatory celibacy, and allowing</w:t>
      </w:r>
      <w:r w:rsidR="009E0E6B" w:rsidRPr="009E0E6B">
        <w:rPr>
          <w:rFonts w:ascii="Times New Roman" w:hAnsi="Times New Roman" w:cs="Times New Roman"/>
          <w:sz w:val="22"/>
          <w:szCs w:val="22"/>
        </w:rPr>
        <w:t xml:space="preserve"> the king </w:t>
      </w:r>
      <w:r w:rsidR="009E0E6B">
        <w:rPr>
          <w:rFonts w:ascii="Times New Roman" w:hAnsi="Times New Roman" w:cs="Times New Roman"/>
          <w:sz w:val="22"/>
          <w:szCs w:val="22"/>
        </w:rPr>
        <w:t>to appoint bishops and summon and preside</w:t>
      </w:r>
      <w:r w:rsidR="009E0E6B" w:rsidRPr="009E0E6B">
        <w:rPr>
          <w:rFonts w:ascii="Times New Roman" w:hAnsi="Times New Roman" w:cs="Times New Roman"/>
          <w:sz w:val="22"/>
          <w:szCs w:val="22"/>
        </w:rPr>
        <w:t xml:space="preserve"> over </w:t>
      </w:r>
      <w:r w:rsidR="009E0E6B">
        <w:rPr>
          <w:rFonts w:ascii="Times New Roman" w:hAnsi="Times New Roman" w:cs="Times New Roman"/>
          <w:sz w:val="22"/>
          <w:szCs w:val="22"/>
        </w:rPr>
        <w:t xml:space="preserve">councils. The fifth </w:t>
      </w:r>
      <w:r w:rsidR="009E0E6B" w:rsidRPr="009E0E6B">
        <w:rPr>
          <w:rFonts w:ascii="Times New Roman" w:hAnsi="Times New Roman" w:cs="Times New Roman"/>
          <w:sz w:val="22"/>
          <w:szCs w:val="22"/>
        </w:rPr>
        <w:t xml:space="preserve">law addresses the management of church properties and finances, </w:t>
      </w:r>
      <w:r w:rsidR="009E0E6B">
        <w:rPr>
          <w:rFonts w:ascii="Times New Roman" w:hAnsi="Times New Roman" w:cs="Times New Roman"/>
          <w:sz w:val="22"/>
          <w:szCs w:val="22"/>
        </w:rPr>
        <w:t xml:space="preserve">advocating against </w:t>
      </w:r>
      <w:r w:rsidR="009E0E6B" w:rsidRPr="009E0E6B">
        <w:rPr>
          <w:rFonts w:ascii="Times New Roman" w:hAnsi="Times New Roman" w:cs="Times New Roman"/>
          <w:sz w:val="22"/>
          <w:szCs w:val="22"/>
        </w:rPr>
        <w:t>taxes for the Roman</w:t>
      </w:r>
      <w:r w:rsidR="009E0E6B">
        <w:rPr>
          <w:rFonts w:ascii="Times New Roman" w:hAnsi="Times New Roman" w:cs="Times New Roman"/>
          <w:sz w:val="22"/>
          <w:szCs w:val="22"/>
        </w:rPr>
        <w:t xml:space="preserve"> Catholic church</w:t>
      </w:r>
      <w:r w:rsidR="009E0E6B" w:rsidRPr="009E0E6B">
        <w:rPr>
          <w:rFonts w:ascii="Times New Roman" w:hAnsi="Times New Roman" w:cs="Times New Roman"/>
          <w:sz w:val="22"/>
          <w:szCs w:val="22"/>
        </w:rPr>
        <w:t xml:space="preserve"> and the misuse of church funds. It urges kings to ensure that ecclesiastical estates contribute to the church and public welfare without engaging in simony. It also calls for the transparent and responsible management of church funds and properties, especially those acquired through questionable means.</w:t>
      </w:r>
      <w:r w:rsidR="009E0E6B">
        <w:rPr>
          <w:rFonts w:ascii="Times New Roman" w:hAnsi="Times New Roman" w:cs="Times New Roman"/>
          <w:sz w:val="22"/>
          <w:szCs w:val="22"/>
        </w:rPr>
        <w:t xml:space="preserve"> The sixth</w:t>
      </w:r>
      <w:r w:rsidR="009E0E6B" w:rsidRPr="009E0E6B">
        <w:rPr>
          <w:rFonts w:ascii="Times New Roman" w:hAnsi="Times New Roman" w:cs="Times New Roman"/>
          <w:sz w:val="22"/>
          <w:szCs w:val="22"/>
        </w:rPr>
        <w:t xml:space="preserve"> law outlines a structured approach to poor relief, starting with a thorough investigation of who genuinely needs help</w:t>
      </w:r>
      <w:r w:rsidR="009E0E6B">
        <w:rPr>
          <w:rFonts w:ascii="Times New Roman" w:hAnsi="Times New Roman" w:cs="Times New Roman"/>
          <w:sz w:val="22"/>
          <w:szCs w:val="22"/>
        </w:rPr>
        <w:t xml:space="preserve"> and</w:t>
      </w:r>
      <w:r w:rsidR="009E0E6B" w:rsidRPr="009E0E6B">
        <w:rPr>
          <w:rFonts w:ascii="Times New Roman" w:hAnsi="Times New Roman" w:cs="Times New Roman"/>
          <w:sz w:val="22"/>
          <w:szCs w:val="22"/>
        </w:rPr>
        <w:t xml:space="preserve"> prioritizing support</w:t>
      </w:r>
      <w:r w:rsidR="009E0E6B">
        <w:rPr>
          <w:rFonts w:ascii="Times New Roman" w:hAnsi="Times New Roman" w:cs="Times New Roman"/>
          <w:sz w:val="22"/>
          <w:szCs w:val="22"/>
        </w:rPr>
        <w:t xml:space="preserve"> through relatives</w:t>
      </w:r>
      <w:r w:rsidR="009E0E6B" w:rsidRPr="009E0E6B">
        <w:rPr>
          <w:rFonts w:ascii="Times New Roman" w:hAnsi="Times New Roman" w:cs="Times New Roman"/>
          <w:sz w:val="22"/>
          <w:szCs w:val="22"/>
        </w:rPr>
        <w:t xml:space="preserve">. It calls for systematic record-keeping of income and </w:t>
      </w:r>
      <w:r w:rsidR="009E0E6B">
        <w:rPr>
          <w:rFonts w:ascii="Times New Roman" w:hAnsi="Times New Roman" w:cs="Times New Roman"/>
          <w:sz w:val="22"/>
          <w:szCs w:val="22"/>
        </w:rPr>
        <w:t>poor relief</w:t>
      </w:r>
      <w:r w:rsidR="009E0E6B" w:rsidRPr="009E0E6B">
        <w:rPr>
          <w:rFonts w:ascii="Times New Roman" w:hAnsi="Times New Roman" w:cs="Times New Roman"/>
          <w:sz w:val="22"/>
          <w:szCs w:val="22"/>
        </w:rPr>
        <w:t>, discourages private almsgiving in favor of organized support, and advocates for penalties for those who fail to contribute their fair share to this cause.</w:t>
      </w:r>
      <w:r w:rsidR="009E0E6B">
        <w:rPr>
          <w:rFonts w:ascii="Times New Roman" w:hAnsi="Times New Roman" w:cs="Times New Roman"/>
          <w:sz w:val="22"/>
          <w:szCs w:val="22"/>
        </w:rPr>
        <w:t xml:space="preserve"> </w:t>
      </w:r>
    </w:p>
    <w:p w:rsidR="002D67F9" w:rsidRDefault="00480F74" w:rsidP="00655F36">
      <w:pPr>
        <w:jc w:val="both"/>
        <w:rPr>
          <w:rFonts w:ascii="Times New Roman" w:hAnsi="Times New Roman" w:cs="Times New Roman"/>
          <w:i/>
          <w:iCs/>
          <w:sz w:val="22"/>
          <w:szCs w:val="22"/>
        </w:rPr>
      </w:pPr>
      <w:r>
        <w:rPr>
          <w:rFonts w:ascii="Times New Roman" w:hAnsi="Times New Roman" w:cs="Times New Roman"/>
          <w:sz w:val="22"/>
          <w:szCs w:val="22"/>
        </w:rPr>
        <w:t>In the large section (comprising no less than thirty-one chapters) on the seventh law, Bucer outlines a</w:t>
      </w:r>
      <w:r w:rsidR="00035C8C" w:rsidRPr="00035C8C">
        <w:rPr>
          <w:rFonts w:ascii="Times New Roman" w:hAnsi="Times New Roman" w:cs="Times New Roman"/>
          <w:sz w:val="22"/>
          <w:szCs w:val="22"/>
        </w:rPr>
        <w:t xml:space="preserve"> comprehensive framework regarding the sanctification and regulation of marriage, advocating for marriage as a political and religious union requiring state jurisdiction, contrary to practices under the </w:t>
      </w:r>
      <w:r w:rsidR="005549D4">
        <w:rPr>
          <w:rFonts w:ascii="Times New Roman" w:hAnsi="Times New Roman" w:cs="Times New Roman"/>
          <w:sz w:val="22"/>
          <w:szCs w:val="22"/>
        </w:rPr>
        <w:t>“</w:t>
      </w:r>
      <w:r w:rsidR="00035C8C" w:rsidRPr="00035C8C">
        <w:rPr>
          <w:rFonts w:ascii="Times New Roman" w:hAnsi="Times New Roman" w:cs="Times New Roman"/>
          <w:sz w:val="22"/>
          <w:szCs w:val="22"/>
        </w:rPr>
        <w:t>Roman Antichrist empire.</w:t>
      </w:r>
      <w:r w:rsidR="005549D4">
        <w:rPr>
          <w:rFonts w:ascii="Times New Roman" w:hAnsi="Times New Roman" w:cs="Times New Roman"/>
          <w:sz w:val="22"/>
          <w:szCs w:val="22"/>
        </w:rPr>
        <w:t>”</w:t>
      </w:r>
      <w:r>
        <w:rPr>
          <w:rFonts w:ascii="Times New Roman" w:hAnsi="Times New Roman" w:cs="Times New Roman"/>
          <w:sz w:val="22"/>
          <w:szCs w:val="22"/>
        </w:rPr>
        <w:t xml:space="preserve"> Chapters XVI to XVIII explore the contracting and regulations of marriage, and Bucer </w:t>
      </w:r>
      <w:r w:rsidR="009E0E6B">
        <w:rPr>
          <w:rFonts w:ascii="Times New Roman" w:hAnsi="Times New Roman" w:cs="Times New Roman"/>
          <w:sz w:val="22"/>
          <w:szCs w:val="22"/>
        </w:rPr>
        <w:t>prescribes</w:t>
      </w:r>
      <w:r w:rsidR="00035C8C" w:rsidRPr="00035C8C">
        <w:rPr>
          <w:rFonts w:ascii="Times New Roman" w:hAnsi="Times New Roman" w:cs="Times New Roman"/>
          <w:sz w:val="22"/>
          <w:szCs w:val="22"/>
        </w:rPr>
        <w:t xml:space="preserve"> that marriages must not involve close relatives except cousins, nor should they bridge significant class </w:t>
      </w:r>
      <w:r w:rsidRPr="00035C8C">
        <w:rPr>
          <w:rFonts w:ascii="Times New Roman" w:hAnsi="Times New Roman" w:cs="Times New Roman"/>
          <w:sz w:val="22"/>
          <w:szCs w:val="22"/>
        </w:rPr>
        <w:t>differences</w:t>
      </w:r>
      <w:r w:rsidR="00035C8C" w:rsidRPr="00035C8C">
        <w:rPr>
          <w:rFonts w:ascii="Times New Roman" w:hAnsi="Times New Roman" w:cs="Times New Roman"/>
          <w:sz w:val="22"/>
          <w:szCs w:val="22"/>
        </w:rPr>
        <w:t>. These unions must only occur with consent from relevant authorities</w:t>
      </w:r>
      <w:r w:rsidR="009E0E6B">
        <w:rPr>
          <w:rFonts w:ascii="Times New Roman" w:hAnsi="Times New Roman" w:cs="Times New Roman"/>
          <w:sz w:val="22"/>
          <w:szCs w:val="22"/>
        </w:rPr>
        <w:t xml:space="preserve"> (</w:t>
      </w:r>
      <w:r w:rsidR="00035C8C" w:rsidRPr="00035C8C">
        <w:rPr>
          <w:rFonts w:ascii="Times New Roman" w:hAnsi="Times New Roman" w:cs="Times New Roman"/>
          <w:sz w:val="22"/>
          <w:szCs w:val="22"/>
        </w:rPr>
        <w:t>typically parents</w:t>
      </w:r>
      <w:r w:rsidR="009E0E6B">
        <w:rPr>
          <w:rFonts w:ascii="Times New Roman" w:hAnsi="Times New Roman" w:cs="Times New Roman"/>
          <w:sz w:val="22"/>
          <w:szCs w:val="22"/>
        </w:rPr>
        <w:t>)</w:t>
      </w:r>
      <w:r w:rsidR="00035C8C" w:rsidRPr="00035C8C">
        <w:rPr>
          <w:rFonts w:ascii="Times New Roman" w:hAnsi="Times New Roman" w:cs="Times New Roman"/>
          <w:sz w:val="22"/>
          <w:szCs w:val="22"/>
        </w:rPr>
        <w:t xml:space="preserve"> who oversee the suitability of the match</w:t>
      </w:r>
      <w:r>
        <w:rPr>
          <w:rFonts w:ascii="Times New Roman" w:hAnsi="Times New Roman" w:cs="Times New Roman"/>
          <w:sz w:val="22"/>
          <w:szCs w:val="22"/>
        </w:rPr>
        <w:t>. W</w:t>
      </w:r>
      <w:r w:rsidR="00035C8C" w:rsidRPr="00035C8C">
        <w:rPr>
          <w:rFonts w:ascii="Times New Roman" w:hAnsi="Times New Roman" w:cs="Times New Roman"/>
          <w:sz w:val="22"/>
          <w:szCs w:val="22"/>
        </w:rPr>
        <w:t>ithout this consent, marriages remain invalid. Witnesses must be present</w:t>
      </w:r>
      <w:r w:rsidR="009E0E6B">
        <w:rPr>
          <w:rFonts w:ascii="Times New Roman" w:hAnsi="Times New Roman" w:cs="Times New Roman"/>
          <w:sz w:val="22"/>
          <w:szCs w:val="22"/>
        </w:rPr>
        <w:t xml:space="preserve"> to </w:t>
      </w:r>
      <w:r w:rsidR="00035C8C" w:rsidRPr="00035C8C">
        <w:rPr>
          <w:rFonts w:ascii="Times New Roman" w:hAnsi="Times New Roman" w:cs="Times New Roman"/>
          <w:sz w:val="22"/>
          <w:szCs w:val="22"/>
        </w:rPr>
        <w:t>ensur</w:t>
      </w:r>
      <w:r w:rsidR="009E0E6B">
        <w:rPr>
          <w:rFonts w:ascii="Times New Roman" w:hAnsi="Times New Roman" w:cs="Times New Roman"/>
          <w:sz w:val="22"/>
          <w:szCs w:val="22"/>
        </w:rPr>
        <w:t>e</w:t>
      </w:r>
      <w:r w:rsidR="00035C8C" w:rsidRPr="00035C8C">
        <w:rPr>
          <w:rFonts w:ascii="Times New Roman" w:hAnsi="Times New Roman" w:cs="Times New Roman"/>
          <w:sz w:val="22"/>
          <w:szCs w:val="22"/>
        </w:rPr>
        <w:t xml:space="preserve"> the process is neither secretive nor hasty.</w:t>
      </w:r>
      <w:r>
        <w:rPr>
          <w:rFonts w:ascii="Times New Roman" w:hAnsi="Times New Roman" w:cs="Times New Roman"/>
          <w:sz w:val="22"/>
          <w:szCs w:val="22"/>
        </w:rPr>
        <w:t xml:space="preserve"> Chapters XIX to XXI argue that the validation</w:t>
      </w:r>
      <w:r w:rsidR="00035C8C" w:rsidRPr="00035C8C">
        <w:rPr>
          <w:rFonts w:ascii="Times New Roman" w:hAnsi="Times New Roman" w:cs="Times New Roman"/>
          <w:sz w:val="22"/>
          <w:szCs w:val="22"/>
        </w:rPr>
        <w:t xml:space="preserve"> of a marriage promise can be </w:t>
      </w:r>
      <w:r w:rsidRPr="00035C8C">
        <w:rPr>
          <w:rFonts w:ascii="Times New Roman" w:hAnsi="Times New Roman" w:cs="Times New Roman"/>
          <w:sz w:val="22"/>
          <w:szCs w:val="22"/>
        </w:rPr>
        <w:t>annulled</w:t>
      </w:r>
      <w:r w:rsidR="00035C8C" w:rsidRPr="00035C8C">
        <w:rPr>
          <w:rFonts w:ascii="Times New Roman" w:hAnsi="Times New Roman" w:cs="Times New Roman"/>
          <w:sz w:val="22"/>
          <w:szCs w:val="22"/>
        </w:rPr>
        <w:t xml:space="preserve"> before its fulfillment. Bucer emphasizes that the wedding ceremonies need to be carried out with utmost dedication by devout ministers, maintaining the religious sanctity of marriage. He supports legal divorce under conditions of failure to fulfill marital duties, prolonged unjust absence, or immoral behavior by the spouse.</w:t>
      </w:r>
      <w:r>
        <w:rPr>
          <w:rFonts w:ascii="Times New Roman" w:hAnsi="Times New Roman" w:cs="Times New Roman"/>
          <w:sz w:val="22"/>
          <w:szCs w:val="22"/>
        </w:rPr>
        <w:t xml:space="preserve"> </w:t>
      </w:r>
      <w:r w:rsidR="00035C8C" w:rsidRPr="00035C8C">
        <w:rPr>
          <w:rFonts w:ascii="Times New Roman" w:hAnsi="Times New Roman" w:cs="Times New Roman"/>
          <w:sz w:val="22"/>
          <w:szCs w:val="22"/>
        </w:rPr>
        <w:t xml:space="preserve">Extensive discussions on divorce span </w:t>
      </w:r>
      <w:r>
        <w:rPr>
          <w:rFonts w:ascii="Times New Roman" w:hAnsi="Times New Roman" w:cs="Times New Roman"/>
          <w:sz w:val="22"/>
          <w:szCs w:val="22"/>
        </w:rPr>
        <w:t>c</w:t>
      </w:r>
      <w:r w:rsidR="00035C8C" w:rsidRPr="00035C8C">
        <w:rPr>
          <w:rFonts w:ascii="Times New Roman" w:hAnsi="Times New Roman" w:cs="Times New Roman"/>
          <w:sz w:val="22"/>
          <w:szCs w:val="22"/>
        </w:rPr>
        <w:t>hapters</w:t>
      </w:r>
      <w:r>
        <w:rPr>
          <w:rFonts w:ascii="Times New Roman" w:hAnsi="Times New Roman" w:cs="Times New Roman"/>
          <w:sz w:val="22"/>
          <w:szCs w:val="22"/>
        </w:rPr>
        <w:t xml:space="preserve"> XXII to XLV,</w:t>
      </w:r>
      <w:r w:rsidR="00035C8C" w:rsidRPr="00035C8C">
        <w:rPr>
          <w:rFonts w:ascii="Times New Roman" w:hAnsi="Times New Roman" w:cs="Times New Roman"/>
          <w:sz w:val="22"/>
          <w:szCs w:val="22"/>
        </w:rPr>
        <w:t xml:space="preserve"> where Bucer argues that grounds for divorce extend beyond adultery, including impotence, severe disease, and perpetual abandonment. He references both </w:t>
      </w:r>
      <w:r>
        <w:rPr>
          <w:rFonts w:ascii="Times New Roman" w:hAnsi="Times New Roman" w:cs="Times New Roman"/>
          <w:sz w:val="22"/>
          <w:szCs w:val="22"/>
        </w:rPr>
        <w:t>scriptural</w:t>
      </w:r>
      <w:r w:rsidR="00035C8C" w:rsidRPr="00035C8C">
        <w:rPr>
          <w:rFonts w:ascii="Times New Roman" w:hAnsi="Times New Roman" w:cs="Times New Roman"/>
          <w:sz w:val="22"/>
          <w:szCs w:val="22"/>
        </w:rPr>
        <w:t xml:space="preserve"> and civil laws, advocating that divorced individuals should be allowed to remarry. Bucer criticizes any </w:t>
      </w:r>
      <w:r w:rsidRPr="00035C8C">
        <w:rPr>
          <w:rFonts w:ascii="Times New Roman" w:hAnsi="Times New Roman" w:cs="Times New Roman"/>
          <w:sz w:val="22"/>
          <w:szCs w:val="22"/>
        </w:rPr>
        <w:t>strict</w:t>
      </w:r>
      <w:r w:rsidR="00035C8C" w:rsidRPr="00035C8C">
        <w:rPr>
          <w:rFonts w:ascii="Times New Roman" w:hAnsi="Times New Roman" w:cs="Times New Roman"/>
          <w:sz w:val="22"/>
          <w:szCs w:val="22"/>
        </w:rPr>
        <w:t xml:space="preserve"> limitation on divorce that would extend beyond the intent of Christ</w:t>
      </w:r>
      <w:r w:rsidR="005549D4">
        <w:rPr>
          <w:rFonts w:ascii="Times New Roman" w:hAnsi="Times New Roman" w:cs="Times New Roman"/>
          <w:sz w:val="22"/>
          <w:szCs w:val="22"/>
        </w:rPr>
        <w:t>’</w:t>
      </w:r>
      <w:r w:rsidR="00035C8C" w:rsidRPr="00035C8C">
        <w:rPr>
          <w:rFonts w:ascii="Times New Roman" w:hAnsi="Times New Roman" w:cs="Times New Roman"/>
          <w:sz w:val="22"/>
          <w:szCs w:val="22"/>
        </w:rPr>
        <w:t>s teachings.</w:t>
      </w:r>
      <w:r>
        <w:rPr>
          <w:rFonts w:ascii="Times New Roman" w:hAnsi="Times New Roman" w:cs="Times New Roman"/>
          <w:sz w:val="22"/>
          <w:szCs w:val="22"/>
        </w:rPr>
        <w:t xml:space="preserve"> In the remaining two chapters on marriage, </w:t>
      </w:r>
      <w:r w:rsidR="00035C8C" w:rsidRPr="00035C8C">
        <w:rPr>
          <w:rFonts w:ascii="Times New Roman" w:hAnsi="Times New Roman" w:cs="Times New Roman"/>
          <w:sz w:val="22"/>
          <w:szCs w:val="22"/>
        </w:rPr>
        <w:t xml:space="preserve">Bucer </w:t>
      </w:r>
      <w:r w:rsidR="009E0E6B">
        <w:rPr>
          <w:rFonts w:ascii="Times New Roman" w:hAnsi="Times New Roman" w:cs="Times New Roman"/>
          <w:sz w:val="22"/>
          <w:szCs w:val="22"/>
        </w:rPr>
        <w:t>commends</w:t>
      </w:r>
      <w:r w:rsidR="00035C8C" w:rsidRPr="00035C8C">
        <w:rPr>
          <w:rFonts w:ascii="Times New Roman" w:hAnsi="Times New Roman" w:cs="Times New Roman"/>
          <w:sz w:val="22"/>
          <w:szCs w:val="22"/>
        </w:rPr>
        <w:t xml:space="preserve"> celibacy </w:t>
      </w:r>
      <w:r>
        <w:rPr>
          <w:rFonts w:ascii="Times New Roman" w:hAnsi="Times New Roman" w:cs="Times New Roman"/>
          <w:sz w:val="22"/>
          <w:szCs w:val="22"/>
        </w:rPr>
        <w:t xml:space="preserve">by referring to </w:t>
      </w:r>
      <w:r w:rsidR="00035C8C" w:rsidRPr="00035C8C">
        <w:rPr>
          <w:rFonts w:ascii="Times New Roman" w:hAnsi="Times New Roman" w:cs="Times New Roman"/>
          <w:sz w:val="22"/>
          <w:szCs w:val="22"/>
        </w:rPr>
        <w:t>1 Corinthians 7 but argues that imposing celibacy contradicts God</w:t>
      </w:r>
      <w:r w:rsidR="005549D4">
        <w:rPr>
          <w:rFonts w:ascii="Times New Roman" w:hAnsi="Times New Roman" w:cs="Times New Roman"/>
          <w:sz w:val="22"/>
          <w:szCs w:val="22"/>
        </w:rPr>
        <w:t>’</w:t>
      </w:r>
      <w:r w:rsidR="00035C8C" w:rsidRPr="00035C8C">
        <w:rPr>
          <w:rFonts w:ascii="Times New Roman" w:hAnsi="Times New Roman" w:cs="Times New Roman"/>
          <w:sz w:val="22"/>
          <w:szCs w:val="22"/>
        </w:rPr>
        <w:t xml:space="preserve">s intentions for individuals destined for marriage. </w:t>
      </w:r>
    </w:p>
    <w:p w:rsidR="00655F36" w:rsidRPr="002D67F9" w:rsidRDefault="00655F36" w:rsidP="00655F36">
      <w:pPr>
        <w:jc w:val="both"/>
        <w:rPr>
          <w:rFonts w:ascii="Times New Roman" w:hAnsi="Times New Roman" w:cs="Times New Roman"/>
          <w:i/>
          <w:iCs/>
          <w:sz w:val="22"/>
          <w:szCs w:val="22"/>
        </w:rPr>
      </w:pPr>
      <w:r>
        <w:rPr>
          <w:rFonts w:ascii="Times New Roman" w:hAnsi="Times New Roman" w:cs="Times New Roman"/>
          <w:sz w:val="22"/>
          <w:szCs w:val="22"/>
        </w:rPr>
        <w:t>In the eighth law, Bucer emphasizes the need for education tailored to each child</w:t>
      </w:r>
      <w:r w:rsidR="005549D4">
        <w:rPr>
          <w:rFonts w:ascii="Times New Roman" w:hAnsi="Times New Roman" w:cs="Times New Roman"/>
          <w:sz w:val="22"/>
          <w:szCs w:val="22"/>
        </w:rPr>
        <w:t>’</w:t>
      </w:r>
      <w:r>
        <w:rPr>
          <w:rFonts w:ascii="Times New Roman" w:hAnsi="Times New Roman" w:cs="Times New Roman"/>
          <w:sz w:val="22"/>
          <w:szCs w:val="22"/>
        </w:rPr>
        <w:t>s potential roles and capabilities, promoting active engagement in meaningful work to combat idleness. He advocates for education and career training in essential societal functions like agriculture and craftsmanship, and manual labor is recommended for those lacking specific skills</w:t>
      </w:r>
      <w:r w:rsidRPr="00655F36">
        <w:rPr>
          <w:rFonts w:ascii="Times New Roman" w:hAnsi="Times New Roman" w:cs="Times New Roman"/>
          <w:sz w:val="22"/>
          <w:szCs w:val="22"/>
        </w:rPr>
        <w:t>.</w:t>
      </w:r>
      <w:r>
        <w:rPr>
          <w:rFonts w:ascii="Times New Roman" w:hAnsi="Times New Roman" w:cs="Times New Roman"/>
          <w:sz w:val="22"/>
          <w:szCs w:val="22"/>
        </w:rPr>
        <w:t xml:space="preserve"> The ninth</w:t>
      </w:r>
      <w:r w:rsidRPr="00655F36">
        <w:rPr>
          <w:rFonts w:ascii="Times New Roman" w:hAnsi="Times New Roman" w:cs="Times New Roman"/>
          <w:sz w:val="22"/>
          <w:szCs w:val="22"/>
        </w:rPr>
        <w:t xml:space="preserve"> law targets the regulation of luxurious lifestyles</w:t>
      </w:r>
      <w:r>
        <w:rPr>
          <w:rFonts w:ascii="Times New Roman" w:hAnsi="Times New Roman" w:cs="Times New Roman"/>
          <w:sz w:val="22"/>
          <w:szCs w:val="22"/>
        </w:rPr>
        <w:t xml:space="preserve"> and harmful expenses</w:t>
      </w:r>
      <w:r w:rsidRPr="00655F36">
        <w:rPr>
          <w:rFonts w:ascii="Times New Roman" w:hAnsi="Times New Roman" w:cs="Times New Roman"/>
          <w:sz w:val="22"/>
          <w:szCs w:val="22"/>
        </w:rPr>
        <w:t xml:space="preserve">, advocating </w:t>
      </w:r>
      <w:r>
        <w:rPr>
          <w:rFonts w:ascii="Times New Roman" w:hAnsi="Times New Roman" w:cs="Times New Roman"/>
          <w:sz w:val="22"/>
          <w:szCs w:val="22"/>
        </w:rPr>
        <w:t>the adorning of the hidden person of the heart over the delight of the flesh</w:t>
      </w:r>
      <w:r w:rsidRPr="00655F36">
        <w:rPr>
          <w:rFonts w:ascii="Times New Roman" w:hAnsi="Times New Roman" w:cs="Times New Roman"/>
          <w:sz w:val="22"/>
          <w:szCs w:val="22"/>
        </w:rPr>
        <w:t xml:space="preserve"> </w:t>
      </w:r>
      <w:r>
        <w:rPr>
          <w:rFonts w:ascii="Times New Roman" w:hAnsi="Times New Roman" w:cs="Times New Roman"/>
          <w:sz w:val="22"/>
          <w:szCs w:val="22"/>
        </w:rPr>
        <w:t xml:space="preserve">and </w:t>
      </w:r>
      <w:r w:rsidRPr="00655F36">
        <w:rPr>
          <w:rFonts w:ascii="Times New Roman" w:hAnsi="Times New Roman" w:cs="Times New Roman"/>
          <w:sz w:val="22"/>
          <w:szCs w:val="22"/>
        </w:rPr>
        <w:t>enforc</w:t>
      </w:r>
      <w:r>
        <w:rPr>
          <w:rFonts w:ascii="Times New Roman" w:hAnsi="Times New Roman" w:cs="Times New Roman"/>
          <w:sz w:val="22"/>
          <w:szCs w:val="22"/>
        </w:rPr>
        <w:t>ing</w:t>
      </w:r>
      <w:r w:rsidRPr="00655F36">
        <w:rPr>
          <w:rFonts w:ascii="Times New Roman" w:hAnsi="Times New Roman" w:cs="Times New Roman"/>
          <w:sz w:val="22"/>
          <w:szCs w:val="22"/>
        </w:rPr>
        <w:t xml:space="preserve"> modesty and frugality</w:t>
      </w:r>
      <w:r>
        <w:rPr>
          <w:rFonts w:ascii="Times New Roman" w:hAnsi="Times New Roman" w:cs="Times New Roman"/>
          <w:sz w:val="22"/>
          <w:szCs w:val="22"/>
        </w:rPr>
        <w:t xml:space="preserve">. </w:t>
      </w:r>
      <w:r w:rsidR="002D67F9">
        <w:rPr>
          <w:rFonts w:ascii="Times New Roman" w:hAnsi="Times New Roman" w:cs="Times New Roman"/>
          <w:sz w:val="22"/>
          <w:szCs w:val="22"/>
        </w:rPr>
        <w:t xml:space="preserve">The tenth law </w:t>
      </w:r>
      <w:r w:rsidRPr="00655F36">
        <w:rPr>
          <w:rFonts w:ascii="Times New Roman" w:hAnsi="Times New Roman" w:cs="Times New Roman"/>
          <w:sz w:val="22"/>
          <w:szCs w:val="22"/>
        </w:rPr>
        <w:t xml:space="preserve">calls for a comprehensive </w:t>
      </w:r>
      <w:r w:rsidR="002D67F9" w:rsidRPr="00655F36">
        <w:rPr>
          <w:rFonts w:ascii="Times New Roman" w:hAnsi="Times New Roman" w:cs="Times New Roman"/>
          <w:sz w:val="22"/>
          <w:szCs w:val="22"/>
        </w:rPr>
        <w:t>renovation</w:t>
      </w:r>
      <w:r w:rsidRPr="00655F36">
        <w:rPr>
          <w:rFonts w:ascii="Times New Roman" w:hAnsi="Times New Roman" w:cs="Times New Roman"/>
          <w:sz w:val="22"/>
          <w:szCs w:val="22"/>
        </w:rPr>
        <w:t xml:space="preserve"> of civil laws to eliminate obscurities and </w:t>
      </w:r>
      <w:r w:rsidR="002D67F9">
        <w:rPr>
          <w:rFonts w:ascii="Times New Roman" w:hAnsi="Times New Roman" w:cs="Times New Roman"/>
          <w:sz w:val="22"/>
          <w:szCs w:val="22"/>
        </w:rPr>
        <w:t>promote</w:t>
      </w:r>
      <w:r w:rsidRPr="00655F36">
        <w:rPr>
          <w:rFonts w:ascii="Times New Roman" w:hAnsi="Times New Roman" w:cs="Times New Roman"/>
          <w:sz w:val="22"/>
          <w:szCs w:val="22"/>
        </w:rPr>
        <w:t xml:space="preserve"> understanding and adherence. The laws should be simplified and possibly memorized to promote societal well-being and justice.</w:t>
      </w:r>
      <w:r w:rsidR="002D67F9">
        <w:rPr>
          <w:rFonts w:ascii="Times New Roman" w:hAnsi="Times New Roman" w:cs="Times New Roman"/>
          <w:sz w:val="22"/>
          <w:szCs w:val="22"/>
        </w:rPr>
        <w:t xml:space="preserve"> The eleventh law provides s</w:t>
      </w:r>
      <w:r w:rsidRPr="00655F36">
        <w:rPr>
          <w:rFonts w:ascii="Times New Roman" w:hAnsi="Times New Roman" w:cs="Times New Roman"/>
          <w:sz w:val="22"/>
          <w:szCs w:val="22"/>
        </w:rPr>
        <w:t>trict guidelines for appointing virtuous, non-corrupt magistrates, with a structured hierarchical oversight that ranges from local to national levels, ensuring that these laws are upheld with integrity and justice.</w:t>
      </w:r>
      <w:r w:rsidR="002D67F9">
        <w:rPr>
          <w:rFonts w:ascii="Times New Roman" w:hAnsi="Times New Roman" w:cs="Times New Roman"/>
          <w:sz w:val="22"/>
          <w:szCs w:val="22"/>
        </w:rPr>
        <w:t xml:space="preserve"> In the twelfth law, </w:t>
      </w:r>
      <w:r w:rsidRPr="00655F36">
        <w:rPr>
          <w:rFonts w:ascii="Times New Roman" w:hAnsi="Times New Roman" w:cs="Times New Roman"/>
          <w:sz w:val="22"/>
          <w:szCs w:val="22"/>
        </w:rPr>
        <w:t>Bucer proposes judicial reforms to ensure fairness</w:t>
      </w:r>
      <w:r w:rsidR="002D67F9">
        <w:rPr>
          <w:rFonts w:ascii="Times New Roman" w:hAnsi="Times New Roman" w:cs="Times New Roman"/>
          <w:sz w:val="22"/>
          <w:szCs w:val="22"/>
        </w:rPr>
        <w:t>,</w:t>
      </w:r>
      <w:r w:rsidRPr="00655F36">
        <w:rPr>
          <w:rFonts w:ascii="Times New Roman" w:hAnsi="Times New Roman" w:cs="Times New Roman"/>
          <w:sz w:val="22"/>
          <w:szCs w:val="22"/>
        </w:rPr>
        <w:t xml:space="preserve"> </w:t>
      </w:r>
      <w:r w:rsidR="002D67F9">
        <w:rPr>
          <w:rFonts w:ascii="Times New Roman" w:hAnsi="Times New Roman" w:cs="Times New Roman"/>
          <w:sz w:val="22"/>
          <w:szCs w:val="22"/>
        </w:rPr>
        <w:t xml:space="preserve">impartiality, </w:t>
      </w:r>
      <w:r w:rsidRPr="00655F36">
        <w:rPr>
          <w:rFonts w:ascii="Times New Roman" w:hAnsi="Times New Roman" w:cs="Times New Roman"/>
          <w:sz w:val="22"/>
          <w:szCs w:val="22"/>
        </w:rPr>
        <w:t>accessibility</w:t>
      </w:r>
      <w:r w:rsidR="002D67F9">
        <w:rPr>
          <w:rFonts w:ascii="Times New Roman" w:hAnsi="Times New Roman" w:cs="Times New Roman"/>
          <w:sz w:val="22"/>
          <w:szCs w:val="22"/>
        </w:rPr>
        <w:t>, and availability of justice and judges. The thirteenth law</w:t>
      </w:r>
      <w:r w:rsidRPr="00655F36">
        <w:rPr>
          <w:rFonts w:ascii="Times New Roman" w:hAnsi="Times New Roman" w:cs="Times New Roman"/>
          <w:sz w:val="22"/>
          <w:szCs w:val="22"/>
        </w:rPr>
        <w:t xml:space="preserve"> specifies fair treatment of the accused, ensuring they are not held excessively or mistreated, particularly if their innocence could yet be proven.</w:t>
      </w:r>
      <w:r w:rsidR="002D67F9">
        <w:rPr>
          <w:rFonts w:ascii="Times New Roman" w:hAnsi="Times New Roman" w:cs="Times New Roman"/>
          <w:sz w:val="22"/>
          <w:szCs w:val="22"/>
        </w:rPr>
        <w:t xml:space="preserve"> In the fourteenth law, </w:t>
      </w:r>
      <w:r w:rsidRPr="00655F36">
        <w:rPr>
          <w:rFonts w:ascii="Times New Roman" w:hAnsi="Times New Roman" w:cs="Times New Roman"/>
          <w:sz w:val="22"/>
          <w:szCs w:val="22"/>
        </w:rPr>
        <w:t xml:space="preserve">Bucer advocates for stringent penalties for severe moral offenses, including capital punishment for crimes such as blasphemy, </w:t>
      </w:r>
      <w:r w:rsidR="002D67F9">
        <w:rPr>
          <w:rFonts w:ascii="Times New Roman" w:hAnsi="Times New Roman" w:cs="Times New Roman"/>
          <w:sz w:val="22"/>
          <w:szCs w:val="22"/>
        </w:rPr>
        <w:t xml:space="preserve">violation of the Sabbath, disobedience to parents, </w:t>
      </w:r>
      <w:r w:rsidRPr="00655F36">
        <w:rPr>
          <w:rFonts w:ascii="Times New Roman" w:hAnsi="Times New Roman" w:cs="Times New Roman"/>
          <w:sz w:val="22"/>
          <w:szCs w:val="22"/>
        </w:rPr>
        <w:t>murder, and adultery, adhering to a strict code of moral conduct in an effort</w:t>
      </w:r>
      <w:r w:rsidR="002D67F9">
        <w:rPr>
          <w:rFonts w:ascii="Times New Roman" w:hAnsi="Times New Roman" w:cs="Times New Roman"/>
          <w:sz w:val="22"/>
          <w:szCs w:val="22"/>
        </w:rPr>
        <w:t>.</w:t>
      </w:r>
    </w:p>
    <w:p w:rsidR="009E0E6B" w:rsidRPr="009E0E6B" w:rsidRDefault="002D67F9">
      <w:pPr>
        <w:jc w:val="both"/>
        <w:rPr>
          <w:rFonts w:ascii="Times New Roman" w:hAnsi="Times New Roman" w:cs="Times New Roman"/>
          <w:sz w:val="22"/>
          <w:szCs w:val="22"/>
        </w:rPr>
      </w:pPr>
      <w:r w:rsidRPr="001C0B4A">
        <w:rPr>
          <w:rFonts w:ascii="Times New Roman" w:hAnsi="Times New Roman" w:cs="Times New Roman"/>
          <w:b/>
          <w:bCs/>
          <w:sz w:val="22"/>
          <w:szCs w:val="22"/>
        </w:rPr>
        <w:t>Martin Bucer</w:t>
      </w:r>
      <w:r w:rsidR="005549D4" w:rsidRPr="001C0B4A">
        <w:rPr>
          <w:rFonts w:ascii="Times New Roman" w:hAnsi="Times New Roman" w:cs="Times New Roman"/>
          <w:b/>
          <w:bCs/>
          <w:sz w:val="22"/>
          <w:szCs w:val="22"/>
        </w:rPr>
        <w:t>’</w:t>
      </w:r>
      <w:r w:rsidRPr="001C0B4A">
        <w:rPr>
          <w:rFonts w:ascii="Times New Roman" w:hAnsi="Times New Roman" w:cs="Times New Roman"/>
          <w:b/>
          <w:bCs/>
          <w:sz w:val="22"/>
          <w:szCs w:val="22"/>
        </w:rPr>
        <w:t xml:space="preserve">s </w:t>
      </w:r>
      <w:r w:rsidR="005549D4" w:rsidRPr="001C0B4A">
        <w:rPr>
          <w:rFonts w:ascii="Times New Roman" w:hAnsi="Times New Roman" w:cs="Times New Roman"/>
          <w:b/>
          <w:bCs/>
          <w:sz w:val="22"/>
          <w:szCs w:val="22"/>
        </w:rPr>
        <w:t>“</w:t>
      </w:r>
      <w:r w:rsidRPr="001C0B4A">
        <w:rPr>
          <w:rFonts w:ascii="Times New Roman" w:hAnsi="Times New Roman" w:cs="Times New Roman"/>
          <w:b/>
          <w:bCs/>
          <w:sz w:val="22"/>
          <w:szCs w:val="22"/>
        </w:rPr>
        <w:t>De Regno Christi</w:t>
      </w:r>
      <w:r w:rsidR="005549D4" w:rsidRPr="001C0B4A">
        <w:rPr>
          <w:rFonts w:ascii="Times New Roman" w:hAnsi="Times New Roman" w:cs="Times New Roman"/>
          <w:b/>
          <w:bCs/>
          <w:sz w:val="22"/>
          <w:szCs w:val="22"/>
        </w:rPr>
        <w:t>”</w:t>
      </w:r>
      <w:r w:rsidRPr="002D67F9">
        <w:rPr>
          <w:rFonts w:ascii="Times New Roman" w:hAnsi="Times New Roman" w:cs="Times New Roman"/>
          <w:sz w:val="22"/>
          <w:szCs w:val="22"/>
        </w:rPr>
        <w:t xml:space="preserve"> is an important theological and political treatise that advocates for the application of Christian principles to </w:t>
      </w:r>
      <w:r>
        <w:rPr>
          <w:rFonts w:ascii="Times New Roman" w:hAnsi="Times New Roman" w:cs="Times New Roman"/>
          <w:sz w:val="22"/>
          <w:szCs w:val="22"/>
        </w:rPr>
        <w:t>ecclesiastical</w:t>
      </w:r>
      <w:r w:rsidRPr="002D67F9">
        <w:rPr>
          <w:rFonts w:ascii="Times New Roman" w:hAnsi="Times New Roman" w:cs="Times New Roman"/>
          <w:sz w:val="22"/>
          <w:szCs w:val="22"/>
        </w:rPr>
        <w:t xml:space="preserve"> and </w:t>
      </w:r>
      <w:r>
        <w:rPr>
          <w:rFonts w:ascii="Times New Roman" w:hAnsi="Times New Roman" w:cs="Times New Roman"/>
          <w:sz w:val="22"/>
          <w:szCs w:val="22"/>
        </w:rPr>
        <w:t>societal</w:t>
      </w:r>
      <w:r w:rsidRPr="002D67F9">
        <w:rPr>
          <w:rFonts w:ascii="Times New Roman" w:hAnsi="Times New Roman" w:cs="Times New Roman"/>
          <w:sz w:val="22"/>
          <w:szCs w:val="22"/>
        </w:rPr>
        <w:t xml:space="preserve"> structures. Its contribution lies in its detailed exposition on how to reform society through </w:t>
      </w:r>
      <w:r>
        <w:rPr>
          <w:rFonts w:ascii="Times New Roman" w:hAnsi="Times New Roman" w:cs="Times New Roman"/>
          <w:sz w:val="22"/>
          <w:szCs w:val="22"/>
        </w:rPr>
        <w:t>Christ-centered governance</w:t>
      </w:r>
      <w:r w:rsidR="005549D4">
        <w:rPr>
          <w:rFonts w:ascii="Times New Roman" w:hAnsi="Times New Roman" w:cs="Times New Roman"/>
          <w:sz w:val="22"/>
          <w:szCs w:val="22"/>
        </w:rPr>
        <w:t xml:space="preserve"> (“Christocracy”)</w:t>
      </w:r>
      <w:r>
        <w:rPr>
          <w:rFonts w:ascii="Times New Roman" w:hAnsi="Times New Roman" w:cs="Times New Roman"/>
          <w:sz w:val="22"/>
          <w:szCs w:val="22"/>
        </w:rPr>
        <w:t>, covering aspects from education and public morality</w:t>
      </w:r>
      <w:r w:rsidRPr="002D67F9">
        <w:rPr>
          <w:rFonts w:ascii="Times New Roman" w:hAnsi="Times New Roman" w:cs="Times New Roman"/>
          <w:sz w:val="22"/>
          <w:szCs w:val="22"/>
        </w:rPr>
        <w:t xml:space="preserve"> to legal and judicial frameworks. This work</w:t>
      </w:r>
      <w:r w:rsidR="005549D4">
        <w:rPr>
          <w:rFonts w:ascii="Times New Roman" w:hAnsi="Times New Roman" w:cs="Times New Roman"/>
          <w:sz w:val="22"/>
          <w:szCs w:val="22"/>
        </w:rPr>
        <w:t xml:space="preserve"> contributes to</w:t>
      </w:r>
      <w:r w:rsidRPr="002D67F9">
        <w:rPr>
          <w:rFonts w:ascii="Times New Roman" w:hAnsi="Times New Roman" w:cs="Times New Roman"/>
          <w:sz w:val="22"/>
          <w:szCs w:val="22"/>
        </w:rPr>
        <w:t xml:space="preserve"> Reformation thought, especially in promoting the idea that civil governance should serve both spiritual and temporal welfare according to Christian doctrines.</w:t>
      </w:r>
    </w:p>
    <w:sectPr w:rsidR="009E0E6B" w:rsidRPr="009E0E6B">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514DC" w:rsidRDefault="00A514DC">
      <w:r>
        <w:separator/>
      </w:r>
    </w:p>
  </w:endnote>
  <w:endnote w:type="continuationSeparator" w:id="0">
    <w:p w:rsidR="00A514DC" w:rsidRDefault="00A5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D63C7" w:rsidRDefault="00000000">
    <w:pPr>
      <w:tabs>
        <w:tab w:val="right" w:pos="9360"/>
      </w:tabs>
    </w:pPr>
    <w:r>
      <w:rPr>
        <w:rFonts w:ascii="Times New Roman" w:hAnsi="Times New Roman"/>
        <w:sz w:val="22"/>
      </w:rPr>
      <w:t>BucM</w:t>
    </w:r>
    <w:r>
      <w:rPr>
        <w:rFonts w:ascii="Times New Roman" w:hAnsi="Times New Roman"/>
        <w:sz w:val="22"/>
      </w:rPr>
      <w:tab/>
    </w:r>
    <w:r>
      <w:fldChar w:fldCharType="begin"/>
    </w:r>
    <w:r>
      <w:instrText>PAGE \* MERGEFORMAT</w:instrText>
    </w:r>
    <w:r>
      <w:fldChar w:fldCharType="separate"/>
    </w:r>
    <w:r w:rsidR="001C0B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514DC" w:rsidRDefault="00A514DC">
      <w:r>
        <w:separator/>
      </w:r>
    </w:p>
  </w:footnote>
  <w:footnote w:type="continuationSeparator" w:id="0">
    <w:p w:rsidR="00A514DC" w:rsidRDefault="00A51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D63C7" w:rsidRDefault="00000000">
    <w:pPr>
      <w:tabs>
        <w:tab w:val="right" w:pos="9360"/>
      </w:tabs>
    </w:pPr>
    <w:r>
      <w:rPr>
        <w:rFonts w:ascii="Times New Roman" w:hAnsi="Times New Roman"/>
        <w:sz w:val="22"/>
      </w:rPr>
      <w:t>De Regno Christi</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E1"/>
    <w:rsid w:val="00035C8C"/>
    <w:rsid w:val="001C0B4A"/>
    <w:rsid w:val="002D67F9"/>
    <w:rsid w:val="002F14C6"/>
    <w:rsid w:val="00323BE1"/>
    <w:rsid w:val="00480F74"/>
    <w:rsid w:val="005549D4"/>
    <w:rsid w:val="00655F36"/>
    <w:rsid w:val="008D63C7"/>
    <w:rsid w:val="009E0E6B"/>
    <w:rsid w:val="00A514DC"/>
    <w:rsid w:val="00A51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324DB7D-A382-2B4D-A260-608F7BA3B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1549</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2024-04-23T17:48:00Z</dcterms:created>
  <dcterms:modified xsi:type="dcterms:W3CDTF">2024-12-16T22:10:00Z</dcterms:modified>
</cp:coreProperties>
</file>