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71B7C" w:rsidRPr="00391A4A" w:rsidRDefault="00771B7C" w:rsidP="00771B7C">
      <w:pPr>
        <w:pStyle w:val="Heading1"/>
      </w:pPr>
      <w:r w:rsidRPr="00391A4A">
        <w:rPr>
          <w:sz w:val="22"/>
        </w:rPr>
        <w:t xml:space="preserve">Against the Heresies – Irenaeus </w:t>
      </w:r>
    </w:p>
    <w:p w:rsidR="00771B7C" w:rsidRPr="00267179" w:rsidRDefault="00771B7C" w:rsidP="00771B7C">
      <w:pPr>
        <w:rPr>
          <w:rFonts w:ascii="Times New Roman" w:hAnsi="Times New Roman" w:cs="Times New Roman"/>
          <w:color w:val="000000" w:themeColor="text1"/>
          <w:sz w:val="22"/>
          <w:szCs w:val="22"/>
        </w:rPr>
      </w:pPr>
      <w:r w:rsidRPr="000031D0">
        <w:rPr>
          <w:rFonts w:ascii="Times New Roman" w:hAnsi="Times New Roman" w:cs="Times New Roman"/>
          <w:b/>
          <w:bCs/>
          <w:color w:val="000000" w:themeColor="text1"/>
          <w:sz w:val="22"/>
          <w:szCs w:val="22"/>
        </w:rPr>
        <w:t>In Book I,</w:t>
      </w:r>
      <w:r w:rsidRPr="00267179">
        <w:rPr>
          <w:rFonts w:ascii="Times New Roman" w:hAnsi="Times New Roman" w:cs="Times New Roman"/>
          <w:color w:val="000000" w:themeColor="text1"/>
          <w:sz w:val="22"/>
          <w:szCs w:val="22"/>
        </w:rPr>
        <w:t xml:space="preserve"> an elaborate dissection of Gnostic sects, particularly Valentinianism, Irenaeus focuses on their theological constructs, scriptural exegesis, and moral precepts from the standpoint of orthodox Christianity. Irenaeus directly challenges the complex Valentinian mythologies, including their cosmogony of </w:t>
      </w:r>
      <w:proofErr w:type="spellStart"/>
      <w:r w:rsidRPr="00267179">
        <w:rPr>
          <w:rFonts w:ascii="Times New Roman" w:hAnsi="Times New Roman" w:cs="Times New Roman"/>
          <w:color w:val="000000" w:themeColor="text1"/>
          <w:sz w:val="22"/>
          <w:szCs w:val="22"/>
        </w:rPr>
        <w:t>aeons</w:t>
      </w:r>
      <w:proofErr w:type="spellEnd"/>
      <w:r w:rsidRPr="00267179">
        <w:rPr>
          <w:rFonts w:ascii="Times New Roman" w:hAnsi="Times New Roman" w:cs="Times New Roman"/>
          <w:color w:val="000000" w:themeColor="text1"/>
          <w:sz w:val="22"/>
          <w:szCs w:val="22"/>
        </w:rPr>
        <w:t>—divine emanations creating a sophisticated hierarchy within the pleroma. The narrative involving Sophia, whose fall outside the pleroma leads to the material world</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creation and necessitates the intervention of Christ and the Holy Spirit, is scrutinized in the initial chapters. Chapters three to five critique the Gnostics</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 xml:space="preserve"> selective and interpretative use of scripture to back their speculative doctrines, demonstrating their departure from conventional readings. The depiction of </w:t>
      </w:r>
      <w:proofErr w:type="spellStart"/>
      <w:r w:rsidRPr="00267179">
        <w:rPr>
          <w:rFonts w:ascii="Times New Roman" w:hAnsi="Times New Roman" w:cs="Times New Roman"/>
          <w:color w:val="000000" w:themeColor="text1"/>
          <w:sz w:val="22"/>
          <w:szCs w:val="22"/>
        </w:rPr>
        <w:t>Achamoth</w:t>
      </w:r>
      <w:proofErr w:type="spellEnd"/>
      <w:r w:rsidRPr="00267179">
        <w:rPr>
          <w:rFonts w:ascii="Times New Roman" w:hAnsi="Times New Roman" w:cs="Times New Roman"/>
          <w:color w:val="000000" w:themeColor="text1"/>
          <w:sz w:val="22"/>
          <w:szCs w:val="22"/>
        </w:rPr>
        <w:t xml:space="preserve"> and the emergence of the Demiurge showcase the heretics</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 xml:space="preserve"> explanation for the inferiority of matter. The anthropological implications of Gnostic thought, such as the tripartite human division disregard for matter, are delved into in chapters six and seven. Chapters eight and nine expose the questionable Gnostic exegesis, showing the lack of evidence of their complex theories in the scriptural silence on their </w:t>
      </w:r>
      <w:r>
        <w:rPr>
          <w:rFonts w:ascii="Times New Roman" w:hAnsi="Times New Roman" w:cs="Times New Roman"/>
          <w:color w:val="000000" w:themeColor="text1"/>
          <w:sz w:val="22"/>
          <w:szCs w:val="22"/>
        </w:rPr>
        <w:t>‘</w:t>
      </w:r>
      <w:proofErr w:type="spellStart"/>
      <w:r w:rsidRPr="00267179">
        <w:rPr>
          <w:rFonts w:ascii="Times New Roman" w:hAnsi="Times New Roman" w:cs="Times New Roman"/>
          <w:color w:val="000000" w:themeColor="text1"/>
          <w:sz w:val="22"/>
          <w:szCs w:val="22"/>
        </w:rPr>
        <w:t>aeons</w:t>
      </w:r>
      <w:proofErr w:type="spellEnd"/>
      <w:r w:rsidRPr="00267179">
        <w:rPr>
          <w:rFonts w:ascii="Times New Roman" w:hAnsi="Times New Roman" w:cs="Times New Roman"/>
          <w:color w:val="000000" w:themeColor="text1"/>
          <w:sz w:val="22"/>
          <w:szCs w:val="22"/>
        </w:rPr>
        <w:t>.</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 xml:space="preserve"> A strong emphasis on the catholic and apostolic faith contrasts Gnostic discrepancies, underlining orthodoxy</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unity and coherence worldwide in chapter ten. Variations in Valentinian doctrine and their internal inconsistencies are recounted in chapters eleven and twelve. Chapters thirteen to fifteen reveal Marcus the Magician</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 xml:space="preserve">s deceptive practices, condemning his esoteric knowledge claims and manipulation tactics. The absurdity and stretched nature of </w:t>
      </w:r>
      <w:proofErr w:type="spellStart"/>
      <w:r w:rsidRPr="00267179">
        <w:rPr>
          <w:rFonts w:ascii="Times New Roman" w:hAnsi="Times New Roman" w:cs="Times New Roman"/>
          <w:color w:val="000000" w:themeColor="text1"/>
          <w:sz w:val="22"/>
          <w:szCs w:val="22"/>
        </w:rPr>
        <w:t>Marcosian</w:t>
      </w:r>
      <w:proofErr w:type="spellEnd"/>
      <w:r w:rsidRPr="00267179">
        <w:rPr>
          <w:rFonts w:ascii="Times New Roman" w:hAnsi="Times New Roman" w:cs="Times New Roman"/>
          <w:color w:val="000000" w:themeColor="text1"/>
          <w:sz w:val="22"/>
          <w:szCs w:val="22"/>
        </w:rPr>
        <w:t xml:space="preserve"> interpretations, particularly numerology obsession with numerology, are discussed in chapters sixteen and seventeen. Irenaeus thoroughly critiques the heretical misuse of Old Testament passages to support their cosmology and theology and reaffirms doctrines like monotheism and </w:t>
      </w:r>
      <w:proofErr w:type="spellStart"/>
      <w:r w:rsidRPr="00267179">
        <w:rPr>
          <w:rFonts w:ascii="Times New Roman" w:hAnsi="Times New Roman" w:cs="Times New Roman"/>
          <w:i/>
          <w:iCs/>
          <w:color w:val="000000" w:themeColor="text1"/>
          <w:sz w:val="22"/>
          <w:szCs w:val="22"/>
        </w:rPr>
        <w:t>creatio</w:t>
      </w:r>
      <w:proofErr w:type="spellEnd"/>
      <w:r w:rsidRPr="00267179">
        <w:rPr>
          <w:rFonts w:ascii="Times New Roman" w:hAnsi="Times New Roman" w:cs="Times New Roman"/>
          <w:i/>
          <w:iCs/>
          <w:color w:val="000000" w:themeColor="text1"/>
          <w:sz w:val="22"/>
          <w:szCs w:val="22"/>
        </w:rPr>
        <w:t xml:space="preserve"> ex nihilo</w:t>
      </w:r>
      <w:r w:rsidRPr="00267179">
        <w:rPr>
          <w:rFonts w:ascii="Times New Roman" w:hAnsi="Times New Roman" w:cs="Times New Roman"/>
          <w:color w:val="000000" w:themeColor="text1"/>
          <w:sz w:val="22"/>
          <w:szCs w:val="22"/>
        </w:rPr>
        <w:t xml:space="preserve"> in chapters eighteen to twenty-two. The inclusion of other heretical figures, such as Simon Magus, Menander, </w:t>
      </w:r>
      <w:proofErr w:type="spellStart"/>
      <w:r w:rsidRPr="00267179">
        <w:rPr>
          <w:rFonts w:ascii="Times New Roman" w:hAnsi="Times New Roman" w:cs="Times New Roman"/>
          <w:color w:val="000000" w:themeColor="text1"/>
          <w:sz w:val="22"/>
          <w:szCs w:val="22"/>
        </w:rPr>
        <w:t>Saturninus</w:t>
      </w:r>
      <w:proofErr w:type="spellEnd"/>
      <w:r w:rsidRPr="00267179">
        <w:rPr>
          <w:rFonts w:ascii="Times New Roman" w:hAnsi="Times New Roman" w:cs="Times New Roman"/>
          <w:color w:val="000000" w:themeColor="text1"/>
          <w:sz w:val="22"/>
          <w:szCs w:val="22"/>
        </w:rPr>
        <w:t xml:space="preserve">, and Basilides, exhibiting distorted views on creation, Christology, and salvation, broadens the discussion in chapters twenty-three to twenty-seven. Further variances within Gnosis, focusing on practices ranging from strict asceticism to libertinism and peculiar reinterpretations of salvation history, are examined and refuted in the remaining chapters. </w:t>
      </w:r>
    </w:p>
    <w:p w:rsidR="00771B7C" w:rsidRPr="00267179" w:rsidRDefault="00771B7C" w:rsidP="00771B7C">
      <w:pPr>
        <w:rPr>
          <w:rFonts w:ascii="Times New Roman" w:hAnsi="Times New Roman" w:cs="Times New Roman"/>
          <w:color w:val="000000" w:themeColor="text1"/>
          <w:sz w:val="22"/>
          <w:szCs w:val="22"/>
        </w:rPr>
      </w:pPr>
      <w:r w:rsidRPr="000031D0">
        <w:rPr>
          <w:rFonts w:ascii="Times New Roman" w:hAnsi="Times New Roman" w:cs="Times New Roman"/>
          <w:b/>
          <w:bCs/>
          <w:color w:val="000000" w:themeColor="text1"/>
          <w:sz w:val="22"/>
          <w:szCs w:val="22"/>
        </w:rPr>
        <w:t>In Book II,</w:t>
      </w:r>
      <w:r w:rsidRPr="00267179">
        <w:rPr>
          <w:rFonts w:ascii="Times New Roman" w:hAnsi="Times New Roman" w:cs="Times New Roman"/>
          <w:color w:val="000000" w:themeColor="text1"/>
          <w:sz w:val="22"/>
          <w:szCs w:val="22"/>
        </w:rPr>
        <w:t xml:space="preserve"> Irenaeus intensifies his critique of Gnostic doctrines, focusing particularly on the Valentinians and the Marcionites, using logical arguments and scriptural evidence to highlight the inconsistencies and illogical premises within their teachings. Asserting monotheism, he disputes any notion of parallel divinities that </w:t>
      </w:r>
      <w:proofErr w:type="spellStart"/>
      <w:r w:rsidRPr="00267179">
        <w:rPr>
          <w:rFonts w:ascii="Times New Roman" w:hAnsi="Times New Roman" w:cs="Times New Roman"/>
          <w:color w:val="000000" w:themeColor="text1"/>
          <w:sz w:val="22"/>
          <w:szCs w:val="22"/>
        </w:rPr>
        <w:t>Marcion</w:t>
      </w:r>
      <w:proofErr w:type="spellEnd"/>
      <w:r w:rsidRPr="00267179">
        <w:rPr>
          <w:rFonts w:ascii="Times New Roman" w:hAnsi="Times New Roman" w:cs="Times New Roman"/>
          <w:color w:val="000000" w:themeColor="text1"/>
          <w:sz w:val="22"/>
          <w:szCs w:val="22"/>
        </w:rPr>
        <w:t xml:space="preserve"> and similar sects propose. Addressing the fallacy of a world created by beings other than the </w:t>
      </w:r>
      <w:proofErr w:type="gramStart"/>
      <w:r w:rsidRPr="00267179">
        <w:rPr>
          <w:rFonts w:ascii="Times New Roman" w:hAnsi="Times New Roman" w:cs="Times New Roman"/>
          <w:color w:val="000000" w:themeColor="text1"/>
          <w:sz w:val="22"/>
          <w:szCs w:val="22"/>
        </w:rPr>
        <w:t>Most High</w:t>
      </w:r>
      <w:proofErr w:type="gramEnd"/>
      <w:r w:rsidRPr="00267179">
        <w:rPr>
          <w:rFonts w:ascii="Times New Roman" w:hAnsi="Times New Roman" w:cs="Times New Roman"/>
          <w:color w:val="000000" w:themeColor="text1"/>
          <w:sz w:val="22"/>
          <w:szCs w:val="22"/>
        </w:rPr>
        <w:t xml:space="preserve"> God, Irenaeus emphasizes the divine origin of creation, countering Gnostic claims about angelic creators and underscoring the Creator</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absolute sovereignty. Irenaeus meticulously deconstructs the Valentinian portrayal of a flawed divine system, criticizing their depiction of an ignorant or defect-based creation. Instead, Irenaeus affirms the perfection and intentionality of the divine creation, reflecting neither defect nor shadow but the fullness of divine wisdom and power. In chapters nine to nineteen, he asserts the church</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unified belief in one Creator God, directly challenging Gnostic misinterpretations of scriptural texts and their unfounded mythological genealogies. Special attention is given to refuting the erroneous idea of Sophia</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fall and the consequent creation myths, using reasoned arguments backed by scriptural truths to expose Gnostic fallacies. In chapters twenty to twenty-eight, Irenaeus cautions against speculative numerology for divine understanding, prescribing humility and acknowledgment of our limited understanding of divine mysteries. Chapters twenty-nine to thirty-four critique Gnostic beliefs concerning the soul</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immortality, the supposed superiority of Gnostic knowledge, and the blasphemous practices associated with their teachings. Using scripture and reason, Irenaeus counters the belief in the soul</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transmigration and affirms the Christian promise of bodily resurrection and eternal life. In chapter thirty-five, he refutes Basilides</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 xml:space="preserve"> teaching and reiterates the truth of monotheism as proclaimed by the prophets.</w:t>
      </w:r>
    </w:p>
    <w:p w:rsidR="00771B7C" w:rsidRPr="00267179" w:rsidRDefault="00771B7C" w:rsidP="00771B7C">
      <w:pPr>
        <w:rPr>
          <w:rFonts w:ascii="Times New Roman" w:hAnsi="Times New Roman" w:cs="Times New Roman"/>
          <w:color w:val="000000" w:themeColor="text1"/>
          <w:sz w:val="22"/>
          <w:szCs w:val="22"/>
        </w:rPr>
      </w:pPr>
      <w:r w:rsidRPr="000031D0">
        <w:rPr>
          <w:rFonts w:ascii="Times New Roman" w:hAnsi="Times New Roman" w:cs="Times New Roman"/>
          <w:b/>
          <w:bCs/>
          <w:color w:val="000000" w:themeColor="text1"/>
          <w:sz w:val="22"/>
          <w:szCs w:val="22"/>
        </w:rPr>
        <w:t>In Book III,</w:t>
      </w:r>
      <w:r w:rsidRPr="00267179">
        <w:rPr>
          <w:rFonts w:ascii="Times New Roman" w:hAnsi="Times New Roman" w:cs="Times New Roman"/>
          <w:color w:val="000000" w:themeColor="text1"/>
          <w:sz w:val="22"/>
          <w:szCs w:val="22"/>
        </w:rPr>
        <w:t xml:space="preserve"> Irenaeus uses Scripture as the main tool to confront and refute the heresies, explicitly defending the foundational Christian principle of monotheism and systematically defending orthodox doctrines. He identifies Simon Magus as the father of all heretics. Arguing that the apostles possessed perfect knowledge through the Holy Spirit and preached monotheism, he dismisses any teachings that contradict by claiming to be surpassing apostolic tradition. He rigorously argues against heretics</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 xml:space="preserve"> disregard for Scripture and Tradition, accusing them of twisting scriptural ambiguities and claiming hidden, esoteric knowledge. By highlighting the episcopal succession from the apostles across major churches, Irenaeus </w:t>
      </w:r>
      <w:r w:rsidRPr="00267179">
        <w:rPr>
          <w:rFonts w:ascii="Times New Roman" w:hAnsi="Times New Roman" w:cs="Times New Roman"/>
          <w:color w:val="000000" w:themeColor="text1"/>
          <w:sz w:val="22"/>
          <w:szCs w:val="22"/>
        </w:rPr>
        <w:lastRenderedPageBreak/>
        <w:t>asserts the Catholic Church as the sole possessor of truth and its custodian against heretical distortions. Through chapters five to eighteen, Irenaeus reaffirms the unified depiction of God across both Testaments, using Jesus</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 xml:space="preserve"> and the apostles</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 xml:space="preserve"> teachings, especially Paul</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to refute claims of Paul possessing exclusive or superior revelation. By stressing Jesus Christ</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complete divinity and humanity, Irenaeus underlines the essential unity of divine and human natures for humanity</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salvation, challenging any notion that diminishes the physical or spiritual reality of Christ</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incarnation. Christ had to be fully man to restore the image of God. This union works in two directions: God became subject to corruption, and man gained salvation. In chapters nineteen to twenty-five, the argument pivots towards the prophetic and rational validation of the virgin birth, emphasizing Christ</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genuine humanity</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 xml:space="preserve">s necessity for reconciliation and salvation. This book culminates in a robust defense of the Christian creed, portraying a singular, providentially ruling God in stark opposition to the split deity of </w:t>
      </w:r>
      <w:proofErr w:type="spellStart"/>
      <w:r w:rsidRPr="00267179">
        <w:rPr>
          <w:rFonts w:ascii="Times New Roman" w:hAnsi="Times New Roman" w:cs="Times New Roman"/>
          <w:color w:val="000000" w:themeColor="text1"/>
          <w:sz w:val="22"/>
          <w:szCs w:val="22"/>
        </w:rPr>
        <w:t>Marcion</w:t>
      </w:r>
      <w:proofErr w:type="spellEnd"/>
      <w:r w:rsidRPr="00267179">
        <w:rPr>
          <w:rFonts w:ascii="Times New Roman" w:hAnsi="Times New Roman" w:cs="Times New Roman"/>
          <w:color w:val="000000" w:themeColor="text1"/>
          <w:sz w:val="22"/>
          <w:szCs w:val="22"/>
        </w:rPr>
        <w:t xml:space="preserve"> and the esoteric entities of Valentinian thought. Irenaeus contrasts the universality and consistency of Christian teaching with the variance and novelty of heretical teachings, employing scripture, rationality, and tradition as the tripartite foundation of his argumentation.</w:t>
      </w:r>
    </w:p>
    <w:p w:rsidR="00771B7C" w:rsidRPr="00267179" w:rsidRDefault="00771B7C" w:rsidP="00771B7C">
      <w:pPr>
        <w:rPr>
          <w:rFonts w:ascii="Times New Roman" w:hAnsi="Times New Roman" w:cs="Times New Roman"/>
          <w:color w:val="000000" w:themeColor="text1"/>
          <w:sz w:val="22"/>
          <w:szCs w:val="22"/>
        </w:rPr>
      </w:pPr>
      <w:r w:rsidRPr="000031D0">
        <w:rPr>
          <w:rFonts w:ascii="Times New Roman" w:hAnsi="Times New Roman" w:cs="Times New Roman"/>
          <w:b/>
          <w:bCs/>
          <w:color w:val="000000" w:themeColor="text1"/>
          <w:sz w:val="22"/>
          <w:szCs w:val="22"/>
        </w:rPr>
        <w:t>In Book IV,</w:t>
      </w:r>
      <w:r w:rsidRPr="00267179">
        <w:rPr>
          <w:rFonts w:ascii="Times New Roman" w:hAnsi="Times New Roman" w:cs="Times New Roman"/>
          <w:color w:val="000000" w:themeColor="text1"/>
          <w:sz w:val="22"/>
          <w:szCs w:val="22"/>
        </w:rPr>
        <w:t xml:space="preserve"> Irenaeus demonstrates the importance of understanding heretical and gnostic errors in detail in order to refute them accurately. In chapters one to six, Irenaeus emphasizes the oneness of God, asserting that the Father acknowledged by Jesus is the same Creator God of the Old Testament. He refutes any notion that suggests a change in God</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nature or purpose across testaments against Marion</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division between the Old Testament Creator and the New Testament Redeemer. Chapters seven to twelve discuss Abraham</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faith and Christ</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fulfillment of the law, and Irenaeus argues for a single divine plan that spans both covenants, showing the anticipatory role of Old Testament figures in understanding Christ</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mission. In chapters thirteen to twenty, Irenaeus focuses on how Christ did not abolish but fulfilled and expanded the law, demonstrating the consistency in God</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message of salvation and the progressive revelation of His will for humanity. Against esoteric Gnostic teachings, in chapters twenty-one to twenty-six, Irenaeus asserts the importance of correct scriptural interpretation through the Church</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teaching authority and links the faith of ancient patriarchs directly to Christian belief as a singular tradition, again legitimizing the Church</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role as guardian of truth. In chapters twenty-seven to forty-one, Irenaeus repeats his earlier argument regarding the unity of salvation in history and the Testaments, both of which are centered on Christ. Moreover, he reiterates his refutation of the Marcionite and Gnostic views of continuity of salvation history and scripture.</w:t>
      </w:r>
    </w:p>
    <w:p w:rsidR="00771B7C" w:rsidRPr="00267179" w:rsidRDefault="00771B7C" w:rsidP="00771B7C">
      <w:pPr>
        <w:rPr>
          <w:rFonts w:ascii="Times New Roman" w:hAnsi="Times New Roman" w:cs="Times New Roman"/>
          <w:color w:val="000000" w:themeColor="text1"/>
          <w:sz w:val="22"/>
          <w:szCs w:val="22"/>
        </w:rPr>
      </w:pPr>
      <w:r w:rsidRPr="000031D0">
        <w:rPr>
          <w:rFonts w:ascii="Times New Roman" w:hAnsi="Times New Roman" w:cs="Times New Roman"/>
          <w:b/>
          <w:bCs/>
          <w:color w:val="000000" w:themeColor="text1"/>
          <w:sz w:val="22"/>
          <w:szCs w:val="22"/>
        </w:rPr>
        <w:t>Book V</w:t>
      </w:r>
      <w:r w:rsidRPr="00267179">
        <w:rPr>
          <w:rFonts w:ascii="Times New Roman" w:hAnsi="Times New Roman" w:cs="Times New Roman"/>
          <w:color w:val="000000" w:themeColor="text1"/>
          <w:sz w:val="22"/>
          <w:szCs w:val="22"/>
        </w:rPr>
        <w:t xml:space="preserve"> further elaborates on Christ</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mission, the resurrection of the flesh, and the final judgment, addressing Gnostic misconceptions and affirming the physical aspect of salvation. Chapters one and two emphasize Christ</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actual incarnation from the Virgin Mary and the operation of the Holy Spirit, refuting the Gnostic separation of Jesus from Christ and highlighting the significance of Christ</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actual flesh for our salvation. In chapters three to ten, Irenaeus argues against those who deny the salvation of the flesh, using biblical exemplars of prolonged life (those living before the flood), miraculous preservation (Jonah, Daniel</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friends), and the promise of resurrection, affirming that salvation encompasses both body and soul due to Christ</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resurrection. The next couple of chapters discuss the transformative power of the Holy Spirit, the distinction between carnal and spiritual persons, and the critical role of the flesh in the context of resurrection and eternal life, reinforcing the unity of body and spirit in God</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salvation plan. Chapters eighteen to twenty-one pick up previous themes about divine authorship and monotheism. Against Gnostics, Irenaeus defends the single divine authorship of creation and salvation against Gnostic claims of different gods, portraying Christ as the fulfiller of the Father</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will and the redeemer who renews humanity. Chapters twenty-three to thirty identify the falsehood of the Devil and the prophesied rise and fall of the Antichrist, emphasizing adherence to the true faith against heretical teachings – which come from the Devil – and the importance of resisting the Antichrist</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deception. The remaining chapters expound on the state of souls awaiting resurrection, the confirmation of bodily resurrection by Christ</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ascension, the blessings promised to the saints, and the vision of an earthly kingdom reflecting heavenly realities post-resurrection, culminating in a new creation where God is all in all.</w:t>
      </w:r>
    </w:p>
    <w:p w:rsidR="00771B7C" w:rsidRPr="00771B7C" w:rsidRDefault="00771B7C">
      <w:pPr>
        <w:rPr>
          <w:rFonts w:ascii="Times New Roman" w:hAnsi="Times New Roman" w:cs="Times New Roman"/>
          <w:color w:val="000000" w:themeColor="text1"/>
          <w:sz w:val="22"/>
          <w:szCs w:val="22"/>
        </w:rPr>
      </w:pPr>
      <w:r w:rsidRPr="00267179">
        <w:rPr>
          <w:rFonts w:ascii="Times New Roman" w:hAnsi="Times New Roman" w:cs="Times New Roman"/>
          <w:color w:val="000000" w:themeColor="text1"/>
          <w:sz w:val="22"/>
          <w:szCs w:val="22"/>
        </w:rPr>
        <w:t xml:space="preserve">In </w:t>
      </w:r>
      <w:r w:rsidRPr="00267179">
        <w:rPr>
          <w:rFonts w:ascii="Times New Roman" w:hAnsi="Times New Roman" w:cs="Times New Roman"/>
          <w:i/>
          <w:iCs/>
          <w:color w:val="000000" w:themeColor="text1"/>
          <w:sz w:val="22"/>
          <w:szCs w:val="22"/>
        </w:rPr>
        <w:t xml:space="preserve">Against the </w:t>
      </w:r>
      <w:r w:rsidRPr="00267179">
        <w:rPr>
          <w:rFonts w:ascii="Times New Roman" w:hAnsi="Times New Roman" w:cs="Times New Roman"/>
          <w:color w:val="000000" w:themeColor="text1"/>
          <w:sz w:val="22"/>
          <w:szCs w:val="22"/>
        </w:rPr>
        <w:t xml:space="preserve">Heresies, Irenaeus demonstrates to possess a thorough knowledge of the intricacies of the prevailing heresies in his day. Using logic and scripture, he not only dismantles their complex and often inconsistent systems but also defends and demonstrates the authority of Scripture, which, through apostolic succession, was passed down to the church.  </w:t>
      </w:r>
    </w:p>
    <w:sectPr w:rsidR="00771B7C" w:rsidRPr="00771B7C">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E2CBC" w:rsidRDefault="00EE2CBC">
      <w:r>
        <w:separator/>
      </w:r>
    </w:p>
  </w:endnote>
  <w:endnote w:type="continuationSeparator" w:id="0">
    <w:p w:rsidR="00EE2CBC" w:rsidRDefault="00EE2C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723D7" w:rsidRDefault="00000000">
    <w:pPr>
      <w:tabs>
        <w:tab w:val="right" w:pos="9360"/>
      </w:tabs>
      <w:jc w:val="left"/>
    </w:pPr>
    <w:r>
      <w:rPr>
        <w:rFonts w:ascii="Times New Roman" w:hAnsi="Times New Roman"/>
        <w:sz w:val="22"/>
      </w:rPr>
      <w:t>IoL</w:t>
    </w:r>
    <w:r>
      <w:rPr>
        <w:rFonts w:ascii="Times New Roman" w:hAnsi="Times New Roman"/>
        <w:sz w:val="22"/>
      </w:rPr>
      <w:tab/>
    </w:r>
    <w:r>
      <w:fldChar w:fldCharType="begin"/>
    </w:r>
    <w:r>
      <w:instrText>PAGE \* MERGEFORMAT</w:instrText>
    </w:r>
    <w:r>
      <w:fldChar w:fldCharType="separate"/>
    </w:r>
    <w:r w:rsidR="000031D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E2CBC" w:rsidRDefault="00EE2CBC">
      <w:r>
        <w:separator/>
      </w:r>
    </w:p>
  </w:footnote>
  <w:footnote w:type="continuationSeparator" w:id="0">
    <w:p w:rsidR="00EE2CBC" w:rsidRDefault="00EE2C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723D7" w:rsidRDefault="00000000">
    <w:pPr>
      <w:tabs>
        <w:tab w:val="right" w:pos="9360"/>
      </w:tabs>
    </w:pPr>
    <w:r>
      <w:rPr>
        <w:rFonts w:ascii="Times New Roman" w:hAnsi="Times New Roman"/>
        <w:sz w:val="22"/>
      </w:rPr>
      <w:t>Against the Heresies</w:t>
    </w:r>
    <w:r>
      <w:rPr>
        <w:rFonts w:ascii="Times New Roman" w:hAnsi="Times New Roman"/>
        <w:sz w:val="22"/>
      </w:rPr>
      <w:tab/>
      <w: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5B6D56"/>
    <w:multiLevelType w:val="hybridMultilevel"/>
    <w:tmpl w:val="74AA3BBA"/>
    <w:lvl w:ilvl="0" w:tplc="4D122E62">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7102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B7C"/>
    <w:rsid w:val="000031D0"/>
    <w:rsid w:val="002F14C6"/>
    <w:rsid w:val="004723D7"/>
    <w:rsid w:val="00771B7C"/>
    <w:rsid w:val="00A51E41"/>
    <w:rsid w:val="00EE2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7EFF49B-B085-0C40-90FE-C5C0AE9C5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B7C"/>
    <w:pPr>
      <w:jc w:val="both"/>
    </w:pPr>
  </w:style>
  <w:style w:type="paragraph" w:styleId="Heading1">
    <w:name w:val="heading 1"/>
    <w:basedOn w:val="Normal"/>
    <w:next w:val="Normal"/>
    <w:link w:val="Heading1Char"/>
    <w:uiPriority w:val="9"/>
    <w:qFormat/>
    <w:rsid w:val="00771B7C"/>
    <w:pPr>
      <w:keepNext/>
      <w:keepLines/>
      <w:numPr>
        <w:numId w:val="1"/>
      </w:numPr>
      <w:ind w:left="714" w:hanging="357"/>
      <w:outlineLvl w:val="0"/>
    </w:pPr>
    <w:rPr>
      <w:rFonts w:ascii="Times New Roman" w:eastAsiaTheme="majorEastAsia" w:hAnsi="Times New Roman" w:cstheme="majorBidi"/>
      <w:b/>
      <w:color w:val="000000" w:themeColor="text1"/>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B7C"/>
    <w:rPr>
      <w:rFonts w:ascii="Times New Roman" w:eastAsiaTheme="majorEastAsia" w:hAnsi="Times New Roman" w:cstheme="majorBidi"/>
      <w:b/>
      <w:color w:val="000000" w:themeColor="text1"/>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1579</Words>
  <Characters>9004</Characters>
  <Application>Microsoft Office Word</Application>
  <DocSecurity>0</DocSecurity>
  <Lines>75</Lines>
  <Paragraphs>21</Paragraphs>
  <ScaleCrop>false</ScaleCrop>
  <Company/>
  <LinksUpToDate>false</LinksUpToDate>
  <CharactersWithSpaces>10562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2</cp:revision>
  <dcterms:created xsi:type="dcterms:W3CDTF">2024-04-24T15:44:00Z</dcterms:created>
  <dcterms:modified xsi:type="dcterms:W3CDTF">2024-12-16T22:32:00Z</dcterms:modified>
</cp:coreProperties>
</file>