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002BE4" w:rsidP="00002BE4">
      <w:pPr>
        <w:jc w:val="both"/>
        <w:rPr>
          <w:b/>
          <w:bCs/>
        </w:rPr>
      </w:pPr>
      <w:r w:rsidRPr="00002BE4">
        <w:rPr>
          <w:rFonts w:ascii="Times New Roman" w:hAnsi="Times New Roman"/>
          <w:b/>
          <w:bCs/>
          <w:sz w:val="22"/>
        </w:rPr>
        <w:t>Early Christian Doctrines</w:t>
      </w:r>
      <w:r w:rsidRPr="00002BE4">
        <w:rPr>
          <w:rFonts w:ascii="Times New Roman" w:hAnsi="Times New Roman"/>
          <w:b/>
          <w:bCs/>
          <w:sz w:val="22"/>
        </w:rPr>
        <w:t xml:space="preserve"> -</w:t>
      </w:r>
      <w:r w:rsidRPr="00002BE4">
        <w:rPr>
          <w:rFonts w:ascii="Times New Roman" w:hAnsi="Times New Roman"/>
          <w:b/>
          <w:bCs/>
          <w:sz w:val="22"/>
        </w:rPr>
        <w:t xml:space="preserve"> J. N. D. Kelly</w:t>
      </w:r>
      <w:r>
        <w:rPr>
          <w:rFonts w:ascii="Times New Roman" w:hAnsi="Times New Roman"/>
          <w:b/>
          <w:bCs/>
          <w:sz w:val="22"/>
        </w:rPr>
        <w:t>.</w:t>
      </w:r>
    </w:p>
    <w:p w:rsidR="00002BE4" w:rsidRPr="00002BE4" w:rsidRDefault="00002BE4" w:rsidP="00002BE4">
      <w:pPr>
        <w:jc w:val="both"/>
      </w:pPr>
      <w:r w:rsidRPr="00002BE4">
        <w:rPr>
          <w:rFonts w:ascii="Times New Roman" w:hAnsi="Times New Roman"/>
          <w:b/>
          <w:bCs/>
          <w:sz w:val="22"/>
        </w:rPr>
        <w:t>Gnostics and Valentinus</w:t>
      </w:r>
      <w:r>
        <w:rPr>
          <w:rFonts w:ascii="Times New Roman" w:hAnsi="Times New Roman"/>
          <w:b/>
          <w:bCs/>
          <w:sz w:val="22"/>
        </w:rPr>
        <w:t xml:space="preserve">. </w:t>
      </w:r>
      <w:r w:rsidRPr="00002BE4">
        <w:rPr>
          <w:rFonts w:ascii="Times New Roman" w:hAnsi="Times New Roman"/>
          <w:sz w:val="22"/>
        </w:rPr>
        <w:t>Valentinus and others characterized Gnostic beliefs with three main features: dualism, attempts to explain the origin of matter (considered evil), and the notion that the spiritual element in humans yearns to be liberated from matter.</w:t>
      </w:r>
    </w:p>
    <w:p w:rsidR="00E44201" w:rsidRDefault="00E44201" w:rsidP="00002BE4">
      <w:pPr>
        <w:jc w:val="both"/>
        <w:rPr>
          <w:b/>
          <w:bCs/>
        </w:rPr>
      </w:pPr>
    </w:p>
    <w:p w:rsidR="00002BE4" w:rsidRPr="00002BE4" w:rsidRDefault="00E44201" w:rsidP="00002BE4">
      <w:pPr>
        <w:jc w:val="both"/>
      </w:pPr>
      <w:r>
        <w:rPr>
          <w:rFonts w:ascii="Times New Roman" w:hAnsi="Times New Roman"/>
          <w:b/>
          <w:bCs/>
          <w:sz w:val="22"/>
        </w:rPr>
        <w:t>II</w:t>
      </w:r>
      <w:r w:rsidR="00002BE4">
        <w:rPr>
          <w:rFonts w:ascii="Times New Roman" w:hAnsi="Times New Roman"/>
          <w:b/>
          <w:bCs/>
          <w:sz w:val="22"/>
        </w:rPr>
        <w:t xml:space="preserve">. </w:t>
      </w:r>
      <w:r w:rsidR="00002BE4" w:rsidRPr="00002BE4">
        <w:rPr>
          <w:rFonts w:ascii="Times New Roman" w:hAnsi="Times New Roman"/>
          <w:b/>
          <w:bCs/>
          <w:sz w:val="22"/>
        </w:rPr>
        <w:t>Tradition and Scripture</w:t>
      </w:r>
      <w:r w:rsidR="00002BE4">
        <w:rPr>
          <w:rFonts w:ascii="Times New Roman" w:hAnsi="Times New Roman"/>
          <w:b/>
          <w:bCs/>
          <w:sz w:val="22"/>
        </w:rPr>
        <w:t xml:space="preserve">. </w:t>
      </w:r>
      <w:r w:rsidR="00002BE4" w:rsidRPr="00002BE4">
        <w:rPr>
          <w:rFonts w:ascii="Times New Roman" w:hAnsi="Times New Roman"/>
          <w:sz w:val="22"/>
        </w:rPr>
        <w:t>The Old Testament is seen as 'Christian,' and apostolic witness is anchored in those who had direct contact with the apostles. The formation of the canon was a response to challenges from figures like Marcion, emphasizing that both the New and Old Testaments are inspired by the same Spirit.</w:t>
      </w:r>
      <w:r w:rsidR="00002BE4">
        <w:rPr>
          <w:rFonts w:ascii="Times New Roman" w:hAnsi="Times New Roman"/>
          <w:sz w:val="22"/>
        </w:rPr>
        <w:t xml:space="preserve"> </w:t>
      </w:r>
    </w:p>
    <w:p w:rsidR="00002BE4" w:rsidRPr="00002BE4" w:rsidRDefault="00002BE4" w:rsidP="00002BE4">
      <w:pPr>
        <w:jc w:val="both"/>
      </w:pPr>
    </w:p>
    <w:p w:rsidR="00002BE4" w:rsidRPr="00002BE4" w:rsidRDefault="00E44201" w:rsidP="00002BE4">
      <w:pPr>
        <w:jc w:val="both"/>
        <w:rPr>
          <w:b/>
          <w:bCs/>
        </w:rPr>
      </w:pPr>
      <w:r>
        <w:rPr>
          <w:rFonts w:ascii="Times New Roman" w:hAnsi="Times New Roman"/>
          <w:b/>
          <w:bCs/>
          <w:sz w:val="22"/>
        </w:rPr>
        <w:t>IV</w:t>
      </w:r>
      <w:r w:rsidR="00002BE4" w:rsidRPr="00002BE4">
        <w:rPr>
          <w:rFonts w:ascii="Times New Roman" w:hAnsi="Times New Roman"/>
          <w:b/>
          <w:bCs/>
          <w:sz w:val="22"/>
        </w:rPr>
        <w:t xml:space="preserve">. </w:t>
      </w:r>
      <w:r w:rsidR="00002BE4" w:rsidRPr="00002BE4">
        <w:rPr>
          <w:rFonts w:ascii="Times New Roman" w:hAnsi="Times New Roman"/>
          <w:b/>
          <w:bCs/>
          <w:sz w:val="22"/>
        </w:rPr>
        <w:t>The Divine Triad</w:t>
      </w:r>
      <w:r w:rsidR="00002BE4">
        <w:rPr>
          <w:rFonts w:ascii="Times New Roman" w:hAnsi="Times New Roman"/>
          <w:b/>
          <w:bCs/>
          <w:sz w:val="22"/>
        </w:rPr>
        <w:t>.</w:t>
      </w:r>
    </w:p>
    <w:p w:rsidR="00002BE4" w:rsidRDefault="00002BE4" w:rsidP="00002BE4">
      <w:pPr>
        <w:jc w:val="both"/>
      </w:pPr>
      <w:r w:rsidRPr="00002BE4">
        <w:rPr>
          <w:rFonts w:ascii="Times New Roman" w:hAnsi="Times New Roman"/>
          <w:b/>
          <w:bCs/>
          <w:sz w:val="22"/>
        </w:rPr>
        <w:t>Apostolic Fathers</w:t>
      </w:r>
      <w:r>
        <w:rPr>
          <w:rFonts w:ascii="Times New Roman" w:hAnsi="Times New Roman"/>
          <w:b/>
          <w:bCs/>
          <w:sz w:val="22"/>
        </w:rPr>
        <w:t xml:space="preserve">. </w:t>
      </w:r>
      <w:r w:rsidRPr="00002BE4">
        <w:rPr>
          <w:rFonts w:ascii="Times New Roman" w:hAnsi="Times New Roman"/>
          <w:sz w:val="22"/>
        </w:rPr>
        <w:t>Generally maintained that Christ was pre-existent, with a significant role in creation and redemption.</w:t>
      </w:r>
      <w:r>
        <w:rPr>
          <w:rFonts w:ascii="Times New Roman" w:hAnsi="Times New Roman"/>
          <w:sz w:val="22"/>
        </w:rPr>
        <w:t xml:space="preserve"> </w:t>
      </w:r>
      <w:r w:rsidRPr="00002BE4">
        <w:rPr>
          <w:rFonts w:ascii="Times New Roman" w:hAnsi="Times New Roman"/>
          <w:b/>
          <w:bCs/>
          <w:sz w:val="22"/>
        </w:rPr>
        <w:t>Apologists and Logos</w:t>
      </w:r>
      <w:r>
        <w:rPr>
          <w:rFonts w:ascii="Times New Roman" w:hAnsi="Times New Roman"/>
          <w:b/>
          <w:bCs/>
          <w:sz w:val="22"/>
        </w:rPr>
        <w:t xml:space="preserve">. </w:t>
      </w:r>
      <w:r w:rsidRPr="00002BE4">
        <w:rPr>
          <w:rFonts w:ascii="Times New Roman" w:hAnsi="Times New Roman"/>
          <w:sz w:val="22"/>
        </w:rPr>
        <w:t>They understood God the Father as the author of all existence, while the Logos (the Son) was dated to an "emission or putting forth" for creation purposes. Though they lacked precise vocabulary for eternal distinctions, they considered the Logos eternal, ensuring monotheism.</w:t>
      </w:r>
      <w:r>
        <w:rPr>
          <w:rFonts w:ascii="Times New Roman" w:hAnsi="Times New Roman"/>
          <w:sz w:val="22"/>
        </w:rPr>
        <w:t xml:space="preserve"> </w:t>
      </w:r>
      <w:r w:rsidRPr="00002BE4">
        <w:rPr>
          <w:rFonts w:ascii="Times New Roman" w:hAnsi="Times New Roman"/>
          <w:b/>
          <w:bCs/>
          <w:sz w:val="22"/>
        </w:rPr>
        <w:t>Apologists and the Trinity</w:t>
      </w:r>
      <w:r>
        <w:rPr>
          <w:rFonts w:ascii="Times New Roman" w:hAnsi="Times New Roman"/>
          <w:b/>
          <w:bCs/>
          <w:sz w:val="22"/>
        </w:rPr>
        <w:t xml:space="preserve">. </w:t>
      </w:r>
      <w:r w:rsidRPr="00002BE4">
        <w:rPr>
          <w:rFonts w:ascii="Times New Roman" w:hAnsi="Times New Roman"/>
          <w:sz w:val="22"/>
        </w:rPr>
        <w:t>Presented ideas that were sometimes incoherent regarding the Spirit of God. They acknowledged that Word and Wisdom were eternally with God, yet distinct, ensuring God wasn't diminished upon their emission.</w:t>
      </w:r>
      <w:r w:rsidR="00E44201">
        <w:rPr>
          <w:rFonts w:ascii="Times New Roman" w:hAnsi="Times New Roman"/>
          <w:sz w:val="22"/>
        </w:rPr>
        <w:t xml:space="preserve"> </w:t>
      </w:r>
      <w:r w:rsidRPr="00E44201">
        <w:rPr>
          <w:rFonts w:ascii="Times New Roman" w:hAnsi="Times New Roman"/>
          <w:b/>
          <w:bCs/>
          <w:sz w:val="22"/>
        </w:rPr>
        <w:t>Irenaeus</w:t>
      </w:r>
      <w:r w:rsidR="00E44201">
        <w:rPr>
          <w:rFonts w:ascii="Times New Roman" w:hAnsi="Times New Roman"/>
          <w:b/>
          <w:bCs/>
          <w:sz w:val="22"/>
        </w:rPr>
        <w:t xml:space="preserve">. </w:t>
      </w:r>
      <w:r w:rsidR="00E44201" w:rsidRPr="00E44201">
        <w:rPr>
          <w:rFonts w:ascii="Times New Roman" w:hAnsi="Times New Roman"/>
          <w:sz w:val="22"/>
        </w:rPr>
        <w:t>Irenaeus d</w:t>
      </w:r>
      <w:r w:rsidRPr="00E44201">
        <w:rPr>
          <w:rFonts w:ascii="Times New Roman" w:hAnsi="Times New Roman"/>
          <w:sz w:val="22"/>
        </w:rPr>
        <w:t>eveloped</w:t>
      </w:r>
      <w:r w:rsidRPr="00002BE4">
        <w:rPr>
          <w:rFonts w:ascii="Times New Roman" w:hAnsi="Times New Roman"/>
          <w:sz w:val="22"/>
        </w:rPr>
        <w:t xml:space="preserve"> both internal and external (economic) views of the Trinity. He recognized the Word as eternal and gave fuller acknowledgment to the Spirit. The Word (Logos) was divine and rational, while the Spirit (Wisdom) was divine, though not explicitly termed so. Both collaborated in creation, reflecting an economic Trinity as well as the three-in-oneness of the Godhead.</w:t>
      </w:r>
    </w:p>
    <w:p w:rsidR="00E44201" w:rsidRDefault="00E44201" w:rsidP="00002BE4">
      <w:pPr>
        <w:jc w:val="both"/>
      </w:pPr>
    </w:p>
    <w:p w:rsidR="00E44201" w:rsidRPr="00E44201" w:rsidRDefault="00E44201" w:rsidP="00E44201">
      <w:pPr>
        <w:jc w:val="both"/>
        <w:rPr>
          <w:b/>
          <w:bCs/>
        </w:rPr>
      </w:pPr>
      <w:r w:rsidRPr="00E44201">
        <w:rPr>
          <w:rFonts w:ascii="Times New Roman" w:hAnsi="Times New Roman"/>
          <w:b/>
          <w:bCs/>
          <w:sz w:val="22"/>
        </w:rPr>
        <w:t xml:space="preserve">V. </w:t>
      </w:r>
      <w:r w:rsidRPr="00E44201">
        <w:rPr>
          <w:rFonts w:ascii="Times New Roman" w:hAnsi="Times New Roman"/>
          <w:b/>
          <w:bCs/>
          <w:sz w:val="22"/>
        </w:rPr>
        <w:t>Third-Century Trinitarianism</w:t>
      </w:r>
      <w:r>
        <w:rPr>
          <w:rFonts w:ascii="Times New Roman" w:hAnsi="Times New Roman"/>
          <w:b/>
          <w:bCs/>
          <w:sz w:val="22"/>
        </w:rPr>
        <w:t>.</w:t>
      </w:r>
    </w:p>
    <w:p w:rsidR="00E44201" w:rsidRDefault="00E44201" w:rsidP="00E44201">
      <w:pPr>
        <w:jc w:val="both"/>
      </w:pPr>
      <w:r>
        <w:rPr>
          <w:rFonts w:ascii="Times New Roman" w:hAnsi="Times New Roman"/>
          <w:sz w:val="22"/>
        </w:rPr>
        <w:t>Third-century Trinitarian thought focused on the external or economic Trinity. Key figures like Hippolytus and Tertullian emphasized God as eternally transcendent yet immanent in a threefold manner. They described God as alone but accompanied by Word and Wisdom. Tertullian introduced the term "trinitas," describing God’s manifestations as distinct yet not separate, using "unum" rather than "unus." He advanced Irenaeus’s ideas, illustrating one substance in three manifestations, with "personae" indicating individuals, not self-conscious entities.</w:t>
      </w:r>
      <w:r>
        <w:rPr>
          <w:rFonts w:ascii="Times New Roman" w:hAnsi="Times New Roman"/>
          <w:sz w:val="22"/>
        </w:rPr>
        <w:t xml:space="preserve"> </w:t>
      </w:r>
      <w:r w:rsidRPr="00E44201">
        <w:rPr>
          <w:rFonts w:ascii="Times New Roman" w:hAnsi="Times New Roman"/>
          <w:b/>
          <w:bCs/>
          <w:sz w:val="22"/>
        </w:rPr>
        <w:t>Dynamic Monarchism and Adoptianism</w:t>
      </w:r>
      <w:r>
        <w:rPr>
          <w:rFonts w:ascii="Times New Roman" w:hAnsi="Times New Roman"/>
          <w:b/>
          <w:bCs/>
          <w:sz w:val="22"/>
        </w:rPr>
        <w:t xml:space="preserve">. </w:t>
      </w:r>
      <w:r>
        <w:rPr>
          <w:rFonts w:ascii="Times New Roman" w:hAnsi="Times New Roman"/>
          <w:sz w:val="22"/>
        </w:rPr>
        <w:t>This view posited that Christ was a mere man temporarily adopted by God. Theodotus taught that Christ became divine only post-baptism.</w:t>
      </w:r>
      <w:r>
        <w:rPr>
          <w:rFonts w:ascii="Times New Roman" w:hAnsi="Times New Roman"/>
          <w:sz w:val="22"/>
        </w:rPr>
        <w:t xml:space="preserve"> </w:t>
      </w:r>
      <w:r w:rsidRPr="00E44201">
        <w:rPr>
          <w:rFonts w:ascii="Times New Roman" w:hAnsi="Times New Roman"/>
          <w:b/>
          <w:bCs/>
          <w:sz w:val="22"/>
        </w:rPr>
        <w:t>Modalistic Monarchism</w:t>
      </w:r>
      <w:r>
        <w:rPr>
          <w:rFonts w:ascii="Times New Roman" w:hAnsi="Times New Roman"/>
          <w:b/>
          <w:bCs/>
          <w:sz w:val="22"/>
        </w:rPr>
        <w:t xml:space="preserve">. </w:t>
      </w:r>
      <w:r>
        <w:rPr>
          <w:rFonts w:ascii="Times New Roman" w:hAnsi="Times New Roman"/>
          <w:sz w:val="22"/>
        </w:rPr>
        <w:t>This perspective blurred distinctions by portraying God’s expressions as mere modes. The Godhead was equated with the Father. Figures like Noetus of Smyrna promoted Patripassianism, while Praxeas, refuted by Tertullian, and Sabellius described a monad with three operations, viewing the Son as having temporary, non-simultaneous modes like warmth and light emanating from a single source.</w:t>
      </w:r>
      <w:r>
        <w:rPr>
          <w:rFonts w:ascii="Times New Roman" w:hAnsi="Times New Roman"/>
          <w:sz w:val="22"/>
        </w:rPr>
        <w:t xml:space="preserve"> </w:t>
      </w:r>
      <w:r w:rsidRPr="00E44201">
        <w:rPr>
          <w:rFonts w:ascii="Times New Roman" w:hAnsi="Times New Roman"/>
          <w:b/>
          <w:bCs/>
          <w:sz w:val="22"/>
        </w:rPr>
        <w:t>Roman Views</w:t>
      </w:r>
      <w:r>
        <w:rPr>
          <w:rFonts w:ascii="Times New Roman" w:hAnsi="Times New Roman"/>
          <w:b/>
          <w:bCs/>
          <w:sz w:val="22"/>
        </w:rPr>
        <w:t xml:space="preserve">. </w:t>
      </w:r>
      <w:r>
        <w:rPr>
          <w:rFonts w:ascii="Times New Roman" w:hAnsi="Times New Roman"/>
          <w:sz w:val="22"/>
        </w:rPr>
        <w:t>Leaders like Zephyrinus and Callistus showed sympathy for modalism but recognized its challenges.</w:t>
      </w:r>
      <w:r>
        <w:rPr>
          <w:rFonts w:ascii="Times New Roman" w:hAnsi="Times New Roman"/>
          <w:sz w:val="22"/>
        </w:rPr>
        <w:t xml:space="preserve"> </w:t>
      </w:r>
      <w:r w:rsidRPr="00E44201">
        <w:rPr>
          <w:rFonts w:ascii="Times New Roman" w:hAnsi="Times New Roman"/>
          <w:b/>
          <w:bCs/>
          <w:sz w:val="22"/>
        </w:rPr>
        <w:t>Eastern Thought: Clement and Origen</w:t>
      </w:r>
      <w:r>
        <w:rPr>
          <w:rFonts w:ascii="Times New Roman" w:hAnsi="Times New Roman"/>
          <w:b/>
          <w:bCs/>
          <w:sz w:val="22"/>
        </w:rPr>
        <w:t xml:space="preserve">. </w:t>
      </w:r>
      <w:r>
        <w:rPr>
          <w:rFonts w:ascii="Times New Roman" w:hAnsi="Times New Roman"/>
          <w:sz w:val="22"/>
        </w:rPr>
        <w:t>Clement, more a moralist than a systematic theologian, distinguished between the three in a Neo-Platonic manner, suggesting subordination. Origen, from a Middle Platonic background, spoke of eternal begetting, viewing the Son as secondary and the Spirit as originating from the Word. He presented the three Persons as really distinct from eternity, not merely in economic terms. Origen's concept of "logikoi" described spiritual beings co-eternal with the Father.</w:t>
      </w:r>
      <w:r>
        <w:rPr>
          <w:rFonts w:ascii="Times New Roman" w:hAnsi="Times New Roman"/>
          <w:sz w:val="22"/>
        </w:rPr>
        <w:t xml:space="preserve"> </w:t>
      </w:r>
      <w:r w:rsidRPr="00E44201">
        <w:rPr>
          <w:rFonts w:ascii="Times New Roman" w:hAnsi="Times New Roman"/>
          <w:b/>
          <w:bCs/>
          <w:sz w:val="22"/>
        </w:rPr>
        <w:t>Paul of Samosata</w:t>
      </w:r>
      <w:r>
        <w:rPr>
          <w:rFonts w:ascii="Times New Roman" w:hAnsi="Times New Roman"/>
          <w:b/>
          <w:bCs/>
          <w:sz w:val="22"/>
        </w:rPr>
        <w:t xml:space="preserve">. </w:t>
      </w:r>
      <w:r>
        <w:rPr>
          <w:rFonts w:ascii="Times New Roman" w:hAnsi="Times New Roman"/>
          <w:sz w:val="22"/>
        </w:rPr>
        <w:t>Paul argued that Christ was an ordinary man inspired by divine Wisdom.</w:t>
      </w:r>
    </w:p>
    <w:p w:rsidR="00E44201" w:rsidRDefault="00E44201" w:rsidP="00E44201">
      <w:pPr>
        <w:jc w:val="both"/>
      </w:pPr>
    </w:p>
    <w:p w:rsidR="00E44201" w:rsidRPr="00E44201" w:rsidRDefault="00E44201" w:rsidP="00E44201">
      <w:pPr>
        <w:jc w:val="both"/>
        <w:rPr>
          <w:b/>
          <w:bCs/>
        </w:rPr>
      </w:pPr>
      <w:r w:rsidRPr="00E44201">
        <w:rPr>
          <w:rFonts w:ascii="Times New Roman" w:hAnsi="Times New Roman"/>
          <w:b/>
          <w:bCs/>
          <w:sz w:val="22"/>
        </w:rPr>
        <w:t xml:space="preserve">VI. </w:t>
      </w:r>
      <w:r w:rsidRPr="00E44201">
        <w:rPr>
          <w:rFonts w:ascii="Times New Roman" w:hAnsi="Times New Roman"/>
          <w:b/>
          <w:bCs/>
          <w:sz w:val="22"/>
        </w:rPr>
        <w:t>The Beginnings of Christology</w:t>
      </w:r>
      <w:r>
        <w:rPr>
          <w:rFonts w:ascii="Times New Roman" w:hAnsi="Times New Roman"/>
          <w:b/>
          <w:bCs/>
          <w:sz w:val="22"/>
        </w:rPr>
        <w:t>.</w:t>
      </w:r>
    </w:p>
    <w:p w:rsidR="00E44201" w:rsidRDefault="00E44201" w:rsidP="00E44201">
      <w:pPr>
        <w:jc w:val="both"/>
      </w:pPr>
      <w:r w:rsidRPr="00E44201">
        <w:rPr>
          <w:rFonts w:ascii="Times New Roman" w:hAnsi="Times New Roman"/>
          <w:b/>
          <w:bCs/>
          <w:sz w:val="22"/>
        </w:rPr>
        <w:t>One-sided Solutions</w:t>
      </w:r>
      <w:r>
        <w:rPr>
          <w:rFonts w:ascii="Times New Roman" w:hAnsi="Times New Roman"/>
          <w:b/>
          <w:bCs/>
          <w:sz w:val="22"/>
        </w:rPr>
        <w:t xml:space="preserve">. </w:t>
      </w:r>
      <w:r>
        <w:rPr>
          <w:rFonts w:ascii="Times New Roman" w:hAnsi="Times New Roman"/>
          <w:sz w:val="22"/>
        </w:rPr>
        <w:t>Ebionism, a Jewish offshoot, denied Christ’s divinity. Non-Jewish monarchism, represented by figures like Theodotus, Artemas, and Paul of Samosata, viewed Christ as a human inspired by divine Wisdom. Docetism and Gnostic beliefs introduced other complexities by distorting Christ’s nature.</w:t>
      </w:r>
      <w:r>
        <w:rPr>
          <w:rFonts w:ascii="Times New Roman" w:hAnsi="Times New Roman"/>
          <w:sz w:val="22"/>
        </w:rPr>
        <w:t xml:space="preserve"> </w:t>
      </w:r>
      <w:r w:rsidRPr="00E44201">
        <w:rPr>
          <w:rFonts w:ascii="Times New Roman" w:hAnsi="Times New Roman"/>
          <w:b/>
          <w:bCs/>
          <w:sz w:val="22"/>
        </w:rPr>
        <w:t>Spirit Christology</w:t>
      </w:r>
      <w:r>
        <w:rPr>
          <w:rFonts w:ascii="Times New Roman" w:hAnsi="Times New Roman"/>
          <w:b/>
          <w:bCs/>
          <w:sz w:val="22"/>
        </w:rPr>
        <w:t xml:space="preserve">. </w:t>
      </w:r>
      <w:r>
        <w:rPr>
          <w:rFonts w:ascii="Times New Roman" w:hAnsi="Times New Roman"/>
          <w:sz w:val="22"/>
        </w:rPr>
        <w:t>This perspective posited that the pre-existent Son of God, conceived through the Spirit and Mary, was united with divine nature, resulting in Jesus.</w:t>
      </w:r>
      <w:r>
        <w:rPr>
          <w:rFonts w:ascii="Times New Roman" w:hAnsi="Times New Roman"/>
          <w:sz w:val="22"/>
        </w:rPr>
        <w:t xml:space="preserve"> </w:t>
      </w:r>
      <w:r w:rsidRPr="00E44201">
        <w:rPr>
          <w:rFonts w:ascii="Times New Roman" w:hAnsi="Times New Roman"/>
          <w:b/>
          <w:bCs/>
          <w:sz w:val="22"/>
        </w:rPr>
        <w:t>Apologists and Irenaeus</w:t>
      </w:r>
      <w:r>
        <w:rPr>
          <w:rFonts w:ascii="Times New Roman" w:hAnsi="Times New Roman"/>
          <w:b/>
          <w:bCs/>
          <w:sz w:val="22"/>
        </w:rPr>
        <w:t xml:space="preserve">. </w:t>
      </w:r>
      <w:r>
        <w:rPr>
          <w:rFonts w:ascii="Times New Roman" w:hAnsi="Times New Roman"/>
          <w:sz w:val="22"/>
        </w:rPr>
        <w:t>Early apologists and Irenaeus emphasized the dual natures of Christ rather than the unity of His person. Irenaeus articulated that the eternal Word became truly God and truly man, with the Word as the divine manifestation.</w:t>
      </w:r>
      <w:r>
        <w:rPr>
          <w:rFonts w:ascii="Times New Roman" w:hAnsi="Times New Roman"/>
          <w:sz w:val="22"/>
        </w:rPr>
        <w:t xml:space="preserve"> </w:t>
      </w:r>
      <w:r w:rsidRPr="00E44201">
        <w:rPr>
          <w:rFonts w:ascii="Times New Roman" w:hAnsi="Times New Roman"/>
          <w:b/>
          <w:bCs/>
          <w:sz w:val="22"/>
        </w:rPr>
        <w:t>Western Contribution</w:t>
      </w:r>
      <w:r>
        <w:rPr>
          <w:rFonts w:ascii="Times New Roman" w:hAnsi="Times New Roman"/>
          <w:b/>
          <w:bCs/>
          <w:sz w:val="22"/>
        </w:rPr>
        <w:t xml:space="preserve">. </w:t>
      </w:r>
      <w:r>
        <w:rPr>
          <w:rFonts w:ascii="Times New Roman" w:hAnsi="Times New Roman"/>
          <w:sz w:val="22"/>
        </w:rPr>
        <w:t xml:space="preserve">Hippolytus asserted that the Logos became flesh, emphasizing the distinction </w:t>
      </w:r>
      <w:r>
        <w:rPr>
          <w:rFonts w:ascii="Times New Roman" w:hAnsi="Times New Roman"/>
          <w:sz w:val="22"/>
        </w:rPr>
        <w:lastRenderedPageBreak/>
        <w:t xml:space="preserve">between natures and Sonship initiated at incarnation. Tertullian advanced the idea of two substances, viewing the Word as eternally pre-existent and entering Mary. He introduced the concept that would later be known as </w:t>
      </w:r>
      <w:r w:rsidRPr="00E44201">
        <w:rPr>
          <w:rFonts w:ascii="Times New Roman" w:hAnsi="Times New Roman"/>
          <w:i/>
          <w:iCs/>
          <w:sz w:val="22"/>
        </w:rPr>
        <w:t>communicatio idiomatum</w:t>
      </w:r>
      <w:r>
        <w:rPr>
          <w:rFonts w:ascii="Times New Roman" w:hAnsi="Times New Roman"/>
          <w:sz w:val="22"/>
        </w:rPr>
        <w:t>, with the human possessing a rational soul—a view not universally followed, such as by Novatian.</w:t>
      </w:r>
      <w:r>
        <w:rPr>
          <w:rFonts w:ascii="Times New Roman" w:hAnsi="Times New Roman"/>
          <w:sz w:val="22"/>
        </w:rPr>
        <w:t xml:space="preserve"> </w:t>
      </w:r>
      <w:r w:rsidRPr="00E44201">
        <w:rPr>
          <w:rFonts w:ascii="Times New Roman" w:hAnsi="Times New Roman"/>
          <w:b/>
          <w:bCs/>
          <w:sz w:val="22"/>
        </w:rPr>
        <w:t>School of Alexandria</w:t>
      </w:r>
      <w:r>
        <w:rPr>
          <w:rFonts w:ascii="Times New Roman" w:hAnsi="Times New Roman"/>
          <w:b/>
          <w:bCs/>
          <w:sz w:val="22"/>
        </w:rPr>
        <w:t xml:space="preserve">. </w:t>
      </w:r>
      <w:r>
        <w:rPr>
          <w:rFonts w:ascii="Times New Roman" w:hAnsi="Times New Roman"/>
          <w:sz w:val="22"/>
        </w:rPr>
        <w:t xml:space="preserve">Clement’s teachings revealed a docetist tendency, suggesting the Logos entered flesh as a directive principle, maintaining </w:t>
      </w:r>
      <w:r w:rsidRPr="00E44201">
        <w:rPr>
          <w:rFonts w:ascii="Times New Roman" w:hAnsi="Times New Roman"/>
          <w:i/>
          <w:iCs/>
          <w:sz w:val="22"/>
        </w:rPr>
        <w:t>apatheia</w:t>
      </w:r>
      <w:r>
        <w:rPr>
          <w:rFonts w:ascii="Times New Roman" w:hAnsi="Times New Roman"/>
          <w:sz w:val="22"/>
        </w:rPr>
        <w:t>. Origen posited that the pre-existent soul was united to the Logos, presenting the incarnation as an intersection of the infinite and finite. He maintained a clear duality of nature, with the Logos substantially united to Christ’s human soul, predominat</w:t>
      </w:r>
      <w:r>
        <w:rPr>
          <w:rFonts w:ascii="Times New Roman" w:hAnsi="Times New Roman"/>
          <w:sz w:val="22"/>
        </w:rPr>
        <w:t>ing</w:t>
      </w:r>
      <w:r>
        <w:rPr>
          <w:rFonts w:ascii="Times New Roman" w:hAnsi="Times New Roman"/>
          <w:sz w:val="22"/>
        </w:rPr>
        <w:t xml:space="preserve"> within Him. Origen taught that Jesus shared the Word’s divinity, transitioning after exaltation from the human to complete identification with God/Logos.</w:t>
      </w:r>
      <w:r>
        <w:rPr>
          <w:rFonts w:ascii="Times New Roman" w:hAnsi="Times New Roman"/>
          <w:sz w:val="22"/>
        </w:rPr>
        <w:t xml:space="preserve"> </w:t>
      </w:r>
      <w:r w:rsidRPr="00E44201">
        <w:rPr>
          <w:rFonts w:ascii="Times New Roman" w:hAnsi="Times New Roman"/>
          <w:b/>
          <w:bCs/>
          <w:sz w:val="22"/>
        </w:rPr>
        <w:t>East after Origen</w:t>
      </w:r>
      <w:r>
        <w:rPr>
          <w:rFonts w:ascii="Times New Roman" w:hAnsi="Times New Roman"/>
          <w:b/>
          <w:bCs/>
          <w:sz w:val="22"/>
        </w:rPr>
        <w:t xml:space="preserve">. </w:t>
      </w:r>
      <w:r>
        <w:rPr>
          <w:rFonts w:ascii="Times New Roman" w:hAnsi="Times New Roman"/>
          <w:sz w:val="22"/>
        </w:rPr>
        <w:t>Figures like Malchion described Christ as a composite being of Flesh and Logos, akin to all humanity. Pamphilus emphasized Christ’s possession of a human soul. Eusebius controversially suggested the soul vanished during incarnation, with the Logos functioning as a soul.</w:t>
      </w:r>
    </w:p>
    <w:p w:rsidR="00E44201" w:rsidRDefault="00E44201" w:rsidP="00E44201">
      <w:pPr>
        <w:jc w:val="both"/>
      </w:pPr>
    </w:p>
    <w:p w:rsidR="00E44201" w:rsidRPr="00E44201" w:rsidRDefault="00E44201" w:rsidP="00E44201">
      <w:pPr>
        <w:jc w:val="both"/>
        <w:rPr>
          <w:b/>
          <w:bCs/>
        </w:rPr>
      </w:pPr>
      <w:r w:rsidRPr="00E44201">
        <w:rPr>
          <w:rFonts w:ascii="Times New Roman" w:hAnsi="Times New Roman"/>
          <w:b/>
          <w:bCs/>
          <w:sz w:val="22"/>
        </w:rPr>
        <w:t>VII. Man and His Redemption</w:t>
      </w:r>
      <w:r>
        <w:rPr>
          <w:rFonts w:ascii="Times New Roman" w:hAnsi="Times New Roman"/>
          <w:b/>
          <w:bCs/>
          <w:sz w:val="22"/>
        </w:rPr>
        <w:t>.</w:t>
      </w:r>
    </w:p>
    <w:p w:rsidR="00E44201" w:rsidRDefault="00E44201" w:rsidP="00E44201">
      <w:pPr>
        <w:jc w:val="both"/>
      </w:pPr>
      <w:r w:rsidRPr="00E44201">
        <w:rPr>
          <w:rFonts w:ascii="Times New Roman" w:hAnsi="Times New Roman"/>
          <w:b/>
          <w:bCs/>
          <w:sz w:val="22"/>
        </w:rPr>
        <w:t>Sub-Apostolic Age</w:t>
      </w:r>
      <w:r>
        <w:rPr>
          <w:rFonts w:ascii="Times New Roman" w:hAnsi="Times New Roman"/>
          <w:b/>
          <w:bCs/>
          <w:sz w:val="22"/>
        </w:rPr>
        <w:t xml:space="preserve">. </w:t>
      </w:r>
      <w:r>
        <w:rPr>
          <w:rFonts w:ascii="Times New Roman" w:hAnsi="Times New Roman"/>
          <w:sz w:val="22"/>
        </w:rPr>
        <w:t>In this period, there was a primary focus on what Christ imparted, such as knowledge, fresh life, and immortality. Clement highlighted Christ's passion, death, and resurrection as a substitutionary sacrifice, bringing the grace of repentance to the world. Barnabas added the aspect of remission of sins. Generally, there was less focus on sin or atonement.</w:t>
      </w:r>
      <w:r w:rsidR="005C68E8">
        <w:rPr>
          <w:rFonts w:ascii="Times New Roman" w:hAnsi="Times New Roman"/>
          <w:sz w:val="22"/>
        </w:rPr>
        <w:t xml:space="preserve"> </w:t>
      </w:r>
      <w:r w:rsidRPr="005C68E8">
        <w:rPr>
          <w:rFonts w:ascii="Times New Roman" w:hAnsi="Times New Roman"/>
          <w:b/>
          <w:bCs/>
          <w:sz w:val="22"/>
        </w:rPr>
        <w:t>Apologists</w:t>
      </w:r>
      <w:r w:rsidR="005C68E8">
        <w:rPr>
          <w:rFonts w:ascii="Times New Roman" w:hAnsi="Times New Roman"/>
          <w:b/>
          <w:bCs/>
          <w:sz w:val="22"/>
        </w:rPr>
        <w:t xml:space="preserve">. </w:t>
      </w:r>
      <w:r w:rsidR="005C68E8" w:rsidRPr="005C68E8">
        <w:rPr>
          <w:rFonts w:ascii="Times New Roman" w:hAnsi="Times New Roman"/>
          <w:sz w:val="22"/>
        </w:rPr>
        <w:t>The</w:t>
      </w:r>
      <w:r w:rsidR="005C68E8">
        <w:rPr>
          <w:rFonts w:ascii="Times New Roman" w:hAnsi="Times New Roman"/>
          <w:b/>
          <w:bCs/>
          <w:sz w:val="22"/>
        </w:rPr>
        <w:t xml:space="preserve"> </w:t>
      </w:r>
      <w:r>
        <w:rPr>
          <w:rFonts w:ascii="Times New Roman" w:hAnsi="Times New Roman"/>
          <w:sz w:val="22"/>
        </w:rPr>
        <w:t xml:space="preserve">Apologists emphasized free will and viewed sin as an outcome of demons or the serpent. Justin nearly approached the concept of original sin linked to the serpent. Tatian and Theophilus spoke of the </w:t>
      </w:r>
      <w:r w:rsidRPr="005C68E8">
        <w:rPr>
          <w:rFonts w:ascii="Times New Roman" w:hAnsi="Times New Roman"/>
          <w:i/>
          <w:iCs/>
          <w:sz w:val="22"/>
        </w:rPr>
        <w:t>capacity</w:t>
      </w:r>
      <w:r>
        <w:rPr>
          <w:rFonts w:ascii="Times New Roman" w:hAnsi="Times New Roman"/>
          <w:sz w:val="22"/>
        </w:rPr>
        <w:t xml:space="preserve"> for good leading to the fall into sin, yet none attributed Adam's sin to future generations. The </w:t>
      </w:r>
      <w:r w:rsidRPr="005C68E8">
        <w:rPr>
          <w:rFonts w:ascii="Times New Roman" w:hAnsi="Times New Roman"/>
          <w:i/>
          <w:iCs/>
          <w:sz w:val="22"/>
        </w:rPr>
        <w:t>purpose of incarnation</w:t>
      </w:r>
      <w:r>
        <w:rPr>
          <w:rFonts w:ascii="Times New Roman" w:hAnsi="Times New Roman"/>
          <w:sz w:val="22"/>
        </w:rPr>
        <w:t xml:space="preserve"> for Justin was didactic, breaking the devil's powers and purifying believers through suffering.</w:t>
      </w:r>
      <w:r w:rsidR="005C68E8">
        <w:rPr>
          <w:rFonts w:ascii="Times New Roman" w:hAnsi="Times New Roman"/>
          <w:sz w:val="22"/>
        </w:rPr>
        <w:t xml:space="preserve"> </w:t>
      </w:r>
      <w:r w:rsidRPr="005C68E8">
        <w:rPr>
          <w:rFonts w:ascii="Times New Roman" w:hAnsi="Times New Roman"/>
          <w:b/>
          <w:bCs/>
          <w:sz w:val="22"/>
        </w:rPr>
        <w:t>Theory of Recapitulation</w:t>
      </w:r>
      <w:r w:rsidR="005C68E8">
        <w:rPr>
          <w:rFonts w:ascii="Times New Roman" w:hAnsi="Times New Roman"/>
          <w:b/>
          <w:bCs/>
          <w:sz w:val="22"/>
        </w:rPr>
        <w:t xml:space="preserve">. </w:t>
      </w:r>
      <w:r>
        <w:rPr>
          <w:rFonts w:ascii="Times New Roman" w:hAnsi="Times New Roman"/>
          <w:sz w:val="22"/>
        </w:rPr>
        <w:t>Irenaeus introduced the idea that Adam, spiritually and intellectually a child, disobeyed and created a mystical solidarity with his descendants. This was recapitulated in Christ, sanctifying all aspects of humanity and perfecting the image. Irenaeus leaned towards a physical theory of atonement.</w:t>
      </w:r>
      <w:r w:rsidR="005C68E8">
        <w:rPr>
          <w:rFonts w:ascii="Times New Roman" w:hAnsi="Times New Roman"/>
          <w:sz w:val="22"/>
        </w:rPr>
        <w:t xml:space="preserve"> </w:t>
      </w:r>
      <w:r w:rsidRPr="005C68E8">
        <w:rPr>
          <w:rFonts w:ascii="Times New Roman" w:hAnsi="Times New Roman"/>
          <w:b/>
          <w:bCs/>
          <w:sz w:val="22"/>
        </w:rPr>
        <w:t>The West in the Third Century</w:t>
      </w:r>
      <w:r w:rsidR="005C68E8">
        <w:rPr>
          <w:rFonts w:ascii="Times New Roman" w:hAnsi="Times New Roman"/>
          <w:b/>
          <w:bCs/>
          <w:sz w:val="22"/>
        </w:rPr>
        <w:t xml:space="preserve">. </w:t>
      </w:r>
      <w:r>
        <w:rPr>
          <w:rFonts w:ascii="Times New Roman" w:hAnsi="Times New Roman"/>
          <w:sz w:val="22"/>
        </w:rPr>
        <w:t>Tertullian advocated for traducianism and free will, suggesting that human nature became inclined to sin and passed these inclinations to posterity. Baptism was seen as a cleansing of sins, and a balance was struck between the merit of good works and the guilt of bad ones. He also acknowledged Christ's sacrificial death.</w:t>
      </w:r>
      <w:r w:rsidR="005C68E8">
        <w:rPr>
          <w:rFonts w:ascii="Times New Roman" w:hAnsi="Times New Roman"/>
          <w:sz w:val="22"/>
        </w:rPr>
        <w:t xml:space="preserve"> </w:t>
      </w:r>
      <w:r w:rsidRPr="005C68E8">
        <w:rPr>
          <w:rFonts w:ascii="Times New Roman" w:hAnsi="Times New Roman"/>
          <w:b/>
          <w:bCs/>
          <w:sz w:val="22"/>
        </w:rPr>
        <w:t>Doctrine of Man in the East</w:t>
      </w:r>
      <w:r w:rsidR="005C68E8">
        <w:rPr>
          <w:rFonts w:ascii="Times New Roman" w:hAnsi="Times New Roman"/>
          <w:b/>
          <w:bCs/>
          <w:sz w:val="22"/>
        </w:rPr>
        <w:t xml:space="preserve">. </w:t>
      </w:r>
      <w:r>
        <w:rPr>
          <w:rFonts w:ascii="Times New Roman" w:hAnsi="Times New Roman"/>
          <w:sz w:val="22"/>
        </w:rPr>
        <w:t xml:space="preserve">Eastern thought lacked a clear concept of original sin and its connection to Adam's sin, suggesting imitation or physical descent. Origen characterized Genesis as a cosmic myth, proposing that pre-existent souls experienced a </w:t>
      </w:r>
      <w:r w:rsidRPr="005C68E8">
        <w:rPr>
          <w:rFonts w:ascii="Times New Roman" w:hAnsi="Times New Roman"/>
          <w:i/>
          <w:iCs/>
          <w:sz w:val="22"/>
        </w:rPr>
        <w:t>pre-cosmic fall</w:t>
      </w:r>
      <w:r>
        <w:rPr>
          <w:rFonts w:ascii="Times New Roman" w:hAnsi="Times New Roman"/>
          <w:sz w:val="22"/>
        </w:rPr>
        <w:t xml:space="preserve"> due to free will, with varying degrees of sinfulness resulting in humans, devils, or angels.</w:t>
      </w:r>
      <w:r w:rsidR="005C68E8">
        <w:rPr>
          <w:rFonts w:ascii="Times New Roman" w:hAnsi="Times New Roman"/>
          <w:sz w:val="22"/>
        </w:rPr>
        <w:t xml:space="preserve"> </w:t>
      </w:r>
      <w:r w:rsidRPr="005C68E8">
        <w:rPr>
          <w:rFonts w:ascii="Times New Roman" w:hAnsi="Times New Roman"/>
          <w:b/>
          <w:bCs/>
          <w:sz w:val="22"/>
        </w:rPr>
        <w:t>Eastern Views of the Works of Christ</w:t>
      </w:r>
      <w:r w:rsidR="005C68E8">
        <w:rPr>
          <w:rFonts w:ascii="Times New Roman" w:hAnsi="Times New Roman"/>
          <w:b/>
          <w:bCs/>
          <w:sz w:val="22"/>
        </w:rPr>
        <w:t xml:space="preserve">. </w:t>
      </w:r>
      <w:r>
        <w:rPr>
          <w:rFonts w:ascii="Times New Roman" w:hAnsi="Times New Roman"/>
          <w:sz w:val="22"/>
        </w:rPr>
        <w:t>Clement emphasized the defeat of the devil and the role of Christ as a teacher, bestowing knowledge, love, and righteousness, leading to the deification of humans and mysticism. Origen portrayed Jesus as progressively becoming deified, vanquishing the devil, and serving as a ransom that the devil could not hold. He proposed ideas of vicarious substitution and propitiatory sacrifice, emphasizing deification and exemplification.</w:t>
      </w:r>
    </w:p>
    <w:p w:rsidR="00E21478" w:rsidRDefault="00E21478" w:rsidP="00E44201">
      <w:pPr>
        <w:jc w:val="both"/>
      </w:pPr>
    </w:p>
    <w:p w:rsidR="00E21478" w:rsidRPr="00E21478" w:rsidRDefault="00E21478" w:rsidP="00E21478">
      <w:pPr>
        <w:jc w:val="both"/>
        <w:rPr>
          <w:b/>
          <w:bCs/>
        </w:rPr>
      </w:pPr>
      <w:r w:rsidRPr="00E21478">
        <w:rPr>
          <w:rFonts w:ascii="Times New Roman" w:hAnsi="Times New Roman"/>
          <w:b/>
          <w:bCs/>
          <w:sz w:val="22"/>
        </w:rPr>
        <w:t>VIII. The Christian Community</w:t>
      </w:r>
      <w:r>
        <w:rPr>
          <w:rFonts w:ascii="Times New Roman" w:hAnsi="Times New Roman"/>
          <w:b/>
          <w:bCs/>
          <w:sz w:val="22"/>
        </w:rPr>
        <w:t>.</w:t>
      </w:r>
    </w:p>
    <w:p w:rsidR="00E21478" w:rsidRDefault="00E21478" w:rsidP="00E21478">
      <w:pPr>
        <w:jc w:val="both"/>
      </w:pPr>
      <w:r w:rsidRPr="00E21478">
        <w:rPr>
          <w:rFonts w:ascii="Times New Roman" w:hAnsi="Times New Roman"/>
          <w:b/>
          <w:bCs/>
          <w:sz w:val="22"/>
        </w:rPr>
        <w:t>Beginnings of Ecclesiology</w:t>
      </w:r>
      <w:r>
        <w:rPr>
          <w:rFonts w:ascii="Times New Roman" w:hAnsi="Times New Roman"/>
          <w:b/>
          <w:bCs/>
          <w:sz w:val="22"/>
        </w:rPr>
        <w:t xml:space="preserve">. </w:t>
      </w:r>
      <w:r>
        <w:rPr>
          <w:rFonts w:ascii="Times New Roman" w:hAnsi="Times New Roman"/>
          <w:sz w:val="22"/>
        </w:rPr>
        <w:t>Early ecclesiology highlighted the Church as universal, one, and spiritual, with some considering it pre-existent.</w:t>
      </w:r>
      <w:r>
        <w:rPr>
          <w:rFonts w:ascii="Times New Roman" w:hAnsi="Times New Roman"/>
          <w:sz w:val="22"/>
        </w:rPr>
        <w:t xml:space="preserve"> </w:t>
      </w:r>
      <w:r w:rsidRPr="00E21478">
        <w:rPr>
          <w:rFonts w:ascii="Times New Roman" w:hAnsi="Times New Roman"/>
          <w:b/>
          <w:bCs/>
          <w:sz w:val="22"/>
        </w:rPr>
        <w:t>Early Views of the Sacraments</w:t>
      </w:r>
      <w:r>
        <w:rPr>
          <w:rFonts w:ascii="Times New Roman" w:hAnsi="Times New Roman"/>
          <w:b/>
          <w:bCs/>
          <w:sz w:val="22"/>
        </w:rPr>
        <w:t xml:space="preserve">. </w:t>
      </w:r>
      <w:r>
        <w:rPr>
          <w:rFonts w:ascii="Times New Roman" w:hAnsi="Times New Roman"/>
          <w:sz w:val="22"/>
        </w:rPr>
        <w:t>The term "mysterion" (Greek) was used for sacraments. Baptism was foundational, leading to the Eucharist viewed as a sacrifice, possibly prophesied by Malachi. Figures like Ignatius, Justin, and Irenaeus later emphasized a realist perspective. Penance for post-baptismal sins varied without consensus.</w:t>
      </w:r>
      <w:r>
        <w:rPr>
          <w:rFonts w:ascii="Times New Roman" w:hAnsi="Times New Roman"/>
          <w:sz w:val="22"/>
        </w:rPr>
        <w:t xml:space="preserve"> </w:t>
      </w:r>
      <w:r w:rsidRPr="00E21478">
        <w:rPr>
          <w:rFonts w:ascii="Times New Roman" w:hAnsi="Times New Roman"/>
          <w:b/>
          <w:bCs/>
          <w:sz w:val="22"/>
        </w:rPr>
        <w:t>Development in the Doctrine of the Church</w:t>
      </w:r>
      <w:r>
        <w:rPr>
          <w:rFonts w:ascii="Times New Roman" w:hAnsi="Times New Roman"/>
          <w:b/>
          <w:bCs/>
          <w:sz w:val="22"/>
        </w:rPr>
        <w:t xml:space="preserve">. </w:t>
      </w:r>
      <w:r>
        <w:rPr>
          <w:rFonts w:ascii="Times New Roman" w:hAnsi="Times New Roman"/>
          <w:sz w:val="22"/>
        </w:rPr>
        <w:t>Tertullian and Irenaeus described the Church as a body characterized by piety, discipline, and hope, serving as the home of the Spirit. Rigorists believed authority belonged to those possessing the Spirit, not just clergy. In Alexandria, thinkers like Clement saw the Church as visible and invisible, influenced by Platonic ideas, whereas Origen differentiated between the empirical and ideal Church, envisioning universalism across creation.</w:t>
      </w:r>
      <w:r>
        <w:rPr>
          <w:rFonts w:ascii="Times New Roman" w:hAnsi="Times New Roman"/>
          <w:sz w:val="22"/>
        </w:rPr>
        <w:t xml:space="preserve"> </w:t>
      </w:r>
      <w:r>
        <w:rPr>
          <w:rFonts w:ascii="Times New Roman" w:hAnsi="Times New Roman"/>
          <w:sz w:val="22"/>
        </w:rPr>
        <w:t xml:space="preserve">Cyprian emphasized the Church as a spiritual, legalistic, and practical entity, asserting its unity. He likened bishops to apostles, with dioceses as microcosms of the Church, foreshadowing the primacy of Peter and Rome. Membership required bishop submission, aligned with the idea of </w:t>
      </w:r>
      <w:r>
        <w:rPr>
          <w:rFonts w:ascii="Times New Roman" w:hAnsi="Times New Roman"/>
          <w:sz w:val="22"/>
        </w:rPr>
        <w:t>“</w:t>
      </w:r>
      <w:r w:rsidRPr="00E21478">
        <w:rPr>
          <w:rFonts w:ascii="Times New Roman" w:hAnsi="Times New Roman"/>
          <w:i/>
          <w:iCs/>
          <w:sz w:val="22"/>
        </w:rPr>
        <w:t xml:space="preserve">salus extra </w:t>
      </w:r>
      <w:r w:rsidRPr="00E21478">
        <w:rPr>
          <w:rFonts w:ascii="Times New Roman" w:hAnsi="Times New Roman"/>
          <w:i/>
          <w:iCs/>
          <w:sz w:val="22"/>
        </w:rPr>
        <w:lastRenderedPageBreak/>
        <w:t>ecclesiam non est</w:t>
      </w:r>
      <w:r>
        <w:rPr>
          <w:rFonts w:ascii="Times New Roman" w:hAnsi="Times New Roman"/>
          <w:i/>
          <w:iCs/>
          <w:sz w:val="22"/>
        </w:rPr>
        <w:t>.</w:t>
      </w:r>
      <w:r>
        <w:rPr>
          <w:rFonts w:ascii="Times New Roman" w:hAnsi="Times New Roman"/>
          <w:sz w:val="22"/>
        </w:rPr>
        <w:t xml:space="preserve">” </w:t>
      </w:r>
      <w:r w:rsidRPr="00E21478">
        <w:rPr>
          <w:rFonts w:ascii="Times New Roman" w:hAnsi="Times New Roman"/>
          <w:b/>
          <w:bCs/>
          <w:sz w:val="22"/>
        </w:rPr>
        <w:t>Baptism in the Third Century</w:t>
      </w:r>
      <w:r>
        <w:rPr>
          <w:rFonts w:ascii="Times New Roman" w:hAnsi="Times New Roman"/>
          <w:b/>
          <w:bCs/>
          <w:sz w:val="22"/>
        </w:rPr>
        <w:t xml:space="preserve">. </w:t>
      </w:r>
      <w:r>
        <w:rPr>
          <w:rFonts w:ascii="Times New Roman" w:hAnsi="Times New Roman"/>
          <w:sz w:val="22"/>
        </w:rPr>
        <w:t>In the East, Clement emphasized baptism as regeneration, enlightenment, sonship, and remission of sins, while Origen highlighted its inward and spiritual significance. In the West, Hippolytus focused on remission of sins and receiving the Spirit, and Tertullian deemed it necessary for salvation. Cyprian viewed the Spirit as an active force in regeneration.</w:t>
      </w:r>
      <w:r>
        <w:rPr>
          <w:rFonts w:ascii="Times New Roman" w:hAnsi="Times New Roman"/>
          <w:sz w:val="22"/>
        </w:rPr>
        <w:t xml:space="preserve"> </w:t>
      </w:r>
      <w:r w:rsidRPr="00E21478">
        <w:rPr>
          <w:rFonts w:ascii="Times New Roman" w:hAnsi="Times New Roman"/>
          <w:b/>
          <w:bCs/>
          <w:sz w:val="22"/>
        </w:rPr>
        <w:t>Progress in Eucharistic Doctrine</w:t>
      </w:r>
      <w:r>
        <w:rPr>
          <w:rFonts w:ascii="Times New Roman" w:hAnsi="Times New Roman"/>
          <w:b/>
          <w:bCs/>
          <w:sz w:val="22"/>
        </w:rPr>
        <w:t xml:space="preserve">. </w:t>
      </w:r>
      <w:r>
        <w:rPr>
          <w:rFonts w:ascii="Times New Roman" w:hAnsi="Times New Roman"/>
          <w:sz w:val="22"/>
        </w:rPr>
        <w:t>Belief in the real presence prevailed. In the West, interpretations were sometimes sacramental or symbolic, while Alexandrian thought embraced a Platonizing real presence. Cyprian further developed the understanding of Eucharistic sacrifice as encompassing prayer, worship, and thanksgiving.</w:t>
      </w:r>
      <w:r>
        <w:rPr>
          <w:rFonts w:ascii="Times New Roman" w:hAnsi="Times New Roman"/>
          <w:sz w:val="22"/>
        </w:rPr>
        <w:t xml:space="preserve"> </w:t>
      </w:r>
      <w:r w:rsidRPr="00E21478">
        <w:rPr>
          <w:rFonts w:ascii="Times New Roman" w:hAnsi="Times New Roman"/>
          <w:b/>
          <w:bCs/>
          <w:sz w:val="22"/>
        </w:rPr>
        <w:t>Penitential Discipline</w:t>
      </w:r>
      <w:r>
        <w:rPr>
          <w:rFonts w:ascii="Times New Roman" w:hAnsi="Times New Roman"/>
          <w:b/>
          <w:bCs/>
          <w:sz w:val="22"/>
        </w:rPr>
        <w:t xml:space="preserve">. </w:t>
      </w:r>
      <w:r>
        <w:rPr>
          <w:rFonts w:ascii="Times New Roman" w:hAnsi="Times New Roman"/>
          <w:sz w:val="22"/>
        </w:rPr>
        <w:t>Penance was a public practice involving confession, a period of penance and exclusion, and concluded with formal absolution and restoration.</w:t>
      </w:r>
    </w:p>
    <w:p w:rsidR="00E21478" w:rsidRDefault="00E21478" w:rsidP="00E21478">
      <w:pPr>
        <w:jc w:val="both"/>
      </w:pPr>
    </w:p>
    <w:p w:rsidR="00E21478" w:rsidRPr="00E21478" w:rsidRDefault="00E21478" w:rsidP="00E21478">
      <w:pPr>
        <w:jc w:val="both"/>
        <w:rPr>
          <w:b/>
          <w:bCs/>
        </w:rPr>
      </w:pPr>
      <w:r w:rsidRPr="00E21478">
        <w:rPr>
          <w:rFonts w:ascii="Times New Roman" w:hAnsi="Times New Roman"/>
          <w:b/>
          <w:bCs/>
          <w:sz w:val="22"/>
        </w:rPr>
        <w:t>X. The Doctrine of the Trinity</w:t>
      </w:r>
      <w:r>
        <w:rPr>
          <w:rFonts w:ascii="Times New Roman" w:hAnsi="Times New Roman"/>
          <w:b/>
          <w:bCs/>
          <w:sz w:val="22"/>
        </w:rPr>
        <w:t>.</w:t>
      </w:r>
    </w:p>
    <w:p w:rsidR="00E21478" w:rsidRDefault="00E21478" w:rsidP="00E21478">
      <w:pPr>
        <w:jc w:val="both"/>
      </w:pPr>
      <w:r w:rsidRPr="00E21478">
        <w:rPr>
          <w:rFonts w:ascii="Times New Roman" w:hAnsi="Times New Roman"/>
          <w:b/>
          <w:bCs/>
          <w:sz w:val="22"/>
        </w:rPr>
        <w:t>Return to the Homoousion</w:t>
      </w:r>
      <w:r>
        <w:rPr>
          <w:rFonts w:ascii="Times New Roman" w:hAnsi="Times New Roman"/>
          <w:b/>
          <w:bCs/>
          <w:sz w:val="22"/>
        </w:rPr>
        <w:t xml:space="preserve">. </w:t>
      </w:r>
      <w:r>
        <w:rPr>
          <w:rFonts w:ascii="Times New Roman" w:hAnsi="Times New Roman"/>
          <w:sz w:val="22"/>
        </w:rPr>
        <w:t xml:space="preserve">Key theologians like Basil the Great, Gregory of Nazianzus, Gregory of Nyssa, and Augustine of Hippo advanced Trinitarian thought. The transition from </w:t>
      </w:r>
      <w:r w:rsidRPr="00E21478">
        <w:rPr>
          <w:rFonts w:ascii="Times New Roman" w:hAnsi="Times New Roman"/>
          <w:i/>
          <w:iCs/>
          <w:sz w:val="22"/>
        </w:rPr>
        <w:t>homoiousion</w:t>
      </w:r>
      <w:r>
        <w:rPr>
          <w:rFonts w:ascii="Times New Roman" w:hAnsi="Times New Roman"/>
          <w:sz w:val="22"/>
        </w:rPr>
        <w:t xml:space="preserve"> to </w:t>
      </w:r>
      <w:r w:rsidRPr="00E21478">
        <w:rPr>
          <w:rFonts w:ascii="Times New Roman" w:hAnsi="Times New Roman"/>
          <w:i/>
          <w:iCs/>
          <w:sz w:val="22"/>
        </w:rPr>
        <w:t>homoousion</w:t>
      </w:r>
      <w:r>
        <w:rPr>
          <w:rFonts w:ascii="Times New Roman" w:hAnsi="Times New Roman"/>
          <w:sz w:val="22"/>
        </w:rPr>
        <w:t xml:space="preserve"> was notably driven by Athanasius and Hilary of Poitiers. Hilary noted that the </w:t>
      </w:r>
      <w:r w:rsidRPr="00E21478">
        <w:rPr>
          <w:rFonts w:ascii="Times New Roman" w:hAnsi="Times New Roman"/>
          <w:i/>
          <w:iCs/>
          <w:sz w:val="22"/>
        </w:rPr>
        <w:t>Homoiousions</w:t>
      </w:r>
      <w:r>
        <w:rPr>
          <w:rFonts w:ascii="Times New Roman" w:hAnsi="Times New Roman"/>
          <w:sz w:val="22"/>
        </w:rPr>
        <w:t xml:space="preserve"> recognized the Son as originating from the Father's </w:t>
      </w:r>
      <w:r w:rsidRPr="00E21478">
        <w:rPr>
          <w:rFonts w:ascii="Times New Roman" w:hAnsi="Times New Roman"/>
          <w:i/>
          <w:iCs/>
          <w:sz w:val="22"/>
        </w:rPr>
        <w:t>ousia</w:t>
      </w:r>
      <w:r>
        <w:rPr>
          <w:rFonts w:ascii="Times New Roman" w:hAnsi="Times New Roman"/>
          <w:sz w:val="22"/>
        </w:rPr>
        <w:t xml:space="preserve">, not another </w:t>
      </w:r>
      <w:r w:rsidRPr="00E21478">
        <w:rPr>
          <w:rFonts w:ascii="Times New Roman" w:hAnsi="Times New Roman"/>
          <w:i/>
          <w:iCs/>
          <w:sz w:val="22"/>
        </w:rPr>
        <w:t>hypostasis</w:t>
      </w:r>
      <w:r>
        <w:rPr>
          <w:rFonts w:ascii="Times New Roman" w:hAnsi="Times New Roman"/>
          <w:sz w:val="22"/>
        </w:rPr>
        <w:t xml:space="preserve">, aligning them closely with </w:t>
      </w:r>
      <w:r w:rsidRPr="00E21478">
        <w:rPr>
          <w:rFonts w:ascii="Times New Roman" w:hAnsi="Times New Roman"/>
          <w:i/>
          <w:iCs/>
          <w:sz w:val="22"/>
        </w:rPr>
        <w:t>homoousion</w:t>
      </w:r>
      <w:r>
        <w:rPr>
          <w:rFonts w:ascii="Times New Roman" w:hAnsi="Times New Roman"/>
          <w:sz w:val="22"/>
        </w:rPr>
        <w:t xml:space="preserve">. Athanasius clarified the concept of "three hypostases," emphasizing one </w:t>
      </w:r>
      <w:r w:rsidRPr="00E21478">
        <w:rPr>
          <w:rFonts w:ascii="Times New Roman" w:hAnsi="Times New Roman"/>
          <w:i/>
          <w:iCs/>
          <w:sz w:val="22"/>
        </w:rPr>
        <w:t>ousia</w:t>
      </w:r>
      <w:r>
        <w:rPr>
          <w:rFonts w:ascii="Times New Roman" w:hAnsi="Times New Roman"/>
          <w:sz w:val="22"/>
        </w:rPr>
        <w:t xml:space="preserve"> to prevent Sabellian misinterpretations, and focused on generic unity rather than numerical identity of substance.</w:t>
      </w:r>
      <w:r w:rsidR="00E6016B">
        <w:rPr>
          <w:rFonts w:ascii="Times New Roman" w:hAnsi="Times New Roman"/>
          <w:sz w:val="22"/>
        </w:rPr>
        <w:t xml:space="preserve"> </w:t>
      </w:r>
      <w:r w:rsidRPr="00E6016B">
        <w:rPr>
          <w:rFonts w:ascii="Times New Roman" w:hAnsi="Times New Roman"/>
          <w:b/>
          <w:bCs/>
          <w:sz w:val="22"/>
        </w:rPr>
        <w:t>Homoousion of the Spirit: Athanasius</w:t>
      </w:r>
      <w:r w:rsidR="00E6016B">
        <w:rPr>
          <w:rFonts w:ascii="Times New Roman" w:hAnsi="Times New Roman"/>
          <w:b/>
          <w:bCs/>
          <w:sz w:val="22"/>
        </w:rPr>
        <w:t xml:space="preserve">. </w:t>
      </w:r>
      <w:r>
        <w:rPr>
          <w:rFonts w:ascii="Times New Roman" w:hAnsi="Times New Roman"/>
          <w:sz w:val="22"/>
        </w:rPr>
        <w:t>While Arius viewed the Spirit as having an essence utterly unlike the Son and Father, Athanasius asserted the Spirit's full divinity and consubstantiality with the Father and Son. He emphasized that if the Spirit makes humanity divine, its nature must be divine. Thus, one essence and one energy united the three distinct persons.</w:t>
      </w:r>
      <w:r w:rsidR="00E6016B">
        <w:rPr>
          <w:rFonts w:ascii="Times New Roman" w:hAnsi="Times New Roman"/>
          <w:sz w:val="22"/>
        </w:rPr>
        <w:t xml:space="preserve"> </w:t>
      </w:r>
      <w:r w:rsidR="00E6016B" w:rsidRPr="00E6016B">
        <w:rPr>
          <w:rFonts w:ascii="Times New Roman" w:hAnsi="Times New Roman"/>
          <w:b/>
          <w:bCs/>
          <w:sz w:val="22"/>
        </w:rPr>
        <w:t>H</w:t>
      </w:r>
      <w:r w:rsidRPr="00E6016B">
        <w:rPr>
          <w:rFonts w:ascii="Times New Roman" w:hAnsi="Times New Roman"/>
          <w:b/>
          <w:bCs/>
          <w:sz w:val="22"/>
        </w:rPr>
        <w:t>omoousion of the Spirit: The Cappadocians</w:t>
      </w:r>
      <w:r w:rsidR="00E6016B">
        <w:rPr>
          <w:rFonts w:ascii="Times New Roman" w:hAnsi="Times New Roman"/>
          <w:b/>
          <w:bCs/>
          <w:sz w:val="22"/>
        </w:rPr>
        <w:t xml:space="preserve">. </w:t>
      </w:r>
      <w:r>
        <w:rPr>
          <w:rFonts w:ascii="Times New Roman" w:hAnsi="Times New Roman"/>
          <w:sz w:val="22"/>
        </w:rPr>
        <w:t xml:space="preserve">The Cappadocians finalized Athanasius's work by fostering interest in the Holy Spirit. They addressed two main groups: </w:t>
      </w:r>
      <w:r w:rsidRPr="00E6016B">
        <w:rPr>
          <w:rFonts w:ascii="Times New Roman" w:hAnsi="Times New Roman"/>
          <w:i/>
          <w:iCs/>
          <w:sz w:val="22"/>
        </w:rPr>
        <w:t>Pneumatomachians</w:t>
      </w:r>
      <w:r>
        <w:rPr>
          <w:rFonts w:ascii="Times New Roman" w:hAnsi="Times New Roman"/>
          <w:sz w:val="22"/>
        </w:rPr>
        <w:t xml:space="preserve"> and those aligned with Athanasius. Basil described the Spirit as inseparable from the Father and Son, avoiding the term "God." Gregory of Nyssa spoke of one nature, three persons, while Gregory of Nazianzus declared the Spirit as God and consubstantial, coming from the Father through the Son.</w:t>
      </w:r>
      <w:r w:rsidR="00E6016B">
        <w:rPr>
          <w:rFonts w:ascii="Times New Roman" w:hAnsi="Times New Roman"/>
          <w:sz w:val="22"/>
        </w:rPr>
        <w:t xml:space="preserve"> </w:t>
      </w:r>
      <w:r w:rsidRPr="00E6016B">
        <w:rPr>
          <w:rFonts w:ascii="Times New Roman" w:hAnsi="Times New Roman"/>
          <w:b/>
          <w:bCs/>
          <w:sz w:val="22"/>
        </w:rPr>
        <w:t>The Cappadocians and the Trinity</w:t>
      </w:r>
      <w:r w:rsidR="00E6016B">
        <w:rPr>
          <w:rFonts w:ascii="Times New Roman" w:hAnsi="Times New Roman"/>
          <w:b/>
          <w:bCs/>
          <w:sz w:val="22"/>
        </w:rPr>
        <w:t xml:space="preserve">. </w:t>
      </w:r>
      <w:r>
        <w:rPr>
          <w:rFonts w:ascii="Times New Roman" w:hAnsi="Times New Roman"/>
          <w:sz w:val="22"/>
        </w:rPr>
        <w:t xml:space="preserve">At Constantinople in 381, the consubstantiality of the Spirit with the Son was affirmed, beginning from three hypostases. The Father was viewed as the source, though subordinationism was rejected. </w:t>
      </w:r>
      <w:r w:rsidRPr="00E6016B">
        <w:rPr>
          <w:rFonts w:ascii="Times New Roman" w:hAnsi="Times New Roman"/>
          <w:i/>
          <w:iCs/>
          <w:sz w:val="22"/>
        </w:rPr>
        <w:t>Nyssa</w:t>
      </w:r>
      <w:r>
        <w:rPr>
          <w:rFonts w:ascii="Times New Roman" w:hAnsi="Times New Roman"/>
          <w:sz w:val="22"/>
        </w:rPr>
        <w:t xml:space="preserve"> explained that the Son is begotten and the Spirit proceeds from the Father. </w:t>
      </w:r>
      <w:r w:rsidRPr="00E6016B">
        <w:rPr>
          <w:rFonts w:ascii="Times New Roman" w:hAnsi="Times New Roman"/>
          <w:i/>
          <w:iCs/>
          <w:sz w:val="22"/>
        </w:rPr>
        <w:t>Basil</w:t>
      </w:r>
      <w:r>
        <w:rPr>
          <w:rFonts w:ascii="Times New Roman" w:hAnsi="Times New Roman"/>
          <w:sz w:val="22"/>
        </w:rPr>
        <w:t xml:space="preserve"> described roles as paternity, sonship, and sanctification, while others tied these to generational missions. </w:t>
      </w:r>
      <w:r w:rsidRPr="00E6016B">
        <w:rPr>
          <w:rFonts w:ascii="Times New Roman" w:hAnsi="Times New Roman"/>
          <w:i/>
          <w:iCs/>
          <w:sz w:val="22"/>
        </w:rPr>
        <w:t>Nazianzus</w:t>
      </w:r>
      <w:r>
        <w:rPr>
          <w:rFonts w:ascii="Times New Roman" w:hAnsi="Times New Roman"/>
          <w:sz w:val="22"/>
        </w:rPr>
        <w:t xml:space="preserve"> admitted uncertainty regarding how procession differs from generation, emphasizing that the </w:t>
      </w:r>
      <w:r w:rsidRPr="00E6016B">
        <w:rPr>
          <w:rFonts w:ascii="Times New Roman" w:hAnsi="Times New Roman"/>
          <w:i/>
          <w:iCs/>
          <w:sz w:val="22"/>
        </w:rPr>
        <w:t>ousia</w:t>
      </w:r>
      <w:r>
        <w:rPr>
          <w:rFonts w:ascii="Times New Roman" w:hAnsi="Times New Roman"/>
          <w:sz w:val="22"/>
        </w:rPr>
        <w:t xml:space="preserve"> of the Godhead is a concrete, not abstract reality.</w:t>
      </w:r>
      <w:r w:rsidR="00E6016B">
        <w:rPr>
          <w:rFonts w:ascii="Times New Roman" w:hAnsi="Times New Roman"/>
          <w:sz w:val="22"/>
        </w:rPr>
        <w:t xml:space="preserve"> </w:t>
      </w:r>
      <w:r w:rsidRPr="00E6016B">
        <w:rPr>
          <w:rFonts w:ascii="Times New Roman" w:hAnsi="Times New Roman"/>
          <w:b/>
          <w:bCs/>
          <w:sz w:val="22"/>
        </w:rPr>
        <w:t>The Trinity in the West</w:t>
      </w:r>
      <w:r w:rsidR="00E6016B">
        <w:rPr>
          <w:rFonts w:ascii="Times New Roman" w:hAnsi="Times New Roman"/>
          <w:b/>
          <w:bCs/>
          <w:sz w:val="22"/>
        </w:rPr>
        <w:t xml:space="preserve">. </w:t>
      </w:r>
      <w:r>
        <w:rPr>
          <w:rFonts w:ascii="Times New Roman" w:hAnsi="Times New Roman"/>
          <w:sz w:val="22"/>
        </w:rPr>
        <w:t xml:space="preserve">Figures like Ambrose and Tertullian emphasized one God with one will but three persons. Victorinus described </w:t>
      </w:r>
      <w:r w:rsidRPr="00E6016B">
        <w:rPr>
          <w:rFonts w:ascii="Times New Roman" w:hAnsi="Times New Roman"/>
          <w:i/>
          <w:iCs/>
          <w:sz w:val="22"/>
        </w:rPr>
        <w:t>circuminsession</w:t>
      </w:r>
      <w:r>
        <w:rPr>
          <w:rFonts w:ascii="Times New Roman" w:hAnsi="Times New Roman"/>
          <w:sz w:val="22"/>
        </w:rPr>
        <w:t xml:space="preserve"> as mutual indwelling, where the Father, Son, and Spirit play distinct roles in unity.</w:t>
      </w:r>
      <w:r w:rsidR="00E6016B">
        <w:rPr>
          <w:rFonts w:ascii="Times New Roman" w:hAnsi="Times New Roman"/>
          <w:sz w:val="22"/>
        </w:rPr>
        <w:t xml:space="preserve"> </w:t>
      </w:r>
      <w:r w:rsidRPr="00E6016B">
        <w:rPr>
          <w:rFonts w:ascii="Times New Roman" w:hAnsi="Times New Roman"/>
          <w:b/>
          <w:bCs/>
          <w:sz w:val="22"/>
        </w:rPr>
        <w:t>Contribution of Augustine</w:t>
      </w:r>
      <w:r w:rsidR="00E6016B">
        <w:rPr>
          <w:rFonts w:ascii="Times New Roman" w:hAnsi="Times New Roman"/>
          <w:b/>
          <w:bCs/>
          <w:sz w:val="22"/>
        </w:rPr>
        <w:t xml:space="preserve">. </w:t>
      </w:r>
      <w:r>
        <w:rPr>
          <w:rFonts w:ascii="Times New Roman" w:hAnsi="Times New Roman"/>
          <w:sz w:val="22"/>
        </w:rPr>
        <w:t xml:space="preserve">Augustine's understanding of the Trinity highlighted its </w:t>
      </w:r>
      <w:r w:rsidRPr="00E6016B">
        <w:rPr>
          <w:rFonts w:ascii="Times New Roman" w:hAnsi="Times New Roman"/>
          <w:i/>
          <w:iCs/>
          <w:sz w:val="22"/>
        </w:rPr>
        <w:t>co-essentially and numerical unity in substance</w:t>
      </w:r>
      <w:r>
        <w:rPr>
          <w:rFonts w:ascii="Times New Roman" w:hAnsi="Times New Roman"/>
          <w:sz w:val="22"/>
        </w:rPr>
        <w:t xml:space="preserve">. He avoided </w:t>
      </w:r>
      <w:r w:rsidRPr="00E6016B">
        <w:rPr>
          <w:rFonts w:ascii="Times New Roman" w:hAnsi="Times New Roman"/>
          <w:sz w:val="22"/>
        </w:rPr>
        <w:t>subordinationism</w:t>
      </w:r>
      <w:r>
        <w:rPr>
          <w:rFonts w:ascii="Times New Roman" w:hAnsi="Times New Roman"/>
          <w:sz w:val="22"/>
        </w:rPr>
        <w:t>, focusing on the Divine nature. Each person shares identical substance and inseparable operations (one will), with eternal operations attributed collectively. Persons are defined by relationships, and the Spirit as mutual love proceeds from both Father and Son. Augustine used analogies—object, sight, intention; memory, understanding, will—to capture Trinitarian vestiges, though these have limitations and do not fully capture the essence of the Trinity's unified operation and three distinct persons.</w:t>
      </w:r>
    </w:p>
    <w:p w:rsidR="00E6016B" w:rsidRDefault="00E6016B" w:rsidP="00E21478">
      <w:pPr>
        <w:jc w:val="both"/>
      </w:pPr>
    </w:p>
    <w:p w:rsidR="00E6016B" w:rsidRPr="00E6016B" w:rsidRDefault="00E6016B" w:rsidP="00E6016B">
      <w:pPr>
        <w:jc w:val="both"/>
        <w:rPr>
          <w:b/>
          <w:bCs/>
        </w:rPr>
      </w:pPr>
      <w:r w:rsidRPr="00E6016B">
        <w:rPr>
          <w:rFonts w:ascii="Times New Roman" w:hAnsi="Times New Roman"/>
          <w:b/>
          <w:bCs/>
          <w:sz w:val="22"/>
        </w:rPr>
        <w:t>XI. Fourth-Century Christology</w:t>
      </w:r>
      <w:r>
        <w:rPr>
          <w:rFonts w:ascii="Times New Roman" w:hAnsi="Times New Roman"/>
          <w:b/>
          <w:bCs/>
          <w:sz w:val="22"/>
        </w:rPr>
        <w:t>.</w:t>
      </w:r>
    </w:p>
    <w:p w:rsidR="00E6016B" w:rsidRDefault="00E6016B" w:rsidP="00E6016B">
      <w:pPr>
        <w:jc w:val="both"/>
      </w:pPr>
      <w:r w:rsidRPr="00E6016B">
        <w:rPr>
          <w:rFonts w:ascii="Times New Roman" w:hAnsi="Times New Roman"/>
          <w:b/>
          <w:bCs/>
          <w:sz w:val="22"/>
        </w:rPr>
        <w:t>Arians and Eustathius</w:t>
      </w:r>
      <w:r>
        <w:rPr>
          <w:rFonts w:ascii="Times New Roman" w:hAnsi="Times New Roman"/>
          <w:b/>
          <w:bCs/>
          <w:sz w:val="22"/>
        </w:rPr>
        <w:t xml:space="preserve">. </w:t>
      </w:r>
      <w:r>
        <w:rPr>
          <w:rFonts w:ascii="Times New Roman" w:hAnsi="Times New Roman"/>
          <w:sz w:val="22"/>
        </w:rPr>
        <w:t xml:space="preserve">Arians proposed that the Logos replaced the human soul, focusing on a God-flesh theology. Eustathius emphasized the deification of the human body and initially accepted the </w:t>
      </w:r>
      <w:r w:rsidRPr="00E6016B">
        <w:rPr>
          <w:rFonts w:ascii="Times New Roman" w:hAnsi="Times New Roman"/>
          <w:i/>
          <w:iCs/>
          <w:sz w:val="22"/>
        </w:rPr>
        <w:t>communicatio idiomatum</w:t>
      </w:r>
      <w:r>
        <w:rPr>
          <w:rFonts w:ascii="Times New Roman" w:hAnsi="Times New Roman"/>
          <w:sz w:val="22"/>
        </w:rPr>
        <w:t>, but later denied that the Word died on the cross or that God was led to slaughter. His God-man theology maintained a duality of natures, viewing God’s indwelling in humanity as continuous, unlike the transient inspiration of prophets.</w:t>
      </w:r>
      <w:r>
        <w:rPr>
          <w:rFonts w:ascii="Times New Roman" w:hAnsi="Times New Roman"/>
          <w:sz w:val="22"/>
        </w:rPr>
        <w:t xml:space="preserve"> </w:t>
      </w:r>
      <w:r w:rsidRPr="00E6016B">
        <w:rPr>
          <w:rFonts w:ascii="Times New Roman" w:hAnsi="Times New Roman"/>
          <w:b/>
          <w:bCs/>
          <w:sz w:val="22"/>
        </w:rPr>
        <w:t>Christology of Athanasius</w:t>
      </w:r>
      <w:r>
        <w:rPr>
          <w:rFonts w:ascii="Times New Roman" w:hAnsi="Times New Roman"/>
          <w:b/>
          <w:bCs/>
          <w:sz w:val="22"/>
        </w:rPr>
        <w:t xml:space="preserve">. </w:t>
      </w:r>
      <w:r>
        <w:rPr>
          <w:rFonts w:ascii="Times New Roman" w:hAnsi="Times New Roman"/>
          <w:sz w:val="22"/>
        </w:rPr>
        <w:t>Athanasius taught that the Logos became man for redemption, serving as the governing principle. He outlined two sets of actions for Christ: as God and as God-made-man, yet unified in one person. While acknowledging a human soul, there's ambiguity, as at times the soul is equated with the Logos, suggesting a Word-flesh scheme.</w:t>
      </w:r>
      <w:r>
        <w:rPr>
          <w:rFonts w:ascii="Times New Roman" w:hAnsi="Times New Roman"/>
          <w:sz w:val="22"/>
        </w:rPr>
        <w:t xml:space="preserve"> </w:t>
      </w:r>
      <w:r w:rsidRPr="00E6016B">
        <w:rPr>
          <w:rFonts w:ascii="Times New Roman" w:hAnsi="Times New Roman"/>
          <w:b/>
          <w:bCs/>
          <w:sz w:val="22"/>
        </w:rPr>
        <w:t>Apollinarianism</w:t>
      </w:r>
      <w:r>
        <w:rPr>
          <w:rFonts w:ascii="Times New Roman" w:hAnsi="Times New Roman"/>
          <w:b/>
          <w:bCs/>
          <w:sz w:val="22"/>
        </w:rPr>
        <w:t xml:space="preserve">. </w:t>
      </w:r>
      <w:r>
        <w:rPr>
          <w:rFonts w:ascii="Times New Roman" w:hAnsi="Times New Roman"/>
          <w:sz w:val="22"/>
        </w:rPr>
        <w:t xml:space="preserve">Apollinarianism rejected the human mind, focusing deeply on unity. It defined Christ as God incarnate, </w:t>
      </w:r>
      <w:r>
        <w:rPr>
          <w:rFonts w:ascii="Times New Roman" w:hAnsi="Times New Roman"/>
          <w:sz w:val="22"/>
        </w:rPr>
        <w:lastRenderedPageBreak/>
        <w:t>consubstantial, and of one nature, with a divine spirit replacing human psychology. This view entailed several corollaries:</w:t>
      </w:r>
    </w:p>
    <w:p w:rsidR="00E6016B" w:rsidRDefault="00E6016B" w:rsidP="00E6016B">
      <w:pPr>
        <w:pStyle w:val="ListParagraph"/>
        <w:numPr>
          <w:ilvl w:val="0"/>
          <w:numId w:val="2"/>
        </w:numPr>
        <w:jc w:val="both"/>
      </w:pPr>
      <w:r>
        <w:rPr>
          <w:rFonts w:ascii="Times New Roman" w:hAnsi="Times New Roman"/>
          <w:sz w:val="22"/>
        </w:rPr>
        <w:t>Christ's flesh is glorified.</w:t>
      </w:r>
    </w:p>
    <w:p w:rsidR="00E6016B" w:rsidRDefault="00E6016B" w:rsidP="00E6016B">
      <w:pPr>
        <w:pStyle w:val="ListParagraph"/>
        <w:numPr>
          <w:ilvl w:val="0"/>
          <w:numId w:val="2"/>
        </w:numPr>
        <w:jc w:val="both"/>
      </w:pPr>
      <w:r>
        <w:rPr>
          <w:rFonts w:ascii="Times New Roman" w:hAnsi="Times New Roman"/>
          <w:sz w:val="22"/>
        </w:rPr>
        <w:t>Christ's body is a proper object of worship.</w:t>
      </w:r>
    </w:p>
    <w:p w:rsidR="00E6016B" w:rsidRDefault="00E6016B" w:rsidP="00E6016B">
      <w:pPr>
        <w:pStyle w:val="ListParagraph"/>
        <w:numPr>
          <w:ilvl w:val="0"/>
          <w:numId w:val="2"/>
        </w:numPr>
        <w:jc w:val="both"/>
      </w:pPr>
      <w:r w:rsidRPr="00E6016B">
        <w:rPr>
          <w:rFonts w:ascii="Times New Roman" w:hAnsi="Times New Roman"/>
          <w:i/>
          <w:iCs/>
          <w:sz w:val="22"/>
        </w:rPr>
        <w:t>Communicatio idiomatum</w:t>
      </w:r>
      <w:r>
        <w:rPr>
          <w:rFonts w:ascii="Times New Roman" w:hAnsi="Times New Roman"/>
          <w:sz w:val="22"/>
        </w:rPr>
        <w:t xml:space="preserve"> involves a real </w:t>
      </w:r>
      <w:r w:rsidRPr="00E6016B">
        <w:rPr>
          <w:rFonts w:ascii="Times New Roman" w:hAnsi="Times New Roman"/>
          <w:b/>
          <w:bCs/>
          <w:sz w:val="22"/>
        </w:rPr>
        <w:t>exchange</w:t>
      </w:r>
      <w:r>
        <w:rPr>
          <w:rFonts w:ascii="Times New Roman" w:hAnsi="Times New Roman"/>
          <w:sz w:val="22"/>
        </w:rPr>
        <w:t xml:space="preserve"> of attributes.</w:t>
      </w:r>
    </w:p>
    <w:p w:rsidR="00E6016B" w:rsidRDefault="00E6016B" w:rsidP="00E6016B">
      <w:pPr>
        <w:jc w:val="both"/>
      </w:pPr>
      <w:r w:rsidRPr="00E6016B">
        <w:rPr>
          <w:rFonts w:ascii="Times New Roman" w:hAnsi="Times New Roman"/>
          <w:b/>
          <w:bCs/>
          <w:sz w:val="22"/>
        </w:rPr>
        <w:t>Orthodox Reaction</w:t>
      </w:r>
      <w:r>
        <w:rPr>
          <w:rFonts w:ascii="Times New Roman" w:hAnsi="Times New Roman"/>
          <w:b/>
          <w:bCs/>
          <w:sz w:val="22"/>
        </w:rPr>
        <w:t xml:space="preserve">. </w:t>
      </w:r>
      <w:r>
        <w:rPr>
          <w:rFonts w:ascii="Times New Roman" w:hAnsi="Times New Roman"/>
          <w:sz w:val="22"/>
        </w:rPr>
        <w:t>The Cappadocian fathers opposed Apollinarianism, raising several charges:</w:t>
      </w:r>
    </w:p>
    <w:p w:rsidR="00E6016B" w:rsidRDefault="00E6016B" w:rsidP="00E6016B">
      <w:pPr>
        <w:pStyle w:val="ListParagraph"/>
        <w:numPr>
          <w:ilvl w:val="0"/>
          <w:numId w:val="4"/>
        </w:numPr>
        <w:jc w:val="both"/>
      </w:pPr>
      <w:r>
        <w:rPr>
          <w:rFonts w:ascii="Times New Roman" w:hAnsi="Times New Roman"/>
          <w:sz w:val="22"/>
        </w:rPr>
        <w:t>It was Docetic, divinizing Christ's flesh.</w:t>
      </w:r>
    </w:p>
    <w:p w:rsidR="00E6016B" w:rsidRDefault="00E6016B" w:rsidP="00E6016B">
      <w:pPr>
        <w:pStyle w:val="ListParagraph"/>
        <w:numPr>
          <w:ilvl w:val="0"/>
          <w:numId w:val="4"/>
        </w:numPr>
        <w:jc w:val="both"/>
      </w:pPr>
      <w:r>
        <w:rPr>
          <w:rFonts w:ascii="Times New Roman" w:hAnsi="Times New Roman"/>
          <w:sz w:val="22"/>
        </w:rPr>
        <w:t>It questioned why one individual cannot have two wills and why God would become sinful.</w:t>
      </w:r>
    </w:p>
    <w:p w:rsidR="00E6016B" w:rsidRDefault="00E6016B" w:rsidP="00E6016B">
      <w:pPr>
        <w:pStyle w:val="ListParagraph"/>
        <w:numPr>
          <w:ilvl w:val="0"/>
          <w:numId w:val="4"/>
        </w:numPr>
        <w:jc w:val="both"/>
      </w:pPr>
      <w:r>
        <w:rPr>
          <w:rFonts w:ascii="Times New Roman" w:hAnsi="Times New Roman"/>
          <w:sz w:val="22"/>
        </w:rPr>
        <w:t>It suggested Christ was not fully man.</w:t>
      </w:r>
    </w:p>
    <w:p w:rsidR="00E6016B" w:rsidRDefault="00E6016B" w:rsidP="00E6016B">
      <w:pPr>
        <w:pStyle w:val="ListParagraph"/>
        <w:numPr>
          <w:ilvl w:val="0"/>
          <w:numId w:val="4"/>
        </w:numPr>
        <w:jc w:val="both"/>
      </w:pPr>
      <w:r>
        <w:rPr>
          <w:rFonts w:ascii="Times New Roman" w:hAnsi="Times New Roman"/>
          <w:sz w:val="22"/>
        </w:rPr>
        <w:t>It failed to fulfill the essential conditions for redemption.</w:t>
      </w:r>
    </w:p>
    <w:p w:rsidR="00E6016B" w:rsidRDefault="00E6016B" w:rsidP="00E6016B">
      <w:pPr>
        <w:jc w:val="both"/>
      </w:pPr>
      <w:r>
        <w:rPr>
          <w:rFonts w:ascii="Times New Roman" w:hAnsi="Times New Roman"/>
          <w:sz w:val="22"/>
        </w:rPr>
        <w:t>This opposition strengthened Christology. Gregory of Nazianzus emphasized two natures in one Son, asserting full communicatio idiomatum. Gregory of Nyssa argued the Godhead controls manhood, with the flesh passive and Logos active in the incarnation, resulting in indistinguishable natures in Jesus, yet unified as one person.</w:t>
      </w:r>
      <w:r>
        <w:rPr>
          <w:rFonts w:ascii="Times New Roman" w:hAnsi="Times New Roman"/>
          <w:sz w:val="22"/>
        </w:rPr>
        <w:t xml:space="preserve"> </w:t>
      </w:r>
      <w:r w:rsidRPr="00E6016B">
        <w:rPr>
          <w:rFonts w:ascii="Times New Roman" w:hAnsi="Times New Roman"/>
          <w:b/>
          <w:bCs/>
          <w:sz w:val="22"/>
        </w:rPr>
        <w:t>Antiochene Christology</w:t>
      </w:r>
      <w:r>
        <w:rPr>
          <w:rFonts w:ascii="Times New Roman" w:hAnsi="Times New Roman"/>
          <w:b/>
          <w:bCs/>
          <w:sz w:val="22"/>
        </w:rPr>
        <w:t xml:space="preserve">. </w:t>
      </w:r>
      <w:r>
        <w:rPr>
          <w:rFonts w:ascii="Times New Roman" w:hAnsi="Times New Roman"/>
          <w:sz w:val="22"/>
        </w:rPr>
        <w:t>Key figures in Antiochene Christology included Diodore of Tarsus and Theodore of Mopsuestia, who contributed to the evolving understanding of Christ’s dual natures.</w:t>
      </w:r>
    </w:p>
    <w:p w:rsidR="00D87F03" w:rsidRDefault="00D87F03" w:rsidP="00E6016B">
      <w:pPr>
        <w:jc w:val="both"/>
      </w:pPr>
    </w:p>
    <w:p w:rsidR="00D87F03" w:rsidRPr="00D87F03" w:rsidRDefault="00D87F03" w:rsidP="00D87F03">
      <w:pPr>
        <w:jc w:val="both"/>
        <w:rPr>
          <w:b/>
          <w:bCs/>
        </w:rPr>
      </w:pPr>
      <w:r w:rsidRPr="00D87F03">
        <w:rPr>
          <w:rFonts w:ascii="Times New Roman" w:hAnsi="Times New Roman"/>
          <w:b/>
          <w:bCs/>
          <w:sz w:val="22"/>
        </w:rPr>
        <w:t>XII. The Christological Settlement</w:t>
      </w:r>
      <w:r>
        <w:rPr>
          <w:rFonts w:ascii="Times New Roman" w:hAnsi="Times New Roman"/>
          <w:b/>
          <w:bCs/>
          <w:sz w:val="22"/>
        </w:rPr>
        <w:t>.</w:t>
      </w:r>
    </w:p>
    <w:p w:rsidR="00D87F03" w:rsidRDefault="00D87F03" w:rsidP="00D87F03">
      <w:pPr>
        <w:jc w:val="both"/>
      </w:pPr>
      <w:r w:rsidRPr="00D87F03">
        <w:rPr>
          <w:rFonts w:ascii="Times New Roman" w:hAnsi="Times New Roman"/>
          <w:b/>
          <w:bCs/>
          <w:sz w:val="22"/>
        </w:rPr>
        <w:t>Nestorianism</w:t>
      </w:r>
      <w:r>
        <w:rPr>
          <w:rFonts w:ascii="Times New Roman" w:hAnsi="Times New Roman"/>
          <w:b/>
          <w:bCs/>
          <w:sz w:val="22"/>
        </w:rPr>
        <w:t xml:space="preserve">. </w:t>
      </w:r>
      <w:r>
        <w:rPr>
          <w:rFonts w:ascii="Times New Roman" w:hAnsi="Times New Roman"/>
          <w:sz w:val="22"/>
        </w:rPr>
        <w:t xml:space="preserve">Between 428 and 451, Nestorianism debated terms like </w:t>
      </w:r>
      <w:r w:rsidRPr="00D87F03">
        <w:rPr>
          <w:rFonts w:ascii="Times New Roman" w:hAnsi="Times New Roman"/>
          <w:i/>
          <w:iCs/>
          <w:sz w:val="22"/>
        </w:rPr>
        <w:t>theotokos</w:t>
      </w:r>
      <w:r>
        <w:rPr>
          <w:rFonts w:ascii="Times New Roman" w:hAnsi="Times New Roman"/>
          <w:sz w:val="22"/>
        </w:rPr>
        <w:t xml:space="preserve"> and </w:t>
      </w:r>
      <w:r w:rsidRPr="00D87F03">
        <w:rPr>
          <w:rFonts w:ascii="Times New Roman" w:hAnsi="Times New Roman"/>
          <w:i/>
          <w:iCs/>
          <w:sz w:val="22"/>
        </w:rPr>
        <w:t>anthroptokos</w:t>
      </w:r>
      <w:r>
        <w:rPr>
          <w:rFonts w:ascii="Times New Roman" w:hAnsi="Times New Roman"/>
          <w:sz w:val="22"/>
        </w:rPr>
        <w:t xml:space="preserve">, preferring </w:t>
      </w:r>
      <w:r w:rsidRPr="00D87F03">
        <w:rPr>
          <w:rFonts w:ascii="Times New Roman" w:hAnsi="Times New Roman"/>
          <w:i/>
          <w:iCs/>
          <w:sz w:val="22"/>
        </w:rPr>
        <w:t>christotokos</w:t>
      </w:r>
      <w:r>
        <w:rPr>
          <w:rFonts w:ascii="Times New Roman" w:hAnsi="Times New Roman"/>
          <w:sz w:val="22"/>
        </w:rPr>
        <w:t>. It opposed the idea that Mary bore God, which seemed Arian or Apollinarian. Nestorius’s mature views, as expressed in the Book of Heracleides, maintained two unaltered natures but struggled to explain their substantial unity.</w:t>
      </w:r>
      <w:r>
        <w:rPr>
          <w:rFonts w:ascii="Times New Roman" w:hAnsi="Times New Roman"/>
          <w:sz w:val="22"/>
        </w:rPr>
        <w:t xml:space="preserve"> </w:t>
      </w:r>
      <w:r w:rsidRPr="00D87F03">
        <w:rPr>
          <w:rFonts w:ascii="Times New Roman" w:hAnsi="Times New Roman"/>
          <w:b/>
          <w:bCs/>
          <w:sz w:val="22"/>
        </w:rPr>
        <w:t>Cyril of Alexandria</w:t>
      </w:r>
      <w:r>
        <w:rPr>
          <w:rFonts w:ascii="Times New Roman" w:hAnsi="Times New Roman"/>
          <w:b/>
          <w:bCs/>
          <w:sz w:val="22"/>
        </w:rPr>
        <w:t xml:space="preserve">. </w:t>
      </w:r>
      <w:r>
        <w:rPr>
          <w:rFonts w:ascii="Times New Roman" w:hAnsi="Times New Roman"/>
          <w:sz w:val="22"/>
        </w:rPr>
        <w:t xml:space="preserve">Cyril argued against the perceived illusion in Nestorian Christology. He emphasized that Christ remained the same person pre- and post-incarnation, changing from </w:t>
      </w:r>
      <w:r w:rsidRPr="00D87F03">
        <w:rPr>
          <w:rFonts w:ascii="Times New Roman" w:hAnsi="Times New Roman"/>
          <w:i/>
          <w:iCs/>
          <w:sz w:val="22"/>
        </w:rPr>
        <w:t>asarkos</w:t>
      </w:r>
      <w:r>
        <w:rPr>
          <w:rFonts w:ascii="Times New Roman" w:hAnsi="Times New Roman"/>
          <w:sz w:val="22"/>
        </w:rPr>
        <w:t xml:space="preserve"> to </w:t>
      </w:r>
      <w:r w:rsidRPr="00D87F03">
        <w:rPr>
          <w:rFonts w:ascii="Times New Roman" w:hAnsi="Times New Roman"/>
          <w:i/>
          <w:iCs/>
          <w:sz w:val="22"/>
        </w:rPr>
        <w:t>sesarkomene</w:t>
      </w:r>
      <w:r>
        <w:rPr>
          <w:rFonts w:ascii="Times New Roman" w:hAnsi="Times New Roman"/>
          <w:sz w:val="22"/>
        </w:rPr>
        <w:t xml:space="preserve"> (enfleshed), uniting divine and human natures without confusion or change. Though unclear on the exact nature unity, he celebrated full </w:t>
      </w:r>
      <w:r w:rsidRPr="00D87F03">
        <w:rPr>
          <w:rFonts w:ascii="Times New Roman" w:hAnsi="Times New Roman"/>
          <w:i/>
          <w:iCs/>
          <w:sz w:val="22"/>
        </w:rPr>
        <w:t>communicatio idiomatum</w:t>
      </w:r>
      <w:r>
        <w:rPr>
          <w:rFonts w:ascii="Times New Roman" w:hAnsi="Times New Roman"/>
          <w:sz w:val="22"/>
        </w:rPr>
        <w:t>, avoiding explicit duality implied by "two natures."</w:t>
      </w:r>
      <w:r>
        <w:rPr>
          <w:rFonts w:ascii="Times New Roman" w:hAnsi="Times New Roman"/>
          <w:sz w:val="22"/>
        </w:rPr>
        <w:t xml:space="preserve"> </w:t>
      </w:r>
      <w:r w:rsidRPr="00D87F03">
        <w:rPr>
          <w:rFonts w:ascii="Times New Roman" w:hAnsi="Times New Roman"/>
          <w:b/>
          <w:bCs/>
          <w:sz w:val="22"/>
        </w:rPr>
        <w:t>Towards Unity from Ephesus</w:t>
      </w:r>
      <w:r>
        <w:rPr>
          <w:rFonts w:ascii="Times New Roman" w:hAnsi="Times New Roman"/>
          <w:b/>
          <w:bCs/>
          <w:sz w:val="22"/>
        </w:rPr>
        <w:t xml:space="preserve">. </w:t>
      </w:r>
      <w:r>
        <w:rPr>
          <w:rFonts w:ascii="Times New Roman" w:hAnsi="Times New Roman"/>
          <w:sz w:val="22"/>
        </w:rPr>
        <w:t xml:space="preserve">Debate between Cyril and Nestorius involved appeals to the Pope and Emperor. Pope Celestine favored Theotokos, resulting in Cyril anathematizing Nestorius with 12 anathemas, affirming full unity of divine and human </w:t>
      </w:r>
      <w:r>
        <w:rPr>
          <w:rFonts w:ascii="Times New Roman" w:hAnsi="Times New Roman"/>
          <w:sz w:val="22"/>
        </w:rPr>
        <w:t xml:space="preserve">natures </w:t>
      </w:r>
      <w:r>
        <w:rPr>
          <w:rFonts w:ascii="Times New Roman" w:hAnsi="Times New Roman"/>
          <w:sz w:val="22"/>
        </w:rPr>
        <w:t>in Christ. Despite rival councils, Ephesus 431 upheld the union of two natures, aligning with Cyril’s views.</w:t>
      </w:r>
      <w:r>
        <w:rPr>
          <w:rFonts w:ascii="Times New Roman" w:hAnsi="Times New Roman"/>
          <w:sz w:val="22"/>
        </w:rPr>
        <w:t xml:space="preserve"> </w:t>
      </w:r>
      <w:r w:rsidRPr="00D87F03">
        <w:rPr>
          <w:rFonts w:ascii="Times New Roman" w:hAnsi="Times New Roman"/>
          <w:b/>
          <w:bCs/>
          <w:sz w:val="22"/>
        </w:rPr>
        <w:t>The Case of Eutyches</w:t>
      </w:r>
      <w:r>
        <w:rPr>
          <w:rFonts w:ascii="Times New Roman" w:hAnsi="Times New Roman"/>
          <w:b/>
          <w:bCs/>
          <w:sz w:val="22"/>
        </w:rPr>
        <w:t xml:space="preserve">. </w:t>
      </w:r>
      <w:r>
        <w:rPr>
          <w:rFonts w:ascii="Times New Roman" w:hAnsi="Times New Roman"/>
          <w:sz w:val="22"/>
        </w:rPr>
        <w:t xml:space="preserve">Dissatisfaction arose post-Ephesus, especially concerning the two-nature doctrine. Eutyches advocated for one nature after union—with humanity absorbed, a view leading to controversy. </w:t>
      </w:r>
      <w:r w:rsidRPr="00D87F03">
        <w:rPr>
          <w:rFonts w:ascii="Times New Roman" w:hAnsi="Times New Roman"/>
          <w:b/>
          <w:bCs/>
          <w:sz w:val="22"/>
        </w:rPr>
        <w:t>The West and Leo</w:t>
      </w:r>
      <w:r>
        <w:rPr>
          <w:rFonts w:ascii="Times New Roman" w:hAnsi="Times New Roman"/>
          <w:b/>
          <w:bCs/>
          <w:sz w:val="22"/>
        </w:rPr>
        <w:t xml:space="preserve">. </w:t>
      </w:r>
      <w:r>
        <w:rPr>
          <w:rFonts w:ascii="Times New Roman" w:hAnsi="Times New Roman"/>
          <w:sz w:val="22"/>
        </w:rPr>
        <w:t xml:space="preserve">Western theologians like Hilary, Ambrose, and Augustine emphasized two natures in one person, with </w:t>
      </w:r>
      <w:r w:rsidRPr="00D87F03">
        <w:rPr>
          <w:rFonts w:ascii="Times New Roman" w:hAnsi="Times New Roman"/>
          <w:i/>
          <w:iCs/>
          <w:sz w:val="22"/>
        </w:rPr>
        <w:t>communicatio idiomatum</w:t>
      </w:r>
      <w:r>
        <w:rPr>
          <w:rFonts w:ascii="Times New Roman" w:hAnsi="Times New Roman"/>
          <w:sz w:val="22"/>
        </w:rPr>
        <w:t>. Leo’s Tome detailed a union without mixture or confusion, coordinating separate operations in harmony.</w:t>
      </w:r>
      <w:r>
        <w:rPr>
          <w:rFonts w:ascii="Times New Roman" w:hAnsi="Times New Roman"/>
          <w:sz w:val="22"/>
        </w:rPr>
        <w:t xml:space="preserve"> </w:t>
      </w:r>
      <w:r w:rsidRPr="00D87F03">
        <w:rPr>
          <w:rFonts w:ascii="Times New Roman" w:hAnsi="Times New Roman"/>
          <w:b/>
          <w:bCs/>
          <w:sz w:val="22"/>
        </w:rPr>
        <w:t>Chalcedonian Settlement</w:t>
      </w:r>
      <w:r>
        <w:rPr>
          <w:rFonts w:ascii="Times New Roman" w:hAnsi="Times New Roman"/>
          <w:b/>
          <w:bCs/>
          <w:sz w:val="22"/>
        </w:rPr>
        <w:t xml:space="preserve">. </w:t>
      </w:r>
      <w:r>
        <w:rPr>
          <w:rFonts w:ascii="Times New Roman" w:hAnsi="Times New Roman"/>
          <w:sz w:val="22"/>
        </w:rPr>
        <w:t xml:space="preserve">Under a new emperor favoring two natures, Chalcedon affirmed Nicene beliefs, canonized Cyril and Leo’s writings, and provided a formal confession: one Son, two perfect natures (both divine and human), </w:t>
      </w:r>
      <w:r w:rsidRPr="00D87F03">
        <w:rPr>
          <w:rFonts w:ascii="Times New Roman" w:hAnsi="Times New Roman"/>
          <w:b/>
          <w:bCs/>
          <w:sz w:val="22"/>
        </w:rPr>
        <w:t>without confusion, change, division, or separation</w:t>
      </w:r>
      <w:r>
        <w:rPr>
          <w:rFonts w:ascii="Times New Roman" w:hAnsi="Times New Roman"/>
          <w:sz w:val="22"/>
        </w:rPr>
        <w:t xml:space="preserve">, unified in one </w:t>
      </w:r>
      <w:r w:rsidRPr="00D87F03">
        <w:rPr>
          <w:rFonts w:ascii="Times New Roman" w:hAnsi="Times New Roman"/>
          <w:i/>
          <w:iCs/>
          <w:sz w:val="22"/>
        </w:rPr>
        <w:t>prosopon</w:t>
      </w:r>
      <w:r>
        <w:rPr>
          <w:rFonts w:ascii="Times New Roman" w:hAnsi="Times New Roman"/>
          <w:sz w:val="22"/>
        </w:rPr>
        <w:t>/</w:t>
      </w:r>
      <w:r w:rsidRPr="00D87F03">
        <w:rPr>
          <w:rFonts w:ascii="Times New Roman" w:hAnsi="Times New Roman"/>
          <w:i/>
          <w:iCs/>
          <w:sz w:val="22"/>
        </w:rPr>
        <w:t>hypostasis</w:t>
      </w:r>
      <w:r>
        <w:rPr>
          <w:rFonts w:ascii="Times New Roman" w:hAnsi="Times New Roman"/>
          <w:sz w:val="22"/>
        </w:rPr>
        <w:t>.</w:t>
      </w:r>
    </w:p>
    <w:p w:rsidR="00D87F03" w:rsidRDefault="00D87F03" w:rsidP="00D87F03">
      <w:pPr>
        <w:jc w:val="both"/>
      </w:pPr>
    </w:p>
    <w:p w:rsidR="00D87F03" w:rsidRPr="00D87F03" w:rsidRDefault="00D87F03" w:rsidP="00D87F03">
      <w:pPr>
        <w:jc w:val="both"/>
        <w:rPr>
          <w:b/>
          <w:bCs/>
        </w:rPr>
      </w:pPr>
      <w:r w:rsidRPr="00D87F03">
        <w:rPr>
          <w:rFonts w:ascii="Times New Roman" w:hAnsi="Times New Roman"/>
          <w:b/>
          <w:bCs/>
          <w:sz w:val="22"/>
        </w:rPr>
        <w:t>XIII. Fallen Man and God's Grace</w:t>
      </w:r>
      <w:r>
        <w:rPr>
          <w:rFonts w:ascii="Times New Roman" w:hAnsi="Times New Roman"/>
          <w:b/>
          <w:bCs/>
          <w:sz w:val="22"/>
        </w:rPr>
        <w:t>.</w:t>
      </w:r>
    </w:p>
    <w:p w:rsidR="00D87F03" w:rsidRDefault="00D87F03" w:rsidP="00D87F03">
      <w:pPr>
        <w:jc w:val="both"/>
      </w:pPr>
      <w:r w:rsidRPr="00D87F03">
        <w:rPr>
          <w:rFonts w:ascii="Times New Roman" w:hAnsi="Times New Roman"/>
          <w:b/>
          <w:bCs/>
          <w:sz w:val="22"/>
        </w:rPr>
        <w:t>Soul's Origin</w:t>
      </w:r>
      <w:r>
        <w:rPr>
          <w:rFonts w:ascii="Times New Roman" w:hAnsi="Times New Roman"/>
          <w:b/>
          <w:bCs/>
          <w:sz w:val="22"/>
        </w:rPr>
        <w:t xml:space="preserve">. </w:t>
      </w:r>
      <w:r>
        <w:rPr>
          <w:rFonts w:ascii="Times New Roman" w:hAnsi="Times New Roman"/>
          <w:sz w:val="22"/>
        </w:rPr>
        <w:t xml:space="preserve">Origen suggested a pre-existent soul, while the prevalent Greek theory of creationism found support in Pelagius. Augustine, albeit with hesitation, and Tertullian leaned toward </w:t>
      </w:r>
      <w:r w:rsidRPr="00D87F03">
        <w:rPr>
          <w:rFonts w:ascii="Times New Roman" w:hAnsi="Times New Roman"/>
          <w:i/>
          <w:iCs/>
          <w:sz w:val="22"/>
        </w:rPr>
        <w:t>traducianism</w:t>
      </w:r>
      <w:r>
        <w:rPr>
          <w:rFonts w:ascii="Times New Roman" w:hAnsi="Times New Roman"/>
          <w:sz w:val="22"/>
        </w:rPr>
        <w:t>.</w:t>
      </w:r>
      <w:r>
        <w:rPr>
          <w:rFonts w:ascii="Times New Roman" w:hAnsi="Times New Roman"/>
          <w:sz w:val="22"/>
        </w:rPr>
        <w:t xml:space="preserve"> </w:t>
      </w:r>
      <w:r w:rsidRPr="00D87F03">
        <w:rPr>
          <w:rFonts w:ascii="Times New Roman" w:hAnsi="Times New Roman"/>
          <w:b/>
          <w:bCs/>
          <w:sz w:val="22"/>
        </w:rPr>
        <w:t>Athanasius and the Fall</w:t>
      </w:r>
      <w:r>
        <w:rPr>
          <w:rFonts w:ascii="Times New Roman" w:hAnsi="Times New Roman"/>
          <w:b/>
          <w:bCs/>
          <w:sz w:val="22"/>
        </w:rPr>
        <w:t xml:space="preserve">. </w:t>
      </w:r>
      <w:r>
        <w:rPr>
          <w:rFonts w:ascii="Times New Roman" w:hAnsi="Times New Roman"/>
          <w:sz w:val="22"/>
        </w:rPr>
        <w:t>Athanasius viewed finite beings in the image of God as deprived of this divine image, yet still possessing free will and the ability not to sin (posse non peccare).</w:t>
      </w:r>
      <w:r>
        <w:rPr>
          <w:rFonts w:ascii="Times New Roman" w:hAnsi="Times New Roman"/>
          <w:sz w:val="22"/>
        </w:rPr>
        <w:t xml:space="preserve"> </w:t>
      </w:r>
      <w:r w:rsidRPr="00D87F03">
        <w:rPr>
          <w:rFonts w:ascii="Times New Roman" w:hAnsi="Times New Roman"/>
          <w:b/>
          <w:bCs/>
          <w:sz w:val="22"/>
        </w:rPr>
        <w:t>Greek Fathers</w:t>
      </w:r>
      <w:r>
        <w:rPr>
          <w:rFonts w:ascii="Times New Roman" w:hAnsi="Times New Roman"/>
          <w:b/>
          <w:bCs/>
          <w:sz w:val="22"/>
        </w:rPr>
        <w:t xml:space="preserve">. </w:t>
      </w:r>
      <w:r>
        <w:rPr>
          <w:rFonts w:ascii="Times New Roman" w:hAnsi="Times New Roman"/>
          <w:sz w:val="22"/>
        </w:rPr>
        <w:t>Some Greek Fathers entertained the idea of double creation. They saw the Fall as a misuse of free will without necessary transmission of original sin, though in Adam our obedience was tested. The Fall impacted our moral nature with some language hinting at sin transmission. There were synergistic tendencies in their thinking.</w:t>
      </w:r>
      <w:r>
        <w:rPr>
          <w:rFonts w:ascii="Times New Roman" w:hAnsi="Times New Roman"/>
          <w:sz w:val="22"/>
        </w:rPr>
        <w:t xml:space="preserve"> </w:t>
      </w:r>
      <w:r w:rsidRPr="00D87F03">
        <w:rPr>
          <w:rFonts w:ascii="Times New Roman" w:hAnsi="Times New Roman"/>
          <w:b/>
          <w:bCs/>
          <w:sz w:val="22"/>
        </w:rPr>
        <w:t>West before Augustine</w:t>
      </w:r>
      <w:r>
        <w:rPr>
          <w:rFonts w:ascii="Times New Roman" w:hAnsi="Times New Roman"/>
          <w:b/>
          <w:bCs/>
          <w:sz w:val="22"/>
        </w:rPr>
        <w:t xml:space="preserve">. </w:t>
      </w:r>
      <w:r>
        <w:rPr>
          <w:rFonts w:ascii="Times New Roman" w:hAnsi="Times New Roman"/>
          <w:sz w:val="22"/>
        </w:rPr>
        <w:t>Figures like Ambrose and Ambrosiaster depicted a primitive state of supernatural blessedness. Sin was equated with idolatry, and solidarity with Adam led to the infection of guilt, corruption, and cooperation with free grace.</w:t>
      </w:r>
      <w:r>
        <w:rPr>
          <w:rFonts w:ascii="Times New Roman" w:hAnsi="Times New Roman"/>
          <w:sz w:val="22"/>
        </w:rPr>
        <w:t xml:space="preserve"> </w:t>
      </w:r>
      <w:r w:rsidRPr="00D87F03">
        <w:rPr>
          <w:rFonts w:ascii="Times New Roman" w:hAnsi="Times New Roman"/>
          <w:b/>
          <w:bCs/>
          <w:sz w:val="22"/>
        </w:rPr>
        <w:t>Doctrine of Pelagius</w:t>
      </w:r>
      <w:r>
        <w:rPr>
          <w:rFonts w:ascii="Times New Roman" w:hAnsi="Times New Roman"/>
          <w:b/>
          <w:bCs/>
          <w:sz w:val="22"/>
        </w:rPr>
        <w:t xml:space="preserve">. </w:t>
      </w:r>
      <w:r>
        <w:rPr>
          <w:rFonts w:ascii="Times New Roman" w:hAnsi="Times New Roman"/>
          <w:sz w:val="22"/>
        </w:rPr>
        <w:t>Pelagius opposed pessimistic views of human nature, advocating for free will and the belief that grace should not pre-determine actions. He emphasized the power to act, will, and realization (</w:t>
      </w:r>
      <w:r w:rsidRPr="00D87F03">
        <w:rPr>
          <w:rFonts w:ascii="Times New Roman" w:hAnsi="Times New Roman"/>
          <w:i/>
          <w:iCs/>
          <w:sz w:val="22"/>
        </w:rPr>
        <w:t>posse</w:t>
      </w:r>
      <w:r>
        <w:rPr>
          <w:rFonts w:ascii="Times New Roman" w:hAnsi="Times New Roman"/>
          <w:sz w:val="22"/>
        </w:rPr>
        <w:t xml:space="preserve">, </w:t>
      </w:r>
      <w:r w:rsidRPr="00D87F03">
        <w:rPr>
          <w:rFonts w:ascii="Times New Roman" w:hAnsi="Times New Roman"/>
          <w:i/>
          <w:iCs/>
          <w:sz w:val="22"/>
        </w:rPr>
        <w:t>velle</w:t>
      </w:r>
      <w:r>
        <w:rPr>
          <w:rFonts w:ascii="Times New Roman" w:hAnsi="Times New Roman"/>
          <w:sz w:val="22"/>
        </w:rPr>
        <w:t xml:space="preserve">, </w:t>
      </w:r>
      <w:r w:rsidRPr="00D87F03">
        <w:rPr>
          <w:rFonts w:ascii="Times New Roman" w:hAnsi="Times New Roman"/>
          <w:i/>
          <w:iCs/>
          <w:sz w:val="22"/>
        </w:rPr>
        <w:t>esse</w:t>
      </w:r>
      <w:r>
        <w:rPr>
          <w:rFonts w:ascii="Times New Roman" w:hAnsi="Times New Roman"/>
          <w:sz w:val="22"/>
        </w:rPr>
        <w:t>), attributing initial power to God but subsequent actions to individuals. He denied original sin, suggesting Adam would have died regardless.</w:t>
      </w:r>
      <w:r>
        <w:rPr>
          <w:rFonts w:ascii="Times New Roman" w:hAnsi="Times New Roman"/>
          <w:sz w:val="22"/>
        </w:rPr>
        <w:t xml:space="preserve"> </w:t>
      </w:r>
      <w:r w:rsidRPr="00D87F03">
        <w:rPr>
          <w:rFonts w:ascii="Times New Roman" w:hAnsi="Times New Roman"/>
          <w:b/>
          <w:bCs/>
          <w:sz w:val="22"/>
        </w:rPr>
        <w:lastRenderedPageBreak/>
        <w:t>Augustine and Original Sin</w:t>
      </w:r>
      <w:r>
        <w:rPr>
          <w:rFonts w:ascii="Times New Roman" w:hAnsi="Times New Roman"/>
          <w:b/>
          <w:bCs/>
          <w:sz w:val="22"/>
        </w:rPr>
        <w:t xml:space="preserve">. </w:t>
      </w:r>
      <w:r>
        <w:rPr>
          <w:rFonts w:ascii="Times New Roman" w:hAnsi="Times New Roman"/>
          <w:sz w:val="22"/>
        </w:rPr>
        <w:t xml:space="preserve">Augustine expanded on original sin, explaining the Fall resulted from our actions. He navigated between traducianist and creationist views, arguing for shared responsibility and corruption's consequences. He emphasized a loss of free will (from </w:t>
      </w:r>
      <w:r w:rsidRPr="00794A87">
        <w:rPr>
          <w:rFonts w:ascii="Times New Roman" w:hAnsi="Times New Roman"/>
          <w:i/>
          <w:iCs/>
          <w:sz w:val="22"/>
        </w:rPr>
        <w:t>posse non peccare</w:t>
      </w:r>
      <w:r>
        <w:rPr>
          <w:rFonts w:ascii="Times New Roman" w:hAnsi="Times New Roman"/>
          <w:sz w:val="22"/>
        </w:rPr>
        <w:t xml:space="preserve"> to </w:t>
      </w:r>
      <w:r w:rsidRPr="00794A87">
        <w:rPr>
          <w:rFonts w:ascii="Times New Roman" w:hAnsi="Times New Roman"/>
          <w:i/>
          <w:iCs/>
          <w:sz w:val="22"/>
        </w:rPr>
        <w:t>non posse non peccare</w:t>
      </w:r>
      <w:r>
        <w:rPr>
          <w:rFonts w:ascii="Times New Roman" w:hAnsi="Times New Roman"/>
          <w:sz w:val="22"/>
        </w:rPr>
        <w:t>), asserting humans still choose evil due to this fall.</w:t>
      </w:r>
      <w:r w:rsidR="00794A87">
        <w:rPr>
          <w:rFonts w:ascii="Times New Roman" w:hAnsi="Times New Roman"/>
          <w:sz w:val="22"/>
        </w:rPr>
        <w:t xml:space="preserve"> </w:t>
      </w:r>
      <w:r w:rsidRPr="00794A87">
        <w:rPr>
          <w:rFonts w:ascii="Times New Roman" w:hAnsi="Times New Roman"/>
          <w:b/>
          <w:bCs/>
          <w:sz w:val="22"/>
        </w:rPr>
        <w:t>Grace and Predestination</w:t>
      </w:r>
      <w:r w:rsidR="00794A87">
        <w:rPr>
          <w:rFonts w:ascii="Times New Roman" w:hAnsi="Times New Roman"/>
          <w:b/>
          <w:bCs/>
          <w:sz w:val="22"/>
        </w:rPr>
        <w:t xml:space="preserve">. </w:t>
      </w:r>
      <w:r>
        <w:rPr>
          <w:rFonts w:ascii="Times New Roman" w:hAnsi="Times New Roman"/>
          <w:sz w:val="22"/>
        </w:rPr>
        <w:t xml:space="preserve">Augustine embraced monergism, viewing grace as essential. Grace was seen as </w:t>
      </w:r>
      <w:r w:rsidRPr="00794A87">
        <w:rPr>
          <w:rFonts w:ascii="Times New Roman" w:hAnsi="Times New Roman"/>
          <w:i/>
          <w:iCs/>
          <w:sz w:val="22"/>
        </w:rPr>
        <w:t>prevenient</w:t>
      </w:r>
      <w:r>
        <w:rPr>
          <w:rFonts w:ascii="Times New Roman" w:hAnsi="Times New Roman"/>
          <w:sz w:val="22"/>
        </w:rPr>
        <w:t xml:space="preserve">, </w:t>
      </w:r>
      <w:r w:rsidRPr="00794A87">
        <w:rPr>
          <w:rFonts w:ascii="Times New Roman" w:hAnsi="Times New Roman"/>
          <w:i/>
          <w:iCs/>
          <w:sz w:val="22"/>
        </w:rPr>
        <w:t>cooperating</w:t>
      </w:r>
      <w:r>
        <w:rPr>
          <w:rFonts w:ascii="Times New Roman" w:hAnsi="Times New Roman"/>
          <w:sz w:val="22"/>
        </w:rPr>
        <w:t xml:space="preserve">, and </w:t>
      </w:r>
      <w:r w:rsidRPr="00794A87">
        <w:rPr>
          <w:rFonts w:ascii="Times New Roman" w:hAnsi="Times New Roman"/>
          <w:i/>
          <w:iCs/>
          <w:sz w:val="22"/>
        </w:rPr>
        <w:t>efficient</w:t>
      </w:r>
      <w:r>
        <w:rPr>
          <w:rFonts w:ascii="Times New Roman" w:hAnsi="Times New Roman"/>
          <w:sz w:val="22"/>
        </w:rPr>
        <w:t>, guiding free will toward good. Despite free choice, Augustine emphasized God's irresistible will, integrating predestination with foreknowledge and stressing that true freedom is aligned with God.</w:t>
      </w:r>
      <w:r w:rsidR="00794A87">
        <w:rPr>
          <w:rFonts w:ascii="Times New Roman" w:hAnsi="Times New Roman"/>
          <w:sz w:val="22"/>
        </w:rPr>
        <w:t xml:space="preserve"> </w:t>
      </w:r>
      <w:r w:rsidRPr="00794A87">
        <w:rPr>
          <w:rFonts w:ascii="Times New Roman" w:hAnsi="Times New Roman"/>
          <w:b/>
          <w:bCs/>
          <w:sz w:val="22"/>
        </w:rPr>
        <w:t>The Western Settlement</w:t>
      </w:r>
      <w:r w:rsidR="00794A87">
        <w:rPr>
          <w:rFonts w:ascii="Times New Roman" w:hAnsi="Times New Roman"/>
          <w:b/>
          <w:bCs/>
          <w:sz w:val="22"/>
        </w:rPr>
        <w:t xml:space="preserve">. </w:t>
      </w:r>
      <w:r>
        <w:rPr>
          <w:rFonts w:ascii="Times New Roman" w:hAnsi="Times New Roman"/>
          <w:sz w:val="22"/>
        </w:rPr>
        <w:t>The Council of Carthage in 418 condemned Pelagianism, asserting original sin's inheritance and baptism's necessity. Semi-Pelagians, represented by John Cassian, believed grace assisted free will but did not entirely initiate it, suggesting a partially active human will.</w:t>
      </w:r>
      <w:r w:rsidR="00794A87">
        <w:rPr>
          <w:rFonts w:ascii="Times New Roman" w:hAnsi="Times New Roman"/>
          <w:sz w:val="22"/>
        </w:rPr>
        <w:t xml:space="preserve"> </w:t>
      </w:r>
      <w:r w:rsidRPr="00794A87">
        <w:rPr>
          <w:rFonts w:ascii="Times New Roman" w:hAnsi="Times New Roman"/>
          <w:b/>
          <w:bCs/>
          <w:sz w:val="22"/>
        </w:rPr>
        <w:t>East in the Fifth Century</w:t>
      </w:r>
      <w:r w:rsidR="00794A87">
        <w:rPr>
          <w:rFonts w:ascii="Times New Roman" w:hAnsi="Times New Roman"/>
          <w:b/>
          <w:bCs/>
          <w:sz w:val="22"/>
        </w:rPr>
        <w:t xml:space="preserve">. </w:t>
      </w:r>
      <w:r>
        <w:rPr>
          <w:rFonts w:ascii="Times New Roman" w:hAnsi="Times New Roman"/>
          <w:sz w:val="22"/>
        </w:rPr>
        <w:t>Cyril differentiated concupiscence from corruption, denying shared sin in Adam and emphasizing the intact yet threatened identity of free will requiring the Word. Figures like Theodore and Theodoret echoed these thoughts, focusing on individualism and cooperative grace, rejecting original sin transmission.</w:t>
      </w:r>
    </w:p>
    <w:p w:rsidR="00794A87" w:rsidRDefault="00794A87" w:rsidP="00D87F03">
      <w:pPr>
        <w:jc w:val="both"/>
      </w:pPr>
    </w:p>
    <w:p w:rsidR="00794A87" w:rsidRPr="00794A87" w:rsidRDefault="00794A87" w:rsidP="00794A87">
      <w:pPr>
        <w:jc w:val="both"/>
        <w:rPr>
          <w:b/>
          <w:bCs/>
        </w:rPr>
      </w:pPr>
      <w:r w:rsidRPr="00794A87">
        <w:rPr>
          <w:rFonts w:ascii="Times New Roman" w:hAnsi="Times New Roman"/>
          <w:b/>
          <w:bCs/>
          <w:sz w:val="22"/>
        </w:rPr>
        <w:t>XIV: Christ's Saving Work</w:t>
      </w:r>
      <w:r>
        <w:rPr>
          <w:rFonts w:ascii="Times New Roman" w:hAnsi="Times New Roman"/>
          <w:b/>
          <w:bCs/>
          <w:sz w:val="22"/>
        </w:rPr>
        <w:t>.</w:t>
      </w:r>
    </w:p>
    <w:p w:rsidR="00794A87" w:rsidRDefault="00794A87" w:rsidP="00794A87">
      <w:pPr>
        <w:jc w:val="both"/>
      </w:pPr>
      <w:r w:rsidRPr="00794A87">
        <w:rPr>
          <w:rFonts w:ascii="Times New Roman" w:hAnsi="Times New Roman"/>
          <w:b/>
          <w:bCs/>
          <w:sz w:val="22"/>
        </w:rPr>
        <w:t>The Clue to Soteriology</w:t>
      </w:r>
      <w:r>
        <w:rPr>
          <w:rFonts w:ascii="Times New Roman" w:hAnsi="Times New Roman"/>
          <w:b/>
          <w:bCs/>
          <w:sz w:val="22"/>
        </w:rPr>
        <w:t xml:space="preserve">. </w:t>
      </w:r>
      <w:r>
        <w:rPr>
          <w:rFonts w:ascii="Times New Roman" w:hAnsi="Times New Roman"/>
          <w:sz w:val="22"/>
        </w:rPr>
        <w:t>Soteriology in early Christianity revolves around three key theories:</w:t>
      </w:r>
    </w:p>
    <w:p w:rsidR="00794A87" w:rsidRDefault="00794A87" w:rsidP="00794A87">
      <w:pPr>
        <w:pStyle w:val="ListParagraph"/>
        <w:numPr>
          <w:ilvl w:val="0"/>
          <w:numId w:val="6"/>
        </w:numPr>
        <w:jc w:val="both"/>
      </w:pPr>
      <w:r>
        <w:rPr>
          <w:rFonts w:ascii="Times New Roman" w:hAnsi="Times New Roman"/>
          <w:sz w:val="22"/>
        </w:rPr>
        <w:t xml:space="preserve">Irenaeus emphasized a </w:t>
      </w:r>
      <w:r w:rsidRPr="00794A87">
        <w:rPr>
          <w:rFonts w:ascii="Times New Roman" w:hAnsi="Times New Roman"/>
          <w:b/>
          <w:bCs/>
          <w:sz w:val="22"/>
        </w:rPr>
        <w:t>physical</w:t>
      </w:r>
      <w:r>
        <w:rPr>
          <w:rFonts w:ascii="Times New Roman" w:hAnsi="Times New Roman"/>
          <w:sz w:val="22"/>
        </w:rPr>
        <w:t xml:space="preserve"> and </w:t>
      </w:r>
      <w:r w:rsidRPr="00794A87">
        <w:rPr>
          <w:rFonts w:ascii="Times New Roman" w:hAnsi="Times New Roman"/>
          <w:b/>
          <w:bCs/>
          <w:sz w:val="22"/>
        </w:rPr>
        <w:t>mystical</w:t>
      </w:r>
      <w:r>
        <w:rPr>
          <w:rFonts w:ascii="Times New Roman" w:hAnsi="Times New Roman"/>
          <w:sz w:val="22"/>
        </w:rPr>
        <w:t xml:space="preserve"> </w:t>
      </w:r>
      <w:r w:rsidRPr="00794A87">
        <w:rPr>
          <w:rFonts w:ascii="Times New Roman" w:hAnsi="Times New Roman"/>
          <w:b/>
          <w:bCs/>
          <w:sz w:val="22"/>
        </w:rPr>
        <w:t>view</w:t>
      </w:r>
      <w:r>
        <w:rPr>
          <w:rFonts w:ascii="Times New Roman" w:hAnsi="Times New Roman"/>
          <w:sz w:val="22"/>
        </w:rPr>
        <w:t>, where Christ's incarnation was a recapitulation of humanity.</w:t>
      </w:r>
    </w:p>
    <w:p w:rsidR="00794A87" w:rsidRDefault="00794A87" w:rsidP="00794A87">
      <w:pPr>
        <w:pStyle w:val="ListParagraph"/>
        <w:numPr>
          <w:ilvl w:val="0"/>
          <w:numId w:val="6"/>
        </w:numPr>
        <w:jc w:val="both"/>
      </w:pPr>
      <w:r>
        <w:rPr>
          <w:rFonts w:ascii="Times New Roman" w:hAnsi="Times New Roman"/>
          <w:sz w:val="22"/>
        </w:rPr>
        <w:t xml:space="preserve">Irenaeus and Origen proposed the </w:t>
      </w:r>
      <w:r w:rsidRPr="00794A87">
        <w:rPr>
          <w:rFonts w:ascii="Times New Roman" w:hAnsi="Times New Roman"/>
          <w:b/>
          <w:bCs/>
          <w:sz w:val="22"/>
        </w:rPr>
        <w:t>Ransom theory</w:t>
      </w:r>
      <w:r>
        <w:rPr>
          <w:rFonts w:ascii="Times New Roman" w:hAnsi="Times New Roman"/>
          <w:sz w:val="22"/>
        </w:rPr>
        <w:t>, involving God's tactical deception of the devil.</w:t>
      </w:r>
    </w:p>
    <w:p w:rsidR="00794A87" w:rsidRDefault="00794A87" w:rsidP="00794A87">
      <w:pPr>
        <w:pStyle w:val="ListParagraph"/>
        <w:numPr>
          <w:ilvl w:val="0"/>
          <w:numId w:val="6"/>
        </w:numPr>
        <w:jc w:val="both"/>
      </w:pPr>
      <w:r>
        <w:rPr>
          <w:rFonts w:ascii="Times New Roman" w:hAnsi="Times New Roman"/>
          <w:sz w:val="22"/>
        </w:rPr>
        <w:t xml:space="preserve">The </w:t>
      </w:r>
      <w:r w:rsidRPr="00794A87">
        <w:rPr>
          <w:rFonts w:ascii="Times New Roman" w:hAnsi="Times New Roman"/>
          <w:b/>
          <w:bCs/>
          <w:sz w:val="22"/>
        </w:rPr>
        <w:t>Realist approach</w:t>
      </w:r>
      <w:r>
        <w:rPr>
          <w:rFonts w:ascii="Times New Roman" w:hAnsi="Times New Roman"/>
          <w:sz w:val="22"/>
        </w:rPr>
        <w:t xml:space="preserve"> viewed the cross as Christ substituting himself to pay the penalty for sin, acting as a sacrificial death.</w:t>
      </w:r>
    </w:p>
    <w:p w:rsidR="00794A87" w:rsidRDefault="00794A87" w:rsidP="00794A87">
      <w:pPr>
        <w:jc w:val="both"/>
      </w:pPr>
      <w:r w:rsidRPr="00794A87">
        <w:rPr>
          <w:rFonts w:ascii="Times New Roman" w:hAnsi="Times New Roman"/>
          <w:b/>
          <w:bCs/>
          <w:sz w:val="22"/>
        </w:rPr>
        <w:t>Athanasius</w:t>
      </w:r>
      <w:r>
        <w:rPr>
          <w:rFonts w:ascii="Times New Roman" w:hAnsi="Times New Roman"/>
          <w:b/>
          <w:bCs/>
          <w:sz w:val="22"/>
        </w:rPr>
        <w:t xml:space="preserve">. </w:t>
      </w:r>
      <w:r>
        <w:rPr>
          <w:rFonts w:ascii="Times New Roman" w:hAnsi="Times New Roman"/>
          <w:sz w:val="22"/>
        </w:rPr>
        <w:t>Athanasius offered a physical view, restoring the divine image through incarnation and communicating divine force to mankind. This divinization through union with the Holy Spirit and Christ removed humanity's pollution. His death, a sacrifice, released us from sin’s curse, representing humans and removing the debt of death.</w:t>
      </w:r>
      <w:r>
        <w:rPr>
          <w:rFonts w:ascii="Times New Roman" w:hAnsi="Times New Roman"/>
          <w:sz w:val="22"/>
        </w:rPr>
        <w:t xml:space="preserve"> </w:t>
      </w:r>
      <w:r w:rsidRPr="00794A87">
        <w:rPr>
          <w:rFonts w:ascii="Times New Roman" w:hAnsi="Times New Roman"/>
          <w:b/>
          <w:bCs/>
          <w:sz w:val="22"/>
        </w:rPr>
        <w:t>Fourth-Century Greek Fathers</w:t>
      </w:r>
      <w:r>
        <w:rPr>
          <w:rFonts w:ascii="Times New Roman" w:hAnsi="Times New Roman"/>
          <w:b/>
          <w:bCs/>
          <w:sz w:val="22"/>
        </w:rPr>
        <w:t xml:space="preserve">. </w:t>
      </w:r>
      <w:r>
        <w:rPr>
          <w:rFonts w:ascii="Times New Roman" w:hAnsi="Times New Roman"/>
          <w:sz w:val="22"/>
        </w:rPr>
        <w:t>Gregory of Nyssa saw the Fall as fragmenting human nature; Christ's incarnation, death, and resurrection reunited these fragments, akin to Platonic realism. He supported the Ransom theory, involving the trickery of the devil, while denying the Father required Christ's blood for satisfaction. Eusebius of Caesarea and Cyril of Jerusalem viewed Christ's sacrifices as substitutionary, identifying with human sin to appease divine wrath. Greek Fathers generally embraced a realist interpretation.</w:t>
      </w:r>
      <w:r>
        <w:rPr>
          <w:rFonts w:ascii="Times New Roman" w:hAnsi="Times New Roman"/>
          <w:sz w:val="22"/>
        </w:rPr>
        <w:t xml:space="preserve"> </w:t>
      </w:r>
      <w:r w:rsidRPr="00794A87">
        <w:rPr>
          <w:rFonts w:ascii="Times New Roman" w:hAnsi="Times New Roman"/>
          <w:b/>
          <w:bCs/>
          <w:sz w:val="22"/>
        </w:rPr>
        <w:t>West in the Fourth Century</w:t>
      </w:r>
      <w:r>
        <w:rPr>
          <w:rFonts w:ascii="Times New Roman" w:hAnsi="Times New Roman"/>
          <w:b/>
          <w:bCs/>
          <w:sz w:val="22"/>
        </w:rPr>
        <w:t xml:space="preserve">. </w:t>
      </w:r>
      <w:r>
        <w:rPr>
          <w:rFonts w:ascii="Times New Roman" w:hAnsi="Times New Roman"/>
          <w:sz w:val="22"/>
        </w:rPr>
        <w:t>Western theologians like Hilary and Victorinus shared a Platonic view of human nature. Ambrose highlighted ransom and deception of Satan, while others noted the devil overreached and lost authority. Hilary advocated for Christ's recapitulation and sacrificial satisfaction. Ambrose emphasized sacrifice to satisfy divine justice, combining recapitulation and substitution.</w:t>
      </w:r>
      <w:r>
        <w:rPr>
          <w:rFonts w:ascii="Times New Roman" w:hAnsi="Times New Roman"/>
          <w:sz w:val="22"/>
        </w:rPr>
        <w:t xml:space="preserve"> </w:t>
      </w:r>
      <w:r w:rsidRPr="00794A87">
        <w:rPr>
          <w:rFonts w:ascii="Times New Roman" w:hAnsi="Times New Roman"/>
          <w:b/>
          <w:bCs/>
          <w:sz w:val="22"/>
        </w:rPr>
        <w:t>Augustine</w:t>
      </w:r>
      <w:r>
        <w:rPr>
          <w:rFonts w:ascii="Times New Roman" w:hAnsi="Times New Roman"/>
          <w:b/>
          <w:bCs/>
          <w:sz w:val="22"/>
        </w:rPr>
        <w:t xml:space="preserve">. </w:t>
      </w:r>
      <w:r>
        <w:rPr>
          <w:rFonts w:ascii="Times New Roman" w:hAnsi="Times New Roman"/>
          <w:sz w:val="22"/>
        </w:rPr>
        <w:t>Augustine framed Christ as Mediator, offering a peace sacrifice to God. Redemption was viewed as release from Satan’s hold, with realist undertones. He detailed how, although the Devil had authority post-Fall, no ransom was owed; God's favor changed everything. Christ’s sacrifice was overwhelming for Satan, nullifying his claims. Redemption’s essence lay in Christ's expiatory sacrifice.</w:t>
      </w:r>
      <w:r>
        <w:rPr>
          <w:rFonts w:ascii="Times New Roman" w:hAnsi="Times New Roman"/>
          <w:sz w:val="22"/>
        </w:rPr>
        <w:t xml:space="preserve"> </w:t>
      </w:r>
      <w:r w:rsidRPr="00794A87">
        <w:rPr>
          <w:rFonts w:ascii="Times New Roman" w:hAnsi="Times New Roman"/>
          <w:b/>
          <w:bCs/>
          <w:sz w:val="22"/>
        </w:rPr>
        <w:t>The East in the Fifth Century</w:t>
      </w:r>
      <w:r>
        <w:rPr>
          <w:rFonts w:ascii="Times New Roman" w:hAnsi="Times New Roman"/>
          <w:b/>
          <w:bCs/>
          <w:sz w:val="22"/>
        </w:rPr>
        <w:t xml:space="preserve">. </w:t>
      </w:r>
      <w:r>
        <w:rPr>
          <w:rFonts w:ascii="Times New Roman" w:hAnsi="Times New Roman"/>
          <w:sz w:val="22"/>
        </w:rPr>
        <w:t>Eastern thought primarily embraced realist and recapitulation theories. Theories involving the devil acknowledged he had no rights and was punished for overplaying his hand. Cyril highlighted the incarnation as the deification of human nature, where Christ's death eradicated corruption, sin, and divine wrath.</w:t>
      </w:r>
    </w:p>
    <w:p w:rsidR="00794A87" w:rsidRDefault="00794A87" w:rsidP="00794A87">
      <w:pPr>
        <w:jc w:val="both"/>
      </w:pPr>
    </w:p>
    <w:p w:rsidR="00794A87" w:rsidRPr="00794A87" w:rsidRDefault="00794A87" w:rsidP="00794A87">
      <w:pPr>
        <w:jc w:val="both"/>
        <w:rPr>
          <w:b/>
          <w:bCs/>
        </w:rPr>
      </w:pPr>
      <w:r w:rsidRPr="00794A87">
        <w:rPr>
          <w:rFonts w:ascii="Times New Roman" w:hAnsi="Times New Roman"/>
          <w:b/>
          <w:bCs/>
          <w:sz w:val="22"/>
        </w:rPr>
        <w:t>XV: Christ's Mystical Body</w:t>
      </w:r>
      <w:r>
        <w:rPr>
          <w:rFonts w:ascii="Times New Roman" w:hAnsi="Times New Roman"/>
          <w:b/>
          <w:bCs/>
          <w:sz w:val="22"/>
        </w:rPr>
        <w:t>.</w:t>
      </w:r>
    </w:p>
    <w:p w:rsidR="00794A87" w:rsidRDefault="00794A87" w:rsidP="00794A87">
      <w:pPr>
        <w:jc w:val="both"/>
      </w:pPr>
      <w:r w:rsidRPr="00794A87">
        <w:rPr>
          <w:rFonts w:ascii="Times New Roman" w:hAnsi="Times New Roman"/>
          <w:b/>
          <w:bCs/>
          <w:sz w:val="22"/>
        </w:rPr>
        <w:t>Ecclesiology in the East</w:t>
      </w:r>
      <w:r>
        <w:rPr>
          <w:rFonts w:ascii="Times New Roman" w:hAnsi="Times New Roman"/>
          <w:b/>
          <w:bCs/>
          <w:sz w:val="22"/>
        </w:rPr>
        <w:t xml:space="preserve">. </w:t>
      </w:r>
      <w:r>
        <w:rPr>
          <w:rFonts w:ascii="Times New Roman" w:hAnsi="Times New Roman"/>
          <w:sz w:val="22"/>
        </w:rPr>
        <w:t>In Eastern theology, ecclesiology was neither original nor a pressing issue. The Church was viewed as a spiritual society—one and united in Christ through the Holy Spirit—requiring Christ to be truly human for its unity.</w:t>
      </w:r>
      <w:r>
        <w:rPr>
          <w:rFonts w:ascii="Times New Roman" w:hAnsi="Times New Roman"/>
          <w:sz w:val="22"/>
        </w:rPr>
        <w:t xml:space="preserve"> </w:t>
      </w:r>
      <w:r w:rsidRPr="00794A87">
        <w:rPr>
          <w:rFonts w:ascii="Times New Roman" w:hAnsi="Times New Roman"/>
          <w:b/>
          <w:bCs/>
          <w:sz w:val="22"/>
        </w:rPr>
        <w:t>East and the Roman See</w:t>
      </w:r>
      <w:r>
        <w:rPr>
          <w:rFonts w:ascii="Times New Roman" w:hAnsi="Times New Roman"/>
          <w:b/>
          <w:bCs/>
          <w:sz w:val="22"/>
        </w:rPr>
        <w:t xml:space="preserve">. </w:t>
      </w:r>
      <w:r>
        <w:rPr>
          <w:rFonts w:ascii="Times New Roman" w:hAnsi="Times New Roman"/>
          <w:sz w:val="22"/>
        </w:rPr>
        <w:t xml:space="preserve">Rome held a special privilege, even acknowledged in the East, but "Constantinople is </w:t>
      </w:r>
      <w:r>
        <w:rPr>
          <w:rFonts w:ascii="Times New Roman" w:hAnsi="Times New Roman"/>
          <w:sz w:val="22"/>
        </w:rPr>
        <w:t xml:space="preserve">the </w:t>
      </w:r>
      <w:r>
        <w:rPr>
          <w:rFonts w:ascii="Times New Roman" w:hAnsi="Times New Roman"/>
          <w:sz w:val="22"/>
        </w:rPr>
        <w:t>new Rome" marked it as secondary. Appeals by figures like Nestorius and Cyril were made to Rome, though Rome's primacy was not considered a divine right.</w:t>
      </w:r>
      <w:r>
        <w:rPr>
          <w:rFonts w:ascii="Times New Roman" w:hAnsi="Times New Roman"/>
          <w:sz w:val="22"/>
        </w:rPr>
        <w:t xml:space="preserve"> </w:t>
      </w:r>
      <w:r w:rsidRPr="00794A87">
        <w:rPr>
          <w:rFonts w:ascii="Times New Roman" w:hAnsi="Times New Roman"/>
          <w:b/>
          <w:bCs/>
          <w:sz w:val="22"/>
        </w:rPr>
        <w:t>Western Doctrines: Hilary and Optatus</w:t>
      </w:r>
      <w:r>
        <w:rPr>
          <w:rFonts w:ascii="Times New Roman" w:hAnsi="Times New Roman"/>
          <w:b/>
          <w:bCs/>
          <w:sz w:val="22"/>
        </w:rPr>
        <w:t xml:space="preserve">. </w:t>
      </w:r>
      <w:r>
        <w:rPr>
          <w:rFonts w:ascii="Times New Roman" w:hAnsi="Times New Roman"/>
          <w:sz w:val="22"/>
        </w:rPr>
        <w:t>In regions where Donatism wasn't prevalent, ecclesiology aligned with Eastern views. Ambrose described the Church as the city of God, Christ's body, while Hilary emphasized a fellowship realized through the Eucharist, embracing both sinners and saints.</w:t>
      </w:r>
      <w:r w:rsidR="00485B67">
        <w:rPr>
          <w:rFonts w:ascii="Times New Roman" w:hAnsi="Times New Roman"/>
          <w:sz w:val="22"/>
        </w:rPr>
        <w:t xml:space="preserve"> </w:t>
      </w:r>
      <w:r>
        <w:rPr>
          <w:rFonts w:ascii="Times New Roman" w:hAnsi="Times New Roman"/>
          <w:sz w:val="22"/>
        </w:rPr>
        <w:t xml:space="preserve">In Africa, </w:t>
      </w:r>
      <w:r w:rsidRPr="00485B67">
        <w:rPr>
          <w:rFonts w:ascii="Times New Roman" w:hAnsi="Times New Roman"/>
          <w:b/>
          <w:bCs/>
          <w:sz w:val="22"/>
        </w:rPr>
        <w:lastRenderedPageBreak/>
        <w:t>Donatism</w:t>
      </w:r>
      <w:r>
        <w:rPr>
          <w:rFonts w:ascii="Times New Roman" w:hAnsi="Times New Roman"/>
          <w:sz w:val="22"/>
        </w:rPr>
        <w:t xml:space="preserve"> introduced discord and violence, focusing on issues like </w:t>
      </w:r>
      <w:r w:rsidRPr="00485B67">
        <w:rPr>
          <w:rFonts w:ascii="Times New Roman" w:hAnsi="Times New Roman"/>
          <w:i/>
          <w:iCs/>
          <w:sz w:val="22"/>
        </w:rPr>
        <w:t>traditors</w:t>
      </w:r>
      <w:r>
        <w:rPr>
          <w:rFonts w:ascii="Times New Roman" w:hAnsi="Times New Roman"/>
          <w:sz w:val="22"/>
        </w:rPr>
        <w:t xml:space="preserve"> and the worthiness of ministers for sacrament validity. Optatus countered by asserting the sacraments' validity came from God and the correct invocation of the Trinity, emphasizing the Church's holiness despite human sinfulness.</w:t>
      </w:r>
      <w:r w:rsidR="00485B67">
        <w:rPr>
          <w:rFonts w:ascii="Times New Roman" w:hAnsi="Times New Roman"/>
          <w:sz w:val="22"/>
        </w:rPr>
        <w:t xml:space="preserve"> </w:t>
      </w:r>
      <w:r w:rsidRPr="00485B67">
        <w:rPr>
          <w:rFonts w:ascii="Times New Roman" w:hAnsi="Times New Roman"/>
          <w:b/>
          <w:bCs/>
          <w:sz w:val="22"/>
        </w:rPr>
        <w:t>Western Doctrines: Augustine</w:t>
      </w:r>
      <w:r w:rsidR="00485B67">
        <w:rPr>
          <w:rFonts w:ascii="Times New Roman" w:hAnsi="Times New Roman"/>
          <w:b/>
          <w:bCs/>
          <w:sz w:val="22"/>
        </w:rPr>
        <w:t xml:space="preserve">. </w:t>
      </w:r>
      <w:r>
        <w:rPr>
          <w:rFonts w:ascii="Times New Roman" w:hAnsi="Times New Roman"/>
          <w:sz w:val="22"/>
        </w:rPr>
        <w:t>Augustine expanded on Optatus, asserting no salvation apart from the Church, seen as mother (with God as father), as the Holy Spirit is bestowed only within it. The catholic church, embodying all truth and transcending time and place, comprises a mixed community of saints and sinners. Augustine uniquely framed Christian society as Christ's body, with the Church as a fellowship of love and unity, distinguishing between the essential and empirical Church.</w:t>
      </w:r>
      <w:r w:rsidR="00485B67">
        <w:rPr>
          <w:rFonts w:ascii="Times New Roman" w:hAnsi="Times New Roman"/>
          <w:sz w:val="22"/>
        </w:rPr>
        <w:t xml:space="preserve"> </w:t>
      </w:r>
      <w:r w:rsidRPr="00485B67">
        <w:rPr>
          <w:rFonts w:ascii="Times New Roman" w:hAnsi="Times New Roman"/>
          <w:b/>
          <w:bCs/>
          <w:sz w:val="22"/>
        </w:rPr>
        <w:t>West and Roman Primacy</w:t>
      </w:r>
      <w:r w:rsidR="00485B67">
        <w:rPr>
          <w:rFonts w:ascii="Times New Roman" w:hAnsi="Times New Roman"/>
          <w:b/>
          <w:bCs/>
          <w:sz w:val="22"/>
        </w:rPr>
        <w:t xml:space="preserve">. </w:t>
      </w:r>
      <w:r>
        <w:rPr>
          <w:rFonts w:ascii="Times New Roman" w:hAnsi="Times New Roman"/>
          <w:sz w:val="22"/>
        </w:rPr>
        <w:t>Factors contributing to Rome's primacy included its status as the ancient capital, the popes' roles in conflicts with barbarians, and their liturgical, dogmatic, and theological influence.</w:t>
      </w:r>
    </w:p>
    <w:p w:rsidR="00485B67" w:rsidRDefault="00485B67" w:rsidP="00794A87">
      <w:pPr>
        <w:jc w:val="both"/>
      </w:pPr>
    </w:p>
    <w:p w:rsidR="00485B67" w:rsidRPr="00485B67" w:rsidRDefault="00485B67" w:rsidP="00485B67">
      <w:pPr>
        <w:jc w:val="both"/>
        <w:rPr>
          <w:b/>
          <w:bCs/>
        </w:rPr>
      </w:pPr>
      <w:r w:rsidRPr="00485B67">
        <w:rPr>
          <w:rFonts w:ascii="Times New Roman" w:hAnsi="Times New Roman"/>
          <w:b/>
          <w:bCs/>
          <w:sz w:val="22"/>
        </w:rPr>
        <w:t>XVI: The Later Doctrine of the Sacraments</w:t>
      </w:r>
      <w:r>
        <w:rPr>
          <w:rFonts w:ascii="Times New Roman" w:hAnsi="Times New Roman"/>
          <w:b/>
          <w:bCs/>
          <w:sz w:val="22"/>
        </w:rPr>
        <w:t>.</w:t>
      </w:r>
    </w:p>
    <w:p w:rsidR="00485B67" w:rsidRPr="00002BE4" w:rsidRDefault="00485B67" w:rsidP="00485B67">
      <w:pPr>
        <w:jc w:val="both"/>
      </w:pPr>
      <w:r w:rsidRPr="00485B67">
        <w:rPr>
          <w:rFonts w:ascii="Times New Roman" w:hAnsi="Times New Roman"/>
          <w:b/>
          <w:bCs/>
          <w:sz w:val="22"/>
        </w:rPr>
        <w:t>General Theory</w:t>
      </w:r>
      <w:r>
        <w:rPr>
          <w:rFonts w:ascii="Times New Roman" w:hAnsi="Times New Roman"/>
          <w:b/>
          <w:bCs/>
          <w:sz w:val="22"/>
        </w:rPr>
        <w:t xml:space="preserve">. </w:t>
      </w:r>
      <w:r>
        <w:rPr>
          <w:rFonts w:ascii="Times New Roman" w:hAnsi="Times New Roman"/>
          <w:sz w:val="22"/>
        </w:rPr>
        <w:t>In the 4th and 5th centuries, there was no systematic sacramental theology. Sacraments were generally understood as outward signs reflecting the presence of invisible grace, with the number of sacraments not yet fixed. Initially, the term "</w:t>
      </w:r>
      <w:r w:rsidRPr="00485B67">
        <w:rPr>
          <w:rFonts w:ascii="Times New Roman" w:hAnsi="Times New Roman"/>
          <w:i/>
          <w:iCs/>
          <w:sz w:val="22"/>
        </w:rPr>
        <w:t>mysterion</w:t>
      </w:r>
      <w:r>
        <w:rPr>
          <w:rFonts w:ascii="Times New Roman" w:hAnsi="Times New Roman"/>
          <w:sz w:val="22"/>
        </w:rPr>
        <w:t>" referred to events like the incarnation and crucifixion</w:t>
      </w:r>
      <w:r>
        <w:rPr>
          <w:rFonts w:ascii="Times New Roman" w:hAnsi="Times New Roman"/>
          <w:sz w:val="22"/>
        </w:rPr>
        <w:t xml:space="preserve"> (!)</w:t>
      </w:r>
      <w:r>
        <w:rPr>
          <w:rFonts w:ascii="Times New Roman" w:hAnsi="Times New Roman"/>
          <w:sz w:val="22"/>
        </w:rPr>
        <w:t xml:space="preserve">. Later, it described efficacious signs of the Gospel, such as baptism, confirmation, Eucharist, and penance. Augustine defined sacraments broadly as pertaining to divine things, but narrowly as those handed down by Jesus and the apostles. Key ideas included God/Christ as the primary agent, the priest as an instrument, and the invocation of the Trinity as the efficient cause. The concept of </w:t>
      </w:r>
      <w:r w:rsidRPr="00485B67">
        <w:rPr>
          <w:rFonts w:ascii="Times New Roman" w:hAnsi="Times New Roman"/>
          <w:i/>
          <w:iCs/>
          <w:sz w:val="22"/>
        </w:rPr>
        <w:t>ex opere operato</w:t>
      </w:r>
      <w:r>
        <w:rPr>
          <w:rFonts w:ascii="Times New Roman" w:hAnsi="Times New Roman"/>
          <w:sz w:val="22"/>
        </w:rPr>
        <w:t>, though disputed, indicated the effectiveness of sacraments despite the minister's worthiness.</w:t>
      </w:r>
      <w:r>
        <w:rPr>
          <w:rFonts w:ascii="Times New Roman" w:hAnsi="Times New Roman"/>
          <w:sz w:val="22"/>
        </w:rPr>
        <w:t xml:space="preserve"> </w:t>
      </w:r>
      <w:r w:rsidRPr="00485B67">
        <w:rPr>
          <w:rFonts w:ascii="Times New Roman" w:hAnsi="Times New Roman"/>
          <w:b/>
          <w:bCs/>
          <w:sz w:val="22"/>
        </w:rPr>
        <w:t>Baptism</w:t>
      </w:r>
      <w:r>
        <w:rPr>
          <w:rFonts w:ascii="Times New Roman" w:hAnsi="Times New Roman"/>
          <w:b/>
          <w:bCs/>
          <w:sz w:val="22"/>
        </w:rPr>
        <w:t xml:space="preserve">. </w:t>
      </w:r>
      <w:r>
        <w:rPr>
          <w:rFonts w:ascii="Times New Roman" w:hAnsi="Times New Roman"/>
          <w:sz w:val="22"/>
        </w:rPr>
        <w:t>Baptism offered remission of sins, total restoration, sanctification, and illumination of the soul, sealing the presence of the Holy Spirit. Infant baptism, regardless of original sin, was seen as initiation into the Kingdom. Athanasius emphasized baptism as uniting man to the Godhead and renewing identity.</w:t>
      </w:r>
      <w:r>
        <w:rPr>
          <w:rFonts w:ascii="Times New Roman" w:hAnsi="Times New Roman"/>
          <w:sz w:val="22"/>
        </w:rPr>
        <w:t xml:space="preserve"> </w:t>
      </w:r>
      <w:r w:rsidRPr="00485B67">
        <w:rPr>
          <w:rFonts w:ascii="Times New Roman" w:hAnsi="Times New Roman"/>
          <w:b/>
          <w:bCs/>
          <w:sz w:val="22"/>
        </w:rPr>
        <w:t>Confirmation or Chrism</w:t>
      </w:r>
      <w:r>
        <w:rPr>
          <w:rFonts w:ascii="Times New Roman" w:hAnsi="Times New Roman"/>
          <w:b/>
          <w:bCs/>
          <w:sz w:val="22"/>
        </w:rPr>
        <w:t xml:space="preserve">. </w:t>
      </w:r>
      <w:r>
        <w:rPr>
          <w:rFonts w:ascii="Times New Roman" w:hAnsi="Times New Roman"/>
          <w:sz w:val="22"/>
        </w:rPr>
        <w:t>Involving oil and the laying on of hands, confirmation bestowed the Holy Spirit, corresponding to Christ's reception or blessing. It was sometimes confused with baptism, as both involved joining Christ’s body and participating in His sufferings.</w:t>
      </w:r>
      <w:r>
        <w:rPr>
          <w:rFonts w:ascii="Times New Roman" w:hAnsi="Times New Roman"/>
          <w:sz w:val="22"/>
        </w:rPr>
        <w:t xml:space="preserve"> </w:t>
      </w:r>
      <w:r w:rsidRPr="00485B67">
        <w:rPr>
          <w:rFonts w:ascii="Times New Roman" w:hAnsi="Times New Roman"/>
          <w:b/>
          <w:bCs/>
          <w:sz w:val="22"/>
        </w:rPr>
        <w:t>Penance</w:t>
      </w:r>
      <w:r>
        <w:rPr>
          <w:rFonts w:ascii="Times New Roman" w:hAnsi="Times New Roman"/>
          <w:b/>
          <w:bCs/>
          <w:sz w:val="22"/>
        </w:rPr>
        <w:t xml:space="preserve">. </w:t>
      </w:r>
      <w:r>
        <w:rPr>
          <w:rFonts w:ascii="Times New Roman" w:hAnsi="Times New Roman"/>
          <w:sz w:val="22"/>
        </w:rPr>
        <w:t>Penance remitted post-baptismal sins. The Novatianists denied penitence after baptism, rejecting the Church's power to remit mortal sins and restore sinners. Augustine identified three types</w:t>
      </w:r>
      <w:r>
        <w:rPr>
          <w:rFonts w:ascii="Times New Roman" w:hAnsi="Times New Roman"/>
          <w:sz w:val="22"/>
        </w:rPr>
        <w:t xml:space="preserve"> of penance</w:t>
      </w:r>
      <w:r>
        <w:rPr>
          <w:rFonts w:ascii="Times New Roman" w:hAnsi="Times New Roman"/>
          <w:sz w:val="22"/>
        </w:rPr>
        <w:t>: pre-baptismal, daily for venial sins, and formal discipline for serious sins, featuring public absolution with exclusion and prostration.</w:t>
      </w:r>
      <w:r>
        <w:rPr>
          <w:rFonts w:ascii="Times New Roman" w:hAnsi="Times New Roman"/>
          <w:sz w:val="22"/>
        </w:rPr>
        <w:t xml:space="preserve"> </w:t>
      </w:r>
      <w:r w:rsidRPr="00485B67">
        <w:rPr>
          <w:rFonts w:ascii="Times New Roman" w:hAnsi="Times New Roman"/>
          <w:b/>
          <w:bCs/>
          <w:sz w:val="22"/>
        </w:rPr>
        <w:t>Eucharistic Presence</w:t>
      </w:r>
      <w:r>
        <w:rPr>
          <w:rFonts w:ascii="Times New Roman" w:hAnsi="Times New Roman"/>
          <w:b/>
          <w:bCs/>
          <w:sz w:val="22"/>
        </w:rPr>
        <w:t xml:space="preserve">. </w:t>
      </w:r>
      <w:r>
        <w:rPr>
          <w:rFonts w:ascii="Times New Roman" w:hAnsi="Times New Roman"/>
          <w:sz w:val="22"/>
        </w:rPr>
        <w:t xml:space="preserve">The Eucharistic presence was typically realist, with two interpretations: </w:t>
      </w:r>
      <w:r>
        <w:rPr>
          <w:rFonts w:ascii="Times New Roman" w:hAnsi="Times New Roman"/>
          <w:sz w:val="22"/>
        </w:rPr>
        <w:t xml:space="preserve">1) </w:t>
      </w:r>
      <w:r>
        <w:rPr>
          <w:rFonts w:ascii="Times New Roman" w:hAnsi="Times New Roman"/>
          <w:sz w:val="22"/>
        </w:rPr>
        <w:t xml:space="preserve">a symbolic view held by Tertullian and Cyprian, where signs represented realities apprehended by faith, and </w:t>
      </w:r>
      <w:r>
        <w:rPr>
          <w:rFonts w:ascii="Times New Roman" w:hAnsi="Times New Roman"/>
          <w:sz w:val="22"/>
        </w:rPr>
        <w:t xml:space="preserve">2) </w:t>
      </w:r>
      <w:r>
        <w:rPr>
          <w:rFonts w:ascii="Times New Roman" w:hAnsi="Times New Roman"/>
          <w:sz w:val="22"/>
        </w:rPr>
        <w:t>the more popular view of actual substance change during prayer.</w:t>
      </w:r>
      <w:r>
        <w:rPr>
          <w:rFonts w:ascii="Times New Roman" w:hAnsi="Times New Roman"/>
          <w:sz w:val="22"/>
        </w:rPr>
        <w:t xml:space="preserve"> </w:t>
      </w:r>
      <w:r w:rsidRPr="00485B67">
        <w:rPr>
          <w:rFonts w:ascii="Times New Roman" w:hAnsi="Times New Roman"/>
          <w:b/>
          <w:bCs/>
          <w:sz w:val="22"/>
        </w:rPr>
        <w:t>Eucharistic Sacrifice</w:t>
      </w:r>
      <w:r>
        <w:rPr>
          <w:rFonts w:ascii="Times New Roman" w:hAnsi="Times New Roman"/>
          <w:b/>
          <w:bCs/>
          <w:sz w:val="22"/>
        </w:rPr>
        <w:t xml:space="preserve">. </w:t>
      </w:r>
      <w:r>
        <w:rPr>
          <w:rFonts w:ascii="Times New Roman" w:hAnsi="Times New Roman"/>
          <w:sz w:val="22"/>
        </w:rPr>
        <w:t>Participation in the Eucharist united believers with Christ, serving as a key means of divinization and commemoration. Chrysostom viewed it as identical to Christ's offering at the Last Supper. In the West, it evolved into a sacrifice of thanksgiving, paralleling Christ’s eternal self-offering. Augustine linked the Eucharist to sacrifice, emphasizing union with God and portraying Christ as both priest and oblation, with members offering themselves as living sacrifices.</w:t>
      </w:r>
    </w:p>
    <w:sectPr w:rsidR="00485B67" w:rsidRPr="00002BE4">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KelJND</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Early Christian Doctrines</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16722"/>
    <w:multiLevelType w:val="hybridMultilevel"/>
    <w:tmpl w:val="BD342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357763"/>
    <w:multiLevelType w:val="hybridMultilevel"/>
    <w:tmpl w:val="CA907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1B3DEC"/>
    <w:multiLevelType w:val="hybridMultilevel"/>
    <w:tmpl w:val="ABFA3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4D2A94"/>
    <w:multiLevelType w:val="hybridMultilevel"/>
    <w:tmpl w:val="9AF65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2624F5"/>
    <w:multiLevelType w:val="hybridMultilevel"/>
    <w:tmpl w:val="033A2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B456EA"/>
    <w:multiLevelType w:val="hybridMultilevel"/>
    <w:tmpl w:val="17F43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14361">
    <w:abstractNumId w:val="4"/>
  </w:num>
  <w:num w:numId="2" w16cid:durableId="901985635">
    <w:abstractNumId w:val="3"/>
  </w:num>
  <w:num w:numId="3" w16cid:durableId="21522491">
    <w:abstractNumId w:val="5"/>
  </w:num>
  <w:num w:numId="4" w16cid:durableId="1191333324">
    <w:abstractNumId w:val="2"/>
  </w:num>
  <w:num w:numId="5" w16cid:durableId="2111970656">
    <w:abstractNumId w:val="1"/>
  </w:num>
  <w:num w:numId="6" w16cid:durableId="176109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E4"/>
    <w:rsid w:val="00002BE4"/>
    <w:rsid w:val="00282F99"/>
    <w:rsid w:val="00485B67"/>
    <w:rsid w:val="005C68E8"/>
    <w:rsid w:val="00794A87"/>
    <w:rsid w:val="00A57F40"/>
    <w:rsid w:val="00AA008D"/>
    <w:rsid w:val="00D87F03"/>
    <w:rsid w:val="00DE2625"/>
    <w:rsid w:val="00E21478"/>
    <w:rsid w:val="00E44201"/>
    <w:rsid w:val="00E6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47A86"/>
  <w15:chartTrackingRefBased/>
  <w15:docId w15:val="{1B04B375-2942-A042-93B1-04258BC3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3996</Words>
  <Characters>22781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2024-11-19T19:37:00Z</dcterms:created>
  <dcterms:modified xsi:type="dcterms:W3CDTF">2024-11-19T21:07:00Z</dcterms:modified>
</cp:coreProperties>
</file>